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317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3176905"/>
                    </a:xfrm>
                    <a:prstGeom prst="rect">
                      <a:avLst/>
                    </a:prstGeom>
                    <a:noFill/>
                  </pic:spPr>
                </pic:pic>
              </a:graphicData>
            </a:graphic>
          </wp:anchor>
        </w:drawing>
      </w:r>
    </w:p>
    <w:p>
      <w:pPr>
        <w:sectPr>
          <w:pgSz w:w="11900" w:h="16838" w:orient="portrait"/>
          <w:cols w:equalWidth="0" w:num="1">
            <w:col w:w="10980"/>
          </w:cols>
          <w:pgMar w:left="440" w:top="202" w:right="47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Hoak J. Hale</w:t>
              </w:r>
            </w:hyperlink>
          </w:p>
        </w:tc>
        <w:tc>
          <w:tcPr>
            <w:tcW w:w="228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0000EE"/>
            </w:tcBorders>
            <w:vMerge w:val="continue"/>
          </w:tcPr>
          <w:p>
            <w:pPr>
              <w:spacing w:after="0"/>
              <w:rPr>
                <w:sz w:val="9"/>
                <w:szCs w:val="9"/>
                <w:color w:val="auto"/>
              </w:rPr>
            </w:pPr>
          </w:p>
        </w:tc>
        <w:tc>
          <w:tcPr>
            <w:tcW w:w="2280" w:type="dxa"/>
            <w:vAlign w:val="bottom"/>
            <w:vMerge w:val="restart"/>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03/05/2025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WESTWOOD HOLDINGS GROUP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WHG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05" w:lineRule="exact"/>
        <w:rPr>
          <w:sz w:val="24"/>
          <w:szCs w:val="24"/>
          <w:color w:val="auto"/>
        </w:rPr>
      </w:pPr>
    </w:p>
    <w:p>
      <w:pPr>
        <w:sectPr>
          <w:pgSz w:w="11900" w:h="16838" w:orient="portrait"/>
          <w:cols w:equalWidth="0" w:num="2">
            <w:col w:w="4660" w:space="340"/>
            <w:col w:w="5980"/>
          </w:cols>
          <w:pgMar w:left="440" w:top="202" w:right="479" w:bottom="1440" w:gutter="0" w:footer="0" w:header="0"/>
          <w:type w:val="continuous"/>
        </w:sectPr>
      </w:pPr>
    </w:p>
    <w:tbl>
      <w:tblPr>
        <w:tblLayout w:type="fixed"/>
        <w:tblInd w:w="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80" w:type="dxa"/>
            <w:vAlign w:val="bottom"/>
          </w:tcPr>
          <w:p>
            <w:pPr>
              <w:ind w:left="20"/>
              <w:spacing w:after="0"/>
              <w:rPr>
                <w:sz w:val="20"/>
                <w:szCs w:val="20"/>
                <w:color w:val="auto"/>
              </w:rPr>
            </w:pPr>
            <w:r>
              <w:rPr>
                <w:rFonts w:ascii="Arial" w:cs="Arial" w:eastAsia="Arial" w:hAnsi="Arial"/>
                <w:sz w:val="10"/>
                <w:szCs w:val="10"/>
                <w:color w:val="auto"/>
              </w:rPr>
              <w:t>(Last)</w:t>
            </w:r>
          </w:p>
        </w:tc>
        <w:tc>
          <w:tcPr>
            <w:tcW w:w="900" w:type="dxa"/>
            <w:vAlign w:val="bottom"/>
          </w:tcPr>
          <w:p>
            <w:pPr>
              <w:ind w:left="200"/>
              <w:spacing w:after="0"/>
              <w:rPr>
                <w:sz w:val="20"/>
                <w:szCs w:val="20"/>
                <w:color w:val="auto"/>
              </w:rPr>
            </w:pPr>
            <w:r>
              <w:rPr>
                <w:rFonts w:ascii="Arial" w:cs="Arial" w:eastAsia="Arial" w:hAnsi="Arial"/>
                <w:sz w:val="10"/>
                <w:szCs w:val="10"/>
                <w:color w:val="auto"/>
              </w:rPr>
              <w:t>(First)</w:t>
            </w:r>
          </w:p>
        </w:tc>
        <w:tc>
          <w:tcPr>
            <w:tcW w:w="1380" w:type="dxa"/>
            <w:vAlign w:val="bottom"/>
          </w:tcPr>
          <w:p>
            <w:pPr>
              <w:ind w:left="340"/>
              <w:spacing w:after="0"/>
              <w:rPr>
                <w:sz w:val="20"/>
                <w:szCs w:val="20"/>
                <w:color w:val="auto"/>
              </w:rPr>
            </w:pPr>
            <w:r>
              <w:rPr>
                <w:rFonts w:ascii="Arial" w:cs="Arial" w:eastAsia="Arial" w:hAnsi="Arial"/>
                <w:sz w:val="10"/>
                <w:szCs w:val="10"/>
                <w:color w:val="auto"/>
              </w:rPr>
              <w:t>(Middle)</w:t>
            </w:r>
          </w:p>
        </w:tc>
      </w:tr>
      <w:tr>
        <w:trPr>
          <w:trHeight w:val="215"/>
        </w:trPr>
        <w:tc>
          <w:tcPr>
            <w:tcW w:w="2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200 CRESCENT COURT</w:t>
            </w:r>
          </w:p>
        </w:tc>
        <w:tc>
          <w:tcPr>
            <w:tcW w:w="138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SUITE 1200</w:t>
            </w: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16"/>
        </w:trPr>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r>
        <w:trPr>
          <w:trHeight w:val="208"/>
        </w:trPr>
        <w:tc>
          <w:tcPr>
            <w:tcW w:w="9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DALLAS</w:t>
            </w:r>
          </w:p>
        </w:tc>
        <w:tc>
          <w:tcPr>
            <w:tcW w:w="9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TX</w:t>
            </w:r>
          </w:p>
        </w:tc>
        <w:tc>
          <w:tcPr>
            <w:tcW w:w="13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75201</w:t>
            </w:r>
          </w:p>
        </w:tc>
      </w:tr>
    </w:tbl>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880" w:firstLine="7"/>
        <w:spacing w:after="0" w:line="281"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4"/>
          <w:szCs w:val="24"/>
          <w:color w:val="auto"/>
        </w:rPr>
      </w:pP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0"/>
          <w:szCs w:val="10"/>
          <w:color w:val="auto"/>
        </w:rPr>
        <w:t>5. If Amendment, Date of Original Filed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04/24/2025</w:t>
      </w:r>
    </w:p>
    <w:p>
      <w:pPr>
        <w:spacing w:after="0" w:line="333" w:lineRule="exact"/>
        <w:rPr>
          <w:sz w:val="24"/>
          <w:szCs w:val="24"/>
          <w:color w:val="auto"/>
        </w:rPr>
      </w:pPr>
    </w:p>
    <w:p>
      <w:pPr>
        <w:spacing w:after="0"/>
        <w:rPr>
          <w:sz w:val="20"/>
          <w:szCs w:val="20"/>
          <w:color w:val="auto"/>
        </w:rPr>
      </w:pPr>
      <w:r>
        <w:rPr>
          <w:rFonts w:ascii="Arial" w:cs="Arial" w:eastAsia="Arial" w:hAnsi="Arial"/>
          <w:sz w:val="10"/>
          <w:szCs w:val="10"/>
          <w:color w:val="auto"/>
        </w:rPr>
        <w:t>6. Individual or Joint/Group Filing (Check Applicable Line)</w:t>
      </w:r>
    </w:p>
    <w:p>
      <w:pPr>
        <w:spacing w:after="0" w:line="51" w:lineRule="exact"/>
        <w:rPr>
          <w:sz w:val="24"/>
          <w:szCs w:val="24"/>
          <w:color w:val="auto"/>
        </w:rPr>
      </w:pPr>
    </w:p>
    <w:p>
      <w:pPr>
        <w:ind w:left="440"/>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40"/>
        <w:spacing w:after="0"/>
        <w:rPr>
          <w:sz w:val="20"/>
          <w:szCs w:val="20"/>
          <w:color w:val="auto"/>
        </w:rPr>
      </w:pPr>
      <w:r>
        <w:rPr>
          <w:rFonts w:ascii="Arial" w:cs="Arial" w:eastAsia="Arial" w:hAnsi="Arial"/>
          <w:sz w:val="10"/>
          <w:szCs w:val="10"/>
          <w:color w:val="auto"/>
        </w:rPr>
        <w:t>Form filed by More than One Reporting Person</w:t>
      </w:r>
    </w:p>
    <w:p>
      <w:pPr>
        <w:spacing w:after="0" w:line="200" w:lineRule="exact"/>
        <w:rPr>
          <w:sz w:val="24"/>
          <w:szCs w:val="24"/>
          <w:color w:val="auto"/>
        </w:rPr>
      </w:pPr>
    </w:p>
    <w:p>
      <w:pPr>
        <w:sectPr>
          <w:pgSz w:w="11900" w:h="16838" w:orient="portrait"/>
          <w:cols w:equalWidth="0" w:num="3">
            <w:col w:w="4287" w:space="720"/>
            <w:col w:w="3073" w:space="220"/>
            <w:col w:w="2680"/>
          </w:cols>
          <w:pgMar w:left="440" w:top="202" w:right="479" w:bottom="1440" w:gutter="0" w:footer="0" w:header="0"/>
          <w:type w:val="continuous"/>
        </w:sectPr>
      </w:pPr>
    </w:p>
    <w:p>
      <w:pPr>
        <w:spacing w:after="0" w:line="37"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Table I - Non-Derivative Securities Beneficially Owned</w:t>
      </w:r>
    </w:p>
    <w:p>
      <w:pPr>
        <w:sectPr>
          <w:pgSz w:w="11900" w:h="16838" w:orient="portrait"/>
          <w:cols w:equalWidth="0" w:num="1">
            <w:col w:w="10980"/>
          </w:cols>
          <w:pgMar w:left="440" w:top="202" w:right="479" w:bottom="1440" w:gutter="0" w:footer="0" w:header="0"/>
          <w:type w:val="continuous"/>
        </w:sectPr>
      </w:pPr>
    </w:p>
    <w:p>
      <w:pPr>
        <w:spacing w:after="0" w:line="111" w:lineRule="exact"/>
        <w:rPr>
          <w:sz w:val="24"/>
          <w:szCs w:val="24"/>
          <w:color w:val="auto"/>
        </w:rPr>
      </w:pPr>
    </w:p>
    <w:p>
      <w:pPr>
        <w:ind w:left="60"/>
        <w:spacing w:after="0"/>
        <w:rPr>
          <w:sz w:val="20"/>
          <w:szCs w:val="20"/>
          <w:color w:val="auto"/>
        </w:rPr>
      </w:pPr>
      <w:r>
        <w:rPr>
          <w:rFonts w:ascii="Arial" w:cs="Arial" w:eastAsia="Arial" w:hAnsi="Arial"/>
          <w:sz w:val="10"/>
          <w:szCs w:val="10"/>
          <w:b w:val="1"/>
          <w:bCs w:val="1"/>
          <w:color w:val="auto"/>
        </w:rPr>
        <w:t>1. Title of Security (Instr. 4)</w:t>
      </w:r>
    </w:p>
    <w:p>
      <w:pPr>
        <w:spacing w:after="0" w:line="243" w:lineRule="exact"/>
        <w:rPr>
          <w:sz w:val="24"/>
          <w:szCs w:val="24"/>
          <w:color w:val="auto"/>
        </w:rPr>
      </w:pPr>
    </w:p>
    <w:p>
      <w:pPr>
        <w:jc w:val="right"/>
        <w:ind w:right="3320"/>
        <w:spacing w:after="0"/>
        <w:rPr>
          <w:sz w:val="20"/>
          <w:szCs w:val="20"/>
          <w:color w:val="auto"/>
        </w:rPr>
      </w:pPr>
      <w:r>
        <w:rPr>
          <w:sz w:val="1"/>
          <w:szCs w:val="1"/>
          <w:color w:val="auto"/>
        </w:rPr>
        <w:drawing>
          <wp:inline distT="0" distB="0" distL="0" distR="0">
            <wp:extent cx="31750" cy="1962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750" cy="196215"/>
                    </a:xfrm>
                    <a:prstGeom prst="rect">
                      <a:avLst/>
                    </a:prstGeom>
                    <a:noFill/>
                    <a:ln>
                      <a:noFill/>
                    </a:ln>
                  </pic:spPr>
                </pic:pic>
              </a:graphicData>
            </a:graphic>
          </wp:inline>
        </w:drawing>
      </w:r>
      <w:r>
        <w:rPr>
          <w:rFonts w:ascii="Times New Roman" w:cs="Times New Roman" w:eastAsia="Times New Roman" w:hAnsi="Times New Roman"/>
          <w:sz w:val="12"/>
          <w:szCs w:val="12"/>
          <w:color w:val="0000FF"/>
        </w:rPr>
        <w:t xml:space="preserve"> common stock</w:t>
      </w:r>
    </w:p>
    <w:p>
      <w:pPr>
        <w:spacing w:after="0" w:line="105" w:lineRule="exact"/>
        <w:rPr>
          <w:sz w:val="24"/>
          <w:szCs w:val="24"/>
          <w:color w:val="auto"/>
        </w:rPr>
      </w:pPr>
    </w:p>
    <w:p>
      <w:pPr>
        <w:jc w:val="right"/>
        <w:ind w:right="3320"/>
        <w:spacing w:after="0"/>
        <w:rPr>
          <w:sz w:val="20"/>
          <w:szCs w:val="20"/>
          <w:color w:val="auto"/>
        </w:rPr>
      </w:pPr>
      <w:r>
        <w:rPr>
          <w:rFonts w:ascii="Times New Roman" w:cs="Times New Roman" w:eastAsia="Times New Roman" w:hAnsi="Times New Roman"/>
          <w:sz w:val="13"/>
          <w:szCs w:val="13"/>
          <w:color w:val="0000FF"/>
        </w:rPr>
        <w:t>common stock</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940" w:type="dxa"/>
            <w:vAlign w:val="bottom"/>
          </w:tcPr>
          <w:p>
            <w:pPr>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68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c>
          <w:tcPr>
            <w:tcW w:w="0" w:type="dxa"/>
            <w:vAlign w:val="bottom"/>
          </w:tcPr>
          <w:p>
            <w:pPr>
              <w:spacing w:after="0"/>
              <w:rPr>
                <w:sz w:val="1"/>
                <w:szCs w:val="1"/>
                <w:color w:val="auto"/>
              </w:rPr>
            </w:pPr>
          </w:p>
        </w:tc>
      </w:tr>
      <w:tr>
        <w:trPr>
          <w:trHeight w:val="114"/>
        </w:trPr>
        <w:tc>
          <w:tcPr>
            <w:tcW w:w="1940" w:type="dxa"/>
            <w:vAlign w:val="bottom"/>
          </w:tcPr>
          <w:p>
            <w:pPr>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940" w:type="dxa"/>
            <w:vAlign w:val="bottom"/>
          </w:tcPr>
          <w:p>
            <w:pPr>
              <w:jc w:val="right"/>
              <w:ind w:right="700"/>
              <w:spacing w:after="0"/>
              <w:rPr>
                <w:sz w:val="20"/>
                <w:szCs w:val="20"/>
                <w:color w:val="auto"/>
              </w:rPr>
            </w:pPr>
            <w:r>
              <w:rPr>
                <w:rFonts w:ascii="Times New Roman" w:cs="Times New Roman" w:eastAsia="Times New Roman" w:hAnsi="Times New Roman"/>
                <w:sz w:val="13"/>
                <w:szCs w:val="13"/>
                <w:color w:val="0000FF"/>
              </w:rPr>
              <w:t>49,300</w:t>
            </w:r>
          </w:p>
        </w:tc>
        <w:tc>
          <w:tcPr>
            <w:tcW w:w="1260" w:type="dxa"/>
            <w:vAlign w:val="bottom"/>
          </w:tcPr>
          <w:p>
            <w:pPr>
              <w:jc w:val="center"/>
              <w:ind w:left="107"/>
              <w:spacing w:after="0"/>
              <w:rPr>
                <w:sz w:val="20"/>
                <w:szCs w:val="20"/>
                <w:color w:val="auto"/>
              </w:rPr>
            </w:pPr>
            <w:r>
              <w:rPr>
                <w:rFonts w:ascii="Times New Roman" w:cs="Times New Roman" w:eastAsia="Times New Roman" w:hAnsi="Times New Roman"/>
                <w:sz w:val="13"/>
                <w:szCs w:val="13"/>
                <w:color w:val="0000FF"/>
              </w:rPr>
              <w:t>D</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940" w:type="dxa"/>
            <w:vAlign w:val="bottom"/>
            <w:vMerge w:val="restart"/>
          </w:tcPr>
          <w:p>
            <w:pPr>
              <w:jc w:val="center"/>
              <w:ind w:right="600"/>
              <w:spacing w:after="0"/>
              <w:rPr>
                <w:sz w:val="20"/>
                <w:szCs w:val="20"/>
                <w:color w:val="auto"/>
              </w:rPr>
            </w:pPr>
            <w:r>
              <w:rPr>
                <w:rFonts w:ascii="Times New Roman" w:cs="Times New Roman" w:eastAsia="Times New Roman" w:hAnsi="Times New Roman"/>
                <w:sz w:val="13"/>
                <w:szCs w:val="13"/>
                <w:color w:val="0000FF"/>
              </w:rPr>
              <w:t>775,000</w:t>
            </w:r>
            <w:r>
              <w:rPr>
                <w:rFonts w:ascii="Times New Roman" w:cs="Times New Roman" w:eastAsia="Times New Roman" w:hAnsi="Times New Roman"/>
                <w:sz w:val="17"/>
                <w:szCs w:val="17"/>
                <w:color w:val="008000"/>
                <w:vertAlign w:val="superscript"/>
              </w:rPr>
              <w:t>(1)</w:t>
            </w:r>
          </w:p>
        </w:tc>
        <w:tc>
          <w:tcPr>
            <w:tcW w:w="1260" w:type="dxa"/>
            <w:vAlign w:val="bottom"/>
            <w:vMerge w:val="restart"/>
          </w:tcPr>
          <w:p>
            <w:pPr>
              <w:jc w:val="center"/>
              <w:ind w:left="107"/>
              <w:spacing w:after="0"/>
              <w:rPr>
                <w:sz w:val="20"/>
                <w:szCs w:val="20"/>
                <w:color w:val="auto"/>
              </w:rPr>
            </w:pPr>
            <w:r>
              <w:rPr>
                <w:rFonts w:ascii="Times New Roman" w:cs="Times New Roman" w:eastAsia="Times New Roman" w:hAnsi="Times New Roman"/>
                <w:sz w:val="26"/>
                <w:szCs w:val="26"/>
                <w:color w:val="0000FF"/>
                <w:w w:val="85"/>
                <w:vertAlign w:val="subscript"/>
              </w:rPr>
              <w:t>I</w:t>
            </w:r>
            <w:r>
              <w:rPr>
                <w:rFonts w:ascii="Times New Roman" w:cs="Times New Roman" w:eastAsia="Times New Roman" w:hAnsi="Times New Roman"/>
                <w:sz w:val="9"/>
                <w:szCs w:val="9"/>
                <w:color w:val="008000"/>
                <w:w w:val="85"/>
              </w:rPr>
              <w:t>(2)</w:t>
            </w:r>
          </w:p>
        </w:tc>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Hoak Public Equities, LP owns 750,000 shares;</w:t>
            </w:r>
          </w:p>
        </w:tc>
        <w:tc>
          <w:tcPr>
            <w:tcW w:w="0" w:type="dxa"/>
            <w:vAlign w:val="bottom"/>
          </w:tcPr>
          <w:p>
            <w:pPr>
              <w:spacing w:after="0"/>
              <w:rPr>
                <w:sz w:val="1"/>
                <w:szCs w:val="1"/>
                <w:color w:val="auto"/>
              </w:rPr>
            </w:pPr>
          </w:p>
        </w:tc>
      </w:tr>
      <w:tr>
        <w:trPr>
          <w:trHeight w:val="134"/>
        </w:trPr>
        <w:tc>
          <w:tcPr>
            <w:tcW w:w="194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2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Hale Hoak Child's Trust owns 25,000 shares .</w:t>
            </w:r>
          </w:p>
        </w:tc>
        <w:tc>
          <w:tcPr>
            <w:tcW w:w="0" w:type="dxa"/>
            <w:vAlign w:val="bottom"/>
          </w:tcPr>
          <w:p>
            <w:pPr>
              <w:spacing w:after="0"/>
              <w:rPr>
                <w:sz w:val="1"/>
                <w:szCs w:val="1"/>
                <w:color w:val="auto"/>
              </w:rPr>
            </w:pPr>
          </w:p>
        </w:tc>
      </w:tr>
      <w:tr>
        <w:trPr>
          <w:trHeight w:val="40"/>
        </w:trPr>
        <w:tc>
          <w:tcPr>
            <w:tcW w:w="19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14" w:lineRule="exact"/>
        <w:rPr>
          <w:sz w:val="24"/>
          <w:szCs w:val="24"/>
          <w:color w:val="auto"/>
        </w:rPr>
      </w:pPr>
    </w:p>
    <w:p>
      <w:pPr>
        <w:sectPr>
          <w:pgSz w:w="11900" w:h="16838" w:orient="portrait"/>
          <w:cols w:equalWidth="0" w:num="2">
            <w:col w:w="4180" w:space="720"/>
            <w:col w:w="6080"/>
          </w:cols>
          <w:pgMar w:left="440" w:top="202" w:right="479" w:bottom="1440" w:gutter="0" w:footer="0" w:header="0"/>
          <w:type w:val="continuous"/>
        </w:sectPr>
      </w:pPr>
    </w:p>
    <w:p>
      <w:pPr>
        <w:jc w:val="center"/>
        <w:ind w:right="-39"/>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96"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4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6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36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178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98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5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364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1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4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980" w:type="dxa"/>
            <w:vAlign w:val="bottom"/>
            <w:vMerge w:val="restart"/>
          </w:tcPr>
          <w:p>
            <w:pPr>
              <w:ind w:left="38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64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17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980" w:type="dxa"/>
            <w:vAlign w:val="bottom"/>
          </w:tcPr>
          <w:p>
            <w:pPr>
              <w:ind w:left="38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780" w:type="dxa"/>
            <w:vAlign w:val="bottom"/>
            <w:vMerge w:val="continue"/>
          </w:tcPr>
          <w:p>
            <w:pPr>
              <w:spacing w:after="0"/>
              <w:rPr>
                <w:sz w:val="12"/>
                <w:szCs w:val="12"/>
                <w:color w:val="auto"/>
              </w:rPr>
            </w:pPr>
          </w:p>
        </w:tc>
        <w:tc>
          <w:tcPr>
            <w:tcW w:w="980" w:type="dxa"/>
            <w:vAlign w:val="bottom"/>
          </w:tcPr>
          <w:p>
            <w:pPr>
              <w:ind w:left="38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Form 3 is being amended to reflect corrected indirect shares held by Hoak Public Equities, LP (Hoak LP). Hoak LP previously reported WHG shares held of 744,353. Hoak LP shares has been updated to reflect 750,000 shares of WHG common stock.</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Shares held indirectly by Hoak Public Equities, LP and Hale Hoak Child's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Date of appointment to the Board of Directors was 3/5/2025. Coordination was required to obtain access codes, which are managed by a third-party. The transition to EDGAR Next caused additional filing delays.</w:t>
      </w:r>
    </w:p>
    <w:p>
      <w:pPr>
        <w:ind w:left="6620"/>
        <w:spacing w:after="0" w:line="194" w:lineRule="auto"/>
        <w:rPr>
          <w:sz w:val="20"/>
          <w:szCs w:val="20"/>
          <w:color w:val="auto"/>
        </w:rPr>
      </w:pPr>
      <w:r>
        <w:rPr>
          <w:rFonts w:ascii="Times New Roman" w:cs="Times New Roman" w:eastAsia="Times New Roman" w:hAnsi="Times New Roman"/>
          <w:sz w:val="13"/>
          <w:szCs w:val="13"/>
          <w:color w:val="0000FF"/>
        </w:rPr>
        <w:t xml:space="preserve">Jonathan Richard Nahhat, by POA from </w:t>
      </w:r>
      <w:r>
        <w:rPr>
          <w:rFonts w:ascii="Times New Roman" w:cs="Times New Roman" w:eastAsia="Times New Roman" w:hAnsi="Times New Roman"/>
          <w:sz w:val="26"/>
          <w:szCs w:val="26"/>
          <w:color w:val="0000FF"/>
          <w:vertAlign w:val="subscript"/>
        </w:rPr>
        <w:t>04/23/2025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-21590</wp:posOffset>
            </wp:positionV>
            <wp:extent cx="13728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2870"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J. Hale Hoak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-11430</wp:posOffset>
            </wp:positionV>
            <wp:extent cx="4438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43865" cy="635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-64135</wp:posOffset>
            </wp:positionV>
            <wp:extent cx="3898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23"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496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40" w:top="202" w:right="47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450326" TargetMode="External"/><Relationship Id="rId12" Type="http://schemas.openxmlformats.org/officeDocument/2006/relationships/hyperlink" Target="http://www.sec.gov/cgi-bin/browse-edgar?action=getcompany&amp;CIK=0001165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2025-04-30T13:34:14Z</dcterms:created>
  <dcterms:modified xsi:type="dcterms:W3CDTF">2025-04-30T13:34:14Z</dcterms:modified>
</cp:coreProperties>
</file>