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earliest event reported):</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February 10, 2021</w:t>
      </w:r>
    </w:p>
    <w:p>
      <w:pPr>
        <w:spacing w:after="0" w:line="295"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WESTWOOD HOLDINGS GROUP, INC.</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ind w:left="3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w:t>
      </w:r>
    </w:p>
    <w:p>
      <w:pPr>
        <w:sectPr>
          <w:pgSz w:w="11900" w:h="16838" w:orient="portrait"/>
          <w:cols w:equalWidth="0" w:num="1">
            <w:col w:w="11220"/>
          </w:cols>
          <w:pgMar w:left="320" w:top="990" w:right="359" w:bottom="1440" w:gutter="0" w:footer="0" w:header="0"/>
        </w:sectPr>
      </w:pPr>
    </w:p>
    <w:p>
      <w:pPr>
        <w:spacing w:after="0" w:line="200" w:lineRule="exact"/>
        <w:rPr>
          <w:sz w:val="24"/>
          <w:szCs w:val="24"/>
          <w:color w:val="auto"/>
        </w:rPr>
      </w:pPr>
    </w:p>
    <w:p>
      <w:pPr>
        <w:spacing w:after="0" w:line="29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6"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9"/>
          <w:szCs w:val="19"/>
          <w:b w:val="1"/>
          <w:bCs w:val="1"/>
          <w:color w:val="auto"/>
        </w:rPr>
        <w:t>001-31234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75-2969997</w:t>
      </w:r>
    </w:p>
    <w:p>
      <w:pPr>
        <w:spacing w:after="0" w:line="44" w:lineRule="exact"/>
        <w:rPr>
          <w:sz w:val="24"/>
          <w:szCs w:val="24"/>
          <w:color w:val="auto"/>
        </w:rPr>
      </w:pPr>
    </w:p>
    <w:p>
      <w:pPr>
        <w:sectPr>
          <w:pgSz w:w="11900" w:h="16838" w:orient="portrait"/>
          <w:cols w:equalWidth="0" w:num="3">
            <w:col w:w="4460" w:space="720"/>
            <w:col w:w="2980" w:space="720"/>
            <w:col w:w="2340"/>
          </w:cols>
          <w:pgMar w:left="320" w:top="990"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2980"/>
          </w:cols>
          <w:pgMar w:left="320" w:top="990" w:right="359" w:bottom="1440" w:gutter="0" w:footer="0" w:header="0"/>
          <w:type w:val="continuous"/>
        </w:sectPr>
      </w:pPr>
    </w:p>
    <w:p>
      <w:pPr>
        <w:spacing w:after="0" w:line="3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200 Crescent Court, Suite 1200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Dallas, Texas 75201</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(214) 756-6900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254" w:lineRule="exact"/>
        <w:rPr>
          <w:sz w:val="24"/>
          <w:szCs w:val="24"/>
          <w:color w:val="auto"/>
        </w:rPr>
      </w:pPr>
    </w:p>
    <w:p>
      <w:pPr>
        <w:ind w:left="340"/>
        <w:spacing w:after="0"/>
        <w:rPr>
          <w:sz w:val="24"/>
          <w:szCs w:val="24"/>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sz w:val="24"/>
          <w:szCs w:val="24"/>
          <w:color w:val="auto"/>
        </w:rPr>
      </w:pPr>
    </w:p>
    <w:p>
      <w:pPr>
        <w:ind w:left="340"/>
        <w:spacing w:after="0"/>
        <w:rPr>
          <w:sz w:val="24"/>
          <w:szCs w:val="24"/>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1" w:lineRule="exact"/>
        <w:rPr>
          <w:sz w:val="24"/>
          <w:szCs w:val="24"/>
          <w:color w:val="auto"/>
        </w:rPr>
      </w:pPr>
    </w:p>
    <w:p>
      <w:pPr>
        <w:ind w:left="340"/>
        <w:spacing w:after="0"/>
        <w:rPr>
          <w:sz w:val="24"/>
          <w:szCs w:val="24"/>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1" w:lineRule="exact"/>
        <w:rPr>
          <w:sz w:val="24"/>
          <w:szCs w:val="24"/>
          <w:color w:val="auto"/>
        </w:rPr>
      </w:pPr>
    </w:p>
    <w:p>
      <w:pPr>
        <w:ind w:right="3340" w:firstLine="630"/>
        <w:spacing w:after="0" w:line="602" w:lineRule="auto"/>
        <w:rPr>
          <w:sz w:val="24"/>
          <w:szCs w:val="24"/>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48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b w:val="1"/>
                <w:bCs w:val="1"/>
                <w:color w:val="auto"/>
              </w:rPr>
              <w:t>Title of each class:</w:t>
            </w:r>
          </w:p>
        </w:tc>
        <w:tc>
          <w:tcPr>
            <w:tcW w:w="2600" w:type="dxa"/>
            <w:vAlign w:val="bottom"/>
          </w:tcPr>
          <w:p>
            <w:pPr>
              <w:spacing w:after="0"/>
              <w:rPr>
                <w:sz w:val="14"/>
                <w:szCs w:val="14"/>
                <w:color w:val="auto"/>
              </w:rPr>
            </w:pPr>
          </w:p>
        </w:tc>
        <w:tc>
          <w:tcPr>
            <w:tcW w:w="2880" w:type="dxa"/>
            <w:vAlign w:val="bottom"/>
            <w:gridSpan w:val="2"/>
          </w:tcPr>
          <w:p>
            <w:pPr>
              <w:jc w:val="center"/>
              <w:ind w:right="1780"/>
              <w:spacing w:after="0" w:line="171" w:lineRule="exact"/>
              <w:rPr>
                <w:sz w:val="20"/>
                <w:szCs w:val="20"/>
                <w:color w:val="auto"/>
              </w:rPr>
            </w:pPr>
            <w:r>
              <w:rPr>
                <w:rFonts w:ascii="Times New Roman" w:cs="Times New Roman" w:eastAsia="Times New Roman" w:hAnsi="Times New Roman"/>
                <w:sz w:val="15"/>
                <w:szCs w:val="15"/>
                <w:b w:val="1"/>
                <w:bCs w:val="1"/>
                <w:color w:val="auto"/>
              </w:rPr>
              <w:t>Trading Symbol:</w:t>
            </w:r>
          </w:p>
        </w:tc>
        <w:tc>
          <w:tcPr>
            <w:tcW w:w="2880" w:type="dxa"/>
            <w:vAlign w:val="bottom"/>
          </w:tcPr>
          <w:p>
            <w:pPr>
              <w:jc w:val="center"/>
              <w:spacing w:after="0" w:line="171" w:lineRule="exact"/>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15"/>
        </w:trPr>
        <w:tc>
          <w:tcPr>
            <w:tcW w:w="4560" w:type="dxa"/>
            <w:vAlign w:val="bottom"/>
            <w:gridSpan w:val="3"/>
          </w:tcPr>
          <w:p>
            <w:pPr>
              <w:jc w:val="center"/>
              <w:ind w:right="184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2880" w:type="dxa"/>
            <w:vAlign w:val="bottom"/>
            <w:gridSpan w:val="2"/>
          </w:tcPr>
          <w:p>
            <w:pPr>
              <w:jc w:val="center"/>
              <w:ind w:right="1780"/>
              <w:spacing w:after="0"/>
              <w:rPr>
                <w:sz w:val="20"/>
                <w:szCs w:val="20"/>
                <w:color w:val="auto"/>
              </w:rPr>
            </w:pPr>
            <w:r>
              <w:rPr>
                <w:rFonts w:ascii="Times New Roman" w:cs="Times New Roman" w:eastAsia="Times New Roman" w:hAnsi="Times New Roman"/>
                <w:sz w:val="15"/>
                <w:szCs w:val="15"/>
                <w:b w:val="1"/>
                <w:bCs w:val="1"/>
                <w:color w:val="auto"/>
                <w:w w:val="98"/>
              </w:rPr>
              <w:t>WHG</w:t>
            </w:r>
          </w:p>
        </w:tc>
        <w:tc>
          <w:tcPr>
            <w:tcW w:w="2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New York Stock Exchange</w:t>
            </w:r>
          </w:p>
        </w:tc>
      </w:tr>
    </w:tbl>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of the Securities Exchange Act of 1934 (§ 240.12b-2 of this chapter).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54" w:lineRule="exact"/>
        <w:rPr>
          <w:sz w:val="24"/>
          <w:szCs w:val="24"/>
          <w:color w:val="auto"/>
        </w:rPr>
      </w:pPr>
    </w:p>
    <w:p>
      <w:pPr>
        <w:ind w:right="5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0"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2.02:</w:t>
      </w:r>
      <w:r>
        <w:rPr>
          <w:sz w:val="20"/>
          <w:szCs w:val="20"/>
          <w:color w:val="auto"/>
        </w:rPr>
        <w:tab/>
      </w:r>
      <w:r>
        <w:rPr>
          <w:rFonts w:ascii="Times New Roman" w:cs="Times New Roman" w:eastAsia="Times New Roman" w:hAnsi="Times New Roman"/>
          <w:sz w:val="19"/>
          <w:szCs w:val="19"/>
          <w:color w:val="auto"/>
        </w:rPr>
        <w:t>RESULTS OF OPERATIONS AND FINANCIAL CONDITION</w:t>
      </w:r>
    </w:p>
    <w:p>
      <w:pPr>
        <w:spacing w:after="0" w:line="10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66"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On February 10, 2021, Westwood Holdings Group, Inc. (“Westwood”) announced its financial results for the quarter ended December 31, 2020, a copy of which is furnished with this Current Report on Form 8-K as Exhibit 99.1.</w:t>
      </w:r>
    </w:p>
    <w:p>
      <w:pPr>
        <w:spacing w:after="0" w:line="5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7.01:</w:t>
      </w:r>
      <w:r>
        <w:rPr>
          <w:sz w:val="20"/>
          <w:szCs w:val="20"/>
          <w:color w:val="auto"/>
        </w:rPr>
        <w:tab/>
      </w:r>
      <w:r>
        <w:rPr>
          <w:rFonts w:ascii="Times New Roman" w:cs="Times New Roman" w:eastAsia="Times New Roman" w:hAnsi="Times New Roman"/>
          <w:sz w:val="19"/>
          <w:szCs w:val="19"/>
          <w:color w:val="auto"/>
        </w:rPr>
        <w:t>REGULATION FD DISCLOSURE</w:t>
      </w:r>
    </w:p>
    <w:p>
      <w:pPr>
        <w:spacing w:after="0" w:line="10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Westwood announced today that its Board of Directors has approved the payment of a quarterly cash dividend of $0.10 per common share, payable on April 1, 2021 to stockholders of record on March 2, 2021.</w:t>
      </w:r>
    </w:p>
    <w:p>
      <w:pPr>
        <w:spacing w:after="0" w:line="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10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 The following exhibit is furnished with this report: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880" w:type="dxa"/>
            <w:vAlign w:val="bottom"/>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99.1</w:t>
              </w:r>
            </w:hyperlink>
          </w:p>
        </w:tc>
        <w:tc>
          <w:tcPr>
            <w:tcW w:w="1160" w:type="dxa"/>
            <w:vAlign w:val="bottom"/>
          </w:tcPr>
          <w:p>
            <w:pPr>
              <w:spacing w:after="0"/>
              <w:rPr>
                <w:sz w:val="23"/>
                <w:szCs w:val="23"/>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Press Release dated </w:t>
            </w:r>
            <w:r>
              <w:rPr>
                <w:rFonts w:ascii="Times New Roman" w:cs="Times New Roman" w:eastAsia="Times New Roman" w:hAnsi="Times New Roman"/>
                <w:sz w:val="19"/>
                <w:szCs w:val="19"/>
                <w:color w:val="auto"/>
              </w:rPr>
              <w:t>February 10, 2021</w:t>
            </w:r>
            <w:r>
              <w:rPr>
                <w:rFonts w:ascii="Times New Roman" w:cs="Times New Roman" w:eastAsia="Times New Roman" w:hAnsi="Times New Roman"/>
                <w:sz w:val="18"/>
                <w:szCs w:val="18"/>
                <w:color w:val="auto"/>
              </w:rPr>
              <w:t>.</w:t>
            </w:r>
          </w:p>
        </w:tc>
      </w:tr>
      <w:tr>
        <w:trPr>
          <w:trHeight w:val="1230"/>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20"/>
          <w:szCs w:val="20"/>
          <w:color w:val="auto"/>
        </w:rPr>
        <w:t>SIGNATURES</w:t>
      </w:r>
    </w:p>
    <w:p>
      <w:pPr>
        <w:spacing w:after="0" w:line="24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10, 2021</w:t>
      </w: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WESTWOOD HOLDINGS GROUP, INC.</w:t>
      </w:r>
    </w:p>
    <w:p>
      <w:pPr>
        <w:spacing w:after="0" w:line="200" w:lineRule="exact"/>
        <w:rPr>
          <w:sz w:val="20"/>
          <w:szCs w:val="20"/>
          <w:color w:val="auto"/>
        </w:rPr>
      </w:pPr>
    </w:p>
    <w:p>
      <w:pPr>
        <w:spacing w:after="0" w:line="286"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308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8100"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Murray Forbes III</w:t>
      </w:r>
    </w:p>
    <w:p>
      <w:pPr>
        <w:ind w:left="4540"/>
        <w:spacing w:after="0"/>
        <w:rPr>
          <w:sz w:val="20"/>
          <w:szCs w:val="20"/>
          <w:color w:val="auto"/>
        </w:rPr>
      </w:pPr>
      <w:r>
        <w:rPr>
          <w:rFonts w:ascii="Times New Roman" w:cs="Times New Roman" w:eastAsia="Times New Roman" w:hAnsi="Times New Roman"/>
          <w:sz w:val="20"/>
          <w:szCs w:val="20"/>
          <w:color w:val="auto"/>
        </w:rPr>
        <w:t>Chief Financial Officer and Treasurer</w:t>
      </w:r>
    </w:p>
    <w:p>
      <w:pPr>
        <w:sectPr>
          <w:pgSz w:w="11900" w:h="16838" w:orient="portrait"/>
          <w:cols w:equalWidth="0" w:num="1">
            <w:col w:w="10880"/>
          </w:cols>
          <w:pgMar w:left="320" w:top="886" w:right="6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Westwood Holdings Group, Inc. Reports Fourth Quarter and Fiscal Year 2020 Results</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Earnings improving and balance sheet remains strong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Westwood reinstates dividend</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February 10, 2021 – Westwood Holdings Group, Inc. (NYSE: WHG) today reported fourth quarter earnings.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Significant items include:</w:t>
      </w:r>
    </w:p>
    <w:p>
      <w:pPr>
        <w:spacing w:after="0" w:line="169" w:lineRule="exact"/>
        <w:rPr>
          <w:sz w:val="20"/>
          <w:szCs w:val="20"/>
          <w:color w:val="auto"/>
        </w:rPr>
      </w:pPr>
    </w:p>
    <w:p>
      <w:pPr>
        <w:ind w:left="660" w:right="56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Opportunity, AllCap Value, Total Return, High Income and Alternative Income strategies beat their primary benchmarks for the quarter.</w:t>
      </w:r>
    </w:p>
    <w:p>
      <w:pPr>
        <w:spacing w:after="0" w:line="103" w:lineRule="exact"/>
        <w:rPr>
          <w:rFonts w:ascii="Times New Roman" w:cs="Times New Roman" w:eastAsia="Times New Roman" w:hAnsi="Times New Roman"/>
          <w:sz w:val="22"/>
          <w:szCs w:val="22"/>
          <w:color w:val="auto"/>
        </w:rPr>
      </w:pPr>
    </w:p>
    <w:p>
      <w:pPr>
        <w:ind w:left="660" w:right="12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held $82.6 million in cash and short-term investments at December 31, 2020, up $5.0 million from September 30, 2020 following repatriation of cash held in Canada.</w:t>
      </w:r>
    </w:p>
    <w:p>
      <w:pPr>
        <w:spacing w:after="0" w:line="10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Stockholders' equity at December 31, 2020 was $130.7 million and we had no debt.</w:t>
      </w:r>
    </w:p>
    <w:p>
      <w:pPr>
        <w:spacing w:after="0" w:line="16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 of $17.1 million compared with $15.5 million in the third quarter and $18.6 million a year ago.</w:t>
      </w:r>
    </w:p>
    <w:p>
      <w:pPr>
        <w:spacing w:after="0" w:line="165" w:lineRule="exact"/>
        <w:rPr>
          <w:rFonts w:ascii="Times New Roman" w:cs="Times New Roman" w:eastAsia="Times New Roman" w:hAnsi="Times New Roman"/>
          <w:sz w:val="22"/>
          <w:szCs w:val="22"/>
          <w:color w:val="auto"/>
        </w:rPr>
      </w:pPr>
    </w:p>
    <w:p>
      <w:pPr>
        <w:ind w:left="660" w:right="20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of $2.8 million compared with a net loss of $10.3 million in the third quarter and net income of $2.5 million in the fourth quarter of 2019.</w:t>
      </w:r>
    </w:p>
    <w:p>
      <w:pPr>
        <w:spacing w:after="0" w:line="103" w:lineRule="exact"/>
        <w:rPr>
          <w:rFonts w:ascii="Times New Roman" w:cs="Times New Roman" w:eastAsia="Times New Roman" w:hAnsi="Times New Roman"/>
          <w:sz w:val="22"/>
          <w:szCs w:val="22"/>
          <w:color w:val="auto"/>
        </w:rPr>
      </w:pPr>
    </w:p>
    <w:p>
      <w:pPr>
        <w:ind w:left="660" w:right="32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 economic earnings of $4.6 million, compared with a non-GAAP economic loss of $1.7 million in the third quarter and non-GAAP economic earnings of $5.4 million in the fourth quarter of 2019.</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Brian Casey, Westwood’s President and CEO, commented, “we are pleased, along with many others, in bidding farewell to 2020, a year that tested us all in such unexpected ways. We are proud of the way our Westwood team stepped up, delivering strong performance across many products, serving our customers well in creative, socially-distant ways, and leading Westwood to win another “Best Places to Work” award. We had to make a number of hard decisions last year, suspending our dividend, closing our Canadian operations, and discontinuing other non-strategic activities and many of them negatively impacted earnings. These decisions were painful but they have enabled us to clear the decks for a brighter future in 2021 and beyond. We are seeing increasingly positive interest in our institutional and retail products and consultant approval ratings are growing. Our focus on investing in technology is paying off in two ways: with improvements in the way we manage our business and communicate with customers, and also the financial returns from our investment in InvestCloud. Our solid financial position continues to be a source of strength, allowing us to approach business growth opportunities with confidence. Finally, we thank our investors for the continued faith placed in us and accordingly, we are pleased to reinstate a cash dividend of $0.10 per common share, payable on April 1, 2021 to stockholders of record on March 2, 2021."</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Revenues of $17.1 million decreased $1.5 million from last year's fourth quarter principally as a result of lower average assets under management ("AUM"). Revenues were higher than the third quarter of 2020 principally as a result of higher advisory performance-based fees, trust fees and other revenues.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1" w:lineRule="auto"/>
        <w:rPr>
          <w:sz w:val="20"/>
          <w:szCs w:val="20"/>
          <w:color w:val="auto"/>
        </w:rPr>
      </w:pPr>
      <w:r>
        <w:rPr>
          <w:rFonts w:ascii="Times New Roman" w:cs="Times New Roman" w:eastAsia="Times New Roman" w:hAnsi="Times New Roman"/>
          <w:sz w:val="22"/>
          <w:szCs w:val="22"/>
          <w:color w:val="auto"/>
        </w:rPr>
        <w:t>AUM of $13.0 billion at December 31, 2020 rose from $12.0 billion at September 30, 2020. The increase reflected market appreciation, partially offset by net outflows mainly in SMidCap.</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Fourth quarter net income of $2.8 million compared to a third quarter net loss of $10.3 million due to several non-recurring items impacting the third quarter, higher revenues, lower operating expenses and lower income taxes. Diluted earnings per share ("EPS") of $0.36 compared to a $1.31 per share loss for the third quarter. Non-GAAP Economic Earnings were $4.6 million, or $0.58 per share, compared to the third quarter's non-GAAP economic losses of $1.7 million, or $0.22 per share.</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Fourth quarter net income of $2.8 million was higher than fourth quarter 2019 net income of $2.5 million principally as a result of lower operating expenses, particularly employee compensation and benefits, and lower income taxes, partially offset by lower revenues. Diluted EPS of $0.36 compared to $0.30 for the fourth quarter of 2019. Non-GAAP Economic Earnings were $4.6 million, or $0.58 per share, down from $5.4 million, or $0.64 per share, in 2019's fourth quarter.</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2020 net loss of $8.9 million compared to 2019's net income of $5.9 million of net income due to lower revenues, several non-recurring items impacting the third quarter and unrealized losses on private investments, partially offset by lower operating expenses, foreign currency transaction gains and lower income taxes. Diluted EPS was a loss of $1.12 per share compared with income of $0.70 per share for 2019. Economic EPS of $0.91 compared with $2.15 in 2019.</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Economic Earnings (Loss) and Economic EPS are non-GAAP performance measures and are explained and reconciled with the most comparable GAAP numbers in the attached tables.</w:t>
      </w:r>
    </w:p>
    <w:p>
      <w:pPr>
        <w:spacing w:after="0" w:line="5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Westwood will host a conference call to discuss fourth quarter and fiscal year 2020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February 22, 2021 by dialing 855-859-2056 (U.S. and Canada) or 404-537-3406 (international) and entering the passcode 7381748.</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Westwood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 is a focused investment management boutique and wealth management firm.</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Westwood offers high-conviction equity and outcome-oriented solutions to institutional investors, private wealth clients and financial intermediaries. The firm specializes in two distinct investment capabilities: U.S. Value Equity and Multi-Asset, available through separate accounts, the Westwood Funds® family of mutual funds and other pooled vehicles. Westwood benefits from significant, broad-based employee ownership and trades on the New York Stock Exchange under the symbol “WHG.” Based in Dallas, Westwood also maintains an office in Houston.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Westwood, please visit westwoodgroup.com.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w:t>
      </w:r>
    </w:p>
    <w:p>
      <w:pPr>
        <w:sectPr>
          <w:pgSz w:w="11900" w:h="16838" w:orient="portrait"/>
          <w:cols w:equalWidth="0" w:num="1">
            <w:col w:w="11240"/>
          </w:cols>
          <w:pgMar w:left="320" w:top="1003" w:right="33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22"/>
          <w:szCs w:val="22"/>
          <w:color w:val="auto"/>
        </w:rPr>
        <w:t>the composition and market value of our AUM; our ability to maintain our fee structure in light of competitive fee pressures; the impact of the COVID-19 pandemic; the significant concentration of our revenues in a small number of customers; our ability to avoid termination of client agreements and the related investment redemptions; regulations adversely affecting the financial services industry; competition in the investment management industry; our ability to develop and market new investment strategies successfully; our AUM include investments in foreign companies; our reputation and our relationships with current and potential customers; our ability to attract and retain qualified personnel; our ability to maintain effective cyber security; our ability to perform operational tasks; our ability to identify and execute on our strategic initiatives; our ability to maintain effective information systems; our ability to select and oversee third-party vendors; litigation risks;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our stock is thinly traded and may be subject to volatility; our organizational documents contain provisions that may prevent or deter another group from paying a premium over the market price to our stockholders to acquire our stock; we are a holding company dependent on the operations and funds of our subsidiaries; our relationships with investment consulting firms; and the other risks detailed from time to time in Westwood’s SEC filings, including, but not limited to, its annual report on Form 10-K for the year ended December 31, 2019 and its quarterly report on Form 10-Q for the quarters ended March 31, 2020, June 30, 2020 and September 30, 2020.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Westwood Holdings Group,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(WHG-G)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Terry Forbes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 756-6900</w:t>
      </w:r>
    </w:p>
    <w:p>
      <w:pPr>
        <w:sectPr>
          <w:pgSz w:w="11900" w:h="16838" w:orient="portrait"/>
          <w:cols w:equalWidth="0" w:num="1">
            <w:col w:w="11240"/>
          </w:cols>
          <w:pgMar w:left="320" w:top="10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6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Advisory fees:</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Asset-based</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12,768</w:t>
            </w:r>
          </w:p>
        </w:tc>
        <w:tc>
          <w:tcPr>
            <w:tcW w:w="0" w:type="dxa"/>
            <w:vAlign w:val="bottom"/>
          </w:tcPr>
          <w:p>
            <w:pPr>
              <w:spacing w:after="0"/>
              <w:rPr>
                <w:sz w:val="1"/>
                <w:szCs w:val="1"/>
                <w:color w:val="auto"/>
              </w:rPr>
            </w:pPr>
          </w:p>
        </w:tc>
      </w:tr>
      <w:tr>
        <w:trPr>
          <w:trHeight w:val="189"/>
        </w:trPr>
        <w:tc>
          <w:tcPr>
            <w:tcW w:w="58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Performance-based</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Trust fees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5,787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6,219</w:t>
            </w:r>
          </w:p>
        </w:tc>
        <w:tc>
          <w:tcPr>
            <w:tcW w:w="0" w:type="dxa"/>
            <w:vAlign w:val="bottom"/>
          </w:tcPr>
          <w:p>
            <w:pPr>
              <w:spacing w:after="0"/>
              <w:rPr>
                <w:sz w:val="1"/>
                <w:szCs w:val="1"/>
                <w:color w:val="auto"/>
              </w:rPr>
            </w:pPr>
          </w:p>
        </w:tc>
      </w:tr>
      <w:tr>
        <w:trPr>
          <w:trHeight w:val="189"/>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Trust performance-based</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82"/>
        </w:trPr>
        <w:tc>
          <w:tcPr>
            <w:tcW w:w="58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18,616</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12,092</w:t>
            </w:r>
          </w:p>
        </w:tc>
        <w:tc>
          <w:tcPr>
            <w:tcW w:w="0" w:type="dxa"/>
            <w:vAlign w:val="bottom"/>
          </w:tcPr>
          <w:p>
            <w:pPr>
              <w:spacing w:after="0"/>
              <w:rPr>
                <w:sz w:val="1"/>
                <w:szCs w:val="1"/>
                <w:color w:val="auto"/>
              </w:rPr>
            </w:pPr>
          </w:p>
        </w:tc>
      </w:tr>
      <w:tr>
        <w:trPr>
          <w:trHeight w:val="189"/>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Westwood mutual funds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89"/>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Information technology</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Professional services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r>
        <w:trPr>
          <w:trHeight w:val="189"/>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Impairment expense</w:t>
            </w: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(Gain) loss on foreign currency transactions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83"/>
        </w:trPr>
        <w:tc>
          <w:tcPr>
            <w:tcW w:w="5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expenses</w:t>
            </w:r>
          </w:p>
        </w:tc>
        <w:tc>
          <w:tcPr>
            <w:tcW w:w="1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19,497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19,573</w:t>
            </w:r>
          </w:p>
        </w:tc>
        <w:tc>
          <w:tcPr>
            <w:tcW w:w="0" w:type="dxa"/>
            <w:vAlign w:val="bottom"/>
          </w:tcPr>
          <w:p>
            <w:pPr>
              <w:spacing w:after="0"/>
              <w:rPr>
                <w:sz w:val="1"/>
                <w:szCs w:val="1"/>
                <w:color w:val="auto"/>
              </w:rPr>
            </w:pPr>
          </w:p>
        </w:tc>
      </w:tr>
      <w:tr>
        <w:trPr>
          <w:trHeight w:val="182"/>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(loss)</w:t>
            </w: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8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gains (losses) on private investments</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w:t>
            </w:r>
          </w:p>
        </w:tc>
        <w:tc>
          <w:tcPr>
            <w:tcW w:w="0" w:type="dxa"/>
            <w:vAlign w:val="bottom"/>
          </w:tcPr>
          <w:p>
            <w:pPr>
              <w:spacing w:after="0"/>
              <w:rPr>
                <w:sz w:val="1"/>
                <w:szCs w:val="1"/>
                <w:color w:val="auto"/>
              </w:rPr>
            </w:pPr>
          </w:p>
        </w:tc>
      </w:tr>
      <w:tr>
        <w:trPr>
          <w:trHeight w:val="189"/>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Investment income</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35"/>
        </w:trPr>
        <w:tc>
          <w:tcPr>
            <w:tcW w:w="58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Foreign currency translation adjustments to net income (loss) upon liquidation of a foreign</w:t>
            </w:r>
          </w:p>
        </w:tc>
        <w:tc>
          <w:tcPr>
            <w:tcW w:w="16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(4,193)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subsidiary</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0" w:type="dxa"/>
            <w:vAlign w:val="bottom"/>
          </w:tcPr>
          <w:p>
            <w:pPr>
              <w:spacing w:after="0"/>
              <w:rPr>
                <w:sz w:val="1"/>
                <w:szCs w:val="1"/>
                <w:color w:val="auto"/>
              </w:rPr>
            </w:pPr>
          </w:p>
        </w:tc>
      </w:tr>
      <w:tr>
        <w:trPr>
          <w:trHeight w:val="189"/>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0" w:type="dxa"/>
            <w:vAlign w:val="bottom"/>
          </w:tcPr>
          <w:p>
            <w:pPr>
              <w:spacing w:after="0"/>
              <w:rPr>
                <w:sz w:val="1"/>
                <w:szCs w:val="1"/>
                <w:color w:val="auto"/>
              </w:rPr>
            </w:pPr>
          </w:p>
        </w:tc>
      </w:tr>
      <w:tr>
        <w:trPr>
          <w:trHeight w:val="20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0" w:type="dxa"/>
            <w:vAlign w:val="bottom"/>
          </w:tcPr>
          <w:p>
            <w:pPr>
              <w:spacing w:after="0"/>
              <w:rPr>
                <w:sz w:val="1"/>
                <w:szCs w:val="1"/>
                <w:color w:val="auto"/>
              </w:rPr>
            </w:pPr>
          </w:p>
        </w:tc>
      </w:tr>
      <w:tr>
        <w:trPr>
          <w:trHeight w:val="135"/>
        </w:trPr>
        <w:tc>
          <w:tcPr>
            <w:tcW w:w="58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Reclassification of cumulative foreign currency translation adjustments to net income (loss)</w:t>
            </w:r>
          </w:p>
        </w:tc>
        <w:tc>
          <w:tcPr>
            <w:tcW w:w="16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4,193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upon liquidation of a foreign subsidiary</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 per share:</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7,830,115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7,829,478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8,389,322</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7,838,504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7,829,478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8,449,689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Earnings (Loss)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Economic EPS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and share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1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660" w:type="dxa"/>
            <w:vAlign w:val="bottom"/>
            <w:tcBorders>
              <w:bottom w:val="single" w:sz="8" w:color="auto"/>
            </w:tcBorders>
            <w:gridSpan w:val="4"/>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Advisory fees: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Asset-based</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57,033</w:t>
            </w:r>
          </w:p>
        </w:tc>
        <w:tc>
          <w:tcPr>
            <w:tcW w:w="0" w:type="dxa"/>
            <w:vAlign w:val="bottom"/>
          </w:tcPr>
          <w:p>
            <w:pPr>
              <w:spacing w:after="0"/>
              <w:rPr>
                <w:sz w:val="1"/>
                <w:szCs w:val="1"/>
                <w:color w:val="auto"/>
              </w:rPr>
            </w:pPr>
          </w:p>
        </w:tc>
      </w:tr>
      <w:tr>
        <w:trPr>
          <w:trHeight w:val="189"/>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Performance-based</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Trust fees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23,563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25,483</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Trust performance-based</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net</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82"/>
        </w:trPr>
        <w:tc>
          <w:tcPr>
            <w:tcW w:w="8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65,111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84,079</w:t>
            </w: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42,141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50,152</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Westwood mutual funds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Information technology</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8,426</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Professional services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9,516</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expense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(Gain) loss on foreign currency transactions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68,558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79,435</w:t>
            </w:r>
          </w:p>
        </w:tc>
        <w:tc>
          <w:tcPr>
            <w:tcW w:w="0" w:type="dxa"/>
            <w:vAlign w:val="bottom"/>
          </w:tcPr>
          <w:p>
            <w:pPr>
              <w:spacing w:after="0"/>
              <w:rPr>
                <w:sz w:val="1"/>
                <w:szCs w:val="1"/>
                <w:color w:val="auto"/>
              </w:rPr>
            </w:pPr>
          </w:p>
        </w:tc>
      </w:tr>
      <w:tr>
        <w:trPr>
          <w:trHeight w:val="182"/>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operating income (loss)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Unrealized gains (losses) on private investments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3,296</w:t>
            </w: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Investment income</w:t>
            </w:r>
          </w:p>
        </w:tc>
        <w:tc>
          <w:tcPr>
            <w:tcW w:w="3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adjustments to net income (loss) upon liquidation of a foreign subsidiary</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9,402</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3,491</w:t>
            </w:r>
          </w:p>
        </w:tc>
        <w:tc>
          <w:tcPr>
            <w:tcW w:w="0" w:type="dxa"/>
            <w:vAlign w:val="bottom"/>
          </w:tcPr>
          <w:p>
            <w:pPr>
              <w:spacing w:after="0"/>
              <w:rPr>
                <w:sz w:val="1"/>
                <w:szCs w:val="1"/>
                <w:color w:val="auto"/>
              </w:rPr>
            </w:pPr>
          </w:p>
        </w:tc>
      </w:tr>
      <w:tr>
        <w:trPr>
          <w:trHeight w:val="208"/>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1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Reclassification of cumulative foreign currency translation adjustments to net income (loss) upon liquidation of a foreign subsidiary</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4,169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(loss) per share: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7,987,554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8,408,017</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7,987,554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8,463,239</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Economic Earnings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7,284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18,179</w:t>
            </w:r>
          </w:p>
        </w:tc>
        <w:tc>
          <w:tcPr>
            <w:tcW w:w="0" w:type="dxa"/>
            <w:vAlign w:val="bottom"/>
          </w:tcPr>
          <w:p>
            <w:pPr>
              <w:spacing w:after="0"/>
              <w:rPr>
                <w:sz w:val="1"/>
                <w:szCs w:val="1"/>
                <w:color w:val="auto"/>
              </w:rPr>
            </w:pPr>
          </w:p>
        </w:tc>
      </w:tr>
      <w:tr>
        <w:trPr>
          <w:trHeight w:val="189"/>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Economic EPS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0.91</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Dividends declared per share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7" w:right="359" w:bottom="1440" w:gutter="0" w:footer="0" w:header="0"/>
        </w:sectPr>
      </w:pPr>
    </w:p>
    <w:bookmarkStart w:id="8" w:name="page9"/>
    <w:bookmarkEnd w:id="8"/>
    <w:p>
      <w:pPr>
        <w:ind w:right="5160"/>
        <w:spacing w:after="0" w:line="263" w:lineRule="auto"/>
        <w:rPr>
          <w:sz w:val="20"/>
          <w:szCs w:val="20"/>
          <w:color w:val="auto"/>
        </w:rPr>
      </w:pPr>
      <w:r>
        <w:rPr>
          <w:rFonts w:ascii="Times New Roman" w:cs="Times New Roman" w:eastAsia="Times New Roman" w:hAnsi="Times New Roman"/>
          <w:sz w:val="21"/>
          <w:szCs w:val="21"/>
          <w:b w:val="1"/>
          <w:bCs w:val="1"/>
          <w:color w:val="auto"/>
        </w:rPr>
        <w:t>WESTWOOD HOLDINGS GROUP, INC. AND SUBSIDIARIES CONDENSED CONSOLIDATED BALANCE SHEETS</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par value and share amounts)</w:t>
      </w: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6"/>
                <w:szCs w:val="16"/>
                <w:color w:val="auto"/>
              </w:rPr>
            </w:pPr>
          </w:p>
        </w:tc>
        <w:tc>
          <w:tcPr>
            <w:tcW w:w="134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8"/>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49,766</w:t>
            </w: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Accounts receivable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13,177</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Investments, at fair value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50,324</w:t>
            </w: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Income taxes receivable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2,544</w:t>
            </w:r>
          </w:p>
        </w:tc>
        <w:tc>
          <w:tcPr>
            <w:tcW w:w="0" w:type="dxa"/>
            <w:vAlign w:val="bottom"/>
          </w:tcPr>
          <w:p>
            <w:pPr>
              <w:spacing w:after="0"/>
              <w:rPr>
                <w:sz w:val="1"/>
                <w:szCs w:val="1"/>
                <w:color w:val="auto"/>
              </w:rPr>
            </w:pPr>
          </w:p>
        </w:tc>
      </w:tr>
      <w:tr>
        <w:trPr>
          <w:trHeight w:val="194"/>
        </w:trPr>
        <w:tc>
          <w:tcPr>
            <w:tcW w:w="81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96,314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116,961</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8,154</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Noncurrent investments at fair value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4,238</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19,804</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2,216</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7,562</w:t>
            </w: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15,256</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Property and equipment, net of accumulated depreciation of $8,056 and $7,395</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4,152</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long-term assets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0" w:type="dxa"/>
            <w:vAlign w:val="bottom"/>
          </w:tcPr>
          <w:p>
            <w:pPr>
              <w:spacing w:after="0"/>
              <w:rPr>
                <w:sz w:val="1"/>
                <w:szCs w:val="1"/>
                <w:color w:val="auto"/>
              </w:rPr>
            </w:pPr>
          </w:p>
        </w:tc>
      </w:tr>
      <w:tr>
        <w:trPr>
          <w:trHeight w:val="196"/>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Total long-term assets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52,838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61,746</w:t>
            </w:r>
          </w:p>
        </w:tc>
        <w:tc>
          <w:tcPr>
            <w:tcW w:w="0" w:type="dxa"/>
            <w:vAlign w:val="bottom"/>
          </w:tcPr>
          <w:p>
            <w:pPr>
              <w:spacing w:after="0"/>
              <w:rPr>
                <w:sz w:val="1"/>
                <w:szCs w:val="1"/>
                <w:color w:val="auto"/>
              </w:rPr>
            </w:pPr>
          </w:p>
        </w:tc>
      </w:tr>
      <w:tr>
        <w:trPr>
          <w:trHeight w:val="198"/>
        </w:trPr>
        <w:tc>
          <w:tcPr>
            <w:tcW w:w="81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149,152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178,707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w:t>
            </w: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Dividends payable</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7,362</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9,975</w:t>
            </w: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1,584</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Income taxes payable</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0" w:type="dxa"/>
            <w:vAlign w:val="bottom"/>
          </w:tcPr>
          <w:p>
            <w:pPr>
              <w:spacing w:after="0"/>
              <w:rPr>
                <w:sz w:val="1"/>
                <w:szCs w:val="1"/>
                <w:color w:val="auto"/>
              </w:rPr>
            </w:pPr>
          </w:p>
        </w:tc>
      </w:tr>
      <w:tr>
        <w:trPr>
          <w:trHeight w:val="194"/>
        </w:trPr>
        <w:tc>
          <w:tcPr>
            <w:tcW w:w="814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21,355</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dividends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Noncurrent operating lease liabilities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7,762</w:t>
            </w:r>
          </w:p>
        </w:tc>
        <w:tc>
          <w:tcPr>
            <w:tcW w:w="0" w:type="dxa"/>
            <w:vAlign w:val="bottom"/>
          </w:tcPr>
          <w:p>
            <w:pPr>
              <w:spacing w:after="0"/>
              <w:rPr>
                <w:sz w:val="1"/>
                <w:szCs w:val="1"/>
                <w:color w:val="auto"/>
              </w:rPr>
            </w:pPr>
          </w:p>
        </w:tc>
      </w:tr>
      <w:tr>
        <w:trPr>
          <w:trHeight w:val="198"/>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9,065</w:t>
            </w:r>
          </w:p>
        </w:tc>
        <w:tc>
          <w:tcPr>
            <w:tcW w:w="0" w:type="dxa"/>
            <w:vAlign w:val="bottom"/>
          </w:tcPr>
          <w:p>
            <w:pPr>
              <w:spacing w:after="0"/>
              <w:rPr>
                <w:sz w:val="1"/>
                <w:szCs w:val="1"/>
                <w:color w:val="auto"/>
              </w:rPr>
            </w:pPr>
          </w:p>
        </w:tc>
      </w:tr>
      <w:tr>
        <w:trPr>
          <w:trHeight w:val="194"/>
        </w:trPr>
        <w:tc>
          <w:tcPr>
            <w:tcW w:w="8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18,441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30,420</w:t>
            </w:r>
          </w:p>
        </w:tc>
        <w:tc>
          <w:tcPr>
            <w:tcW w:w="0" w:type="dxa"/>
            <w:vAlign w:val="bottom"/>
          </w:tcPr>
          <w:p>
            <w:pPr>
              <w:spacing w:after="0"/>
              <w:rPr>
                <w:sz w:val="1"/>
                <w:szCs w:val="1"/>
                <w:color w:val="auto"/>
              </w:rPr>
            </w:pPr>
          </w:p>
        </w:tc>
      </w:tr>
      <w:tr>
        <w:trPr>
          <w:trHeight w:val="18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140" w:type="dxa"/>
            <w:vAlign w:val="bottom"/>
          </w:tcPr>
          <w:p>
            <w:pPr>
              <w:ind w:left="360"/>
              <w:spacing w:after="0" w:line="149" w:lineRule="exact"/>
              <w:rPr>
                <w:sz w:val="20"/>
                <w:szCs w:val="20"/>
                <w:color w:val="auto"/>
              </w:rPr>
            </w:pPr>
            <w:r>
              <w:rPr>
                <w:rFonts w:ascii="Times New Roman" w:cs="Times New Roman" w:eastAsia="Times New Roman" w:hAnsi="Times New Roman"/>
                <w:sz w:val="15"/>
                <w:szCs w:val="15"/>
                <w:color w:val="auto"/>
              </w:rPr>
              <w:t>Common stock, $0.01 par value, authorized 25,000,000 shares, issued 10,500,549 and outstanding 8,326,948 shares at</w:t>
            </w: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December 31, 2020; issued 10,306,570 and outstanding 8,881,086 shares at December 31, 2019</w:t>
            </w: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210,268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203,441</w:t>
            </w:r>
          </w:p>
        </w:tc>
        <w:tc>
          <w:tcPr>
            <w:tcW w:w="0" w:type="dxa"/>
            <w:vAlign w:val="bottom"/>
          </w:tcPr>
          <w:p>
            <w:pPr>
              <w:spacing w:after="0"/>
              <w:rPr>
                <w:sz w:val="1"/>
                <w:szCs w:val="1"/>
                <w:color w:val="auto"/>
              </w:rPr>
            </w:pPr>
          </w:p>
        </w:tc>
      </w:tr>
      <w:tr>
        <w:trPr>
          <w:trHeight w:val="200"/>
        </w:trPr>
        <w:tc>
          <w:tcPr>
            <w:tcW w:w="81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Treasury stock, at cost – 2,173,559 shares at December 31, 2020; 1,425,483 shares at December 31, 2019</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(63,281)</w:t>
            </w:r>
          </w:p>
        </w:tc>
        <w:tc>
          <w:tcPr>
            <w:tcW w:w="0" w:type="dxa"/>
            <w:vAlign w:val="bottom"/>
          </w:tcPr>
          <w:p>
            <w:pPr>
              <w:spacing w:after="0"/>
              <w:rPr>
                <w:sz w:val="1"/>
                <w:szCs w:val="1"/>
                <w:color w:val="auto"/>
              </w:rPr>
            </w:pPr>
          </w:p>
        </w:tc>
      </w:tr>
      <w:tr>
        <w:trPr>
          <w:trHeight w:val="20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(2,943)</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Retained earnings (accumulated deficit)</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10,967</w:t>
            </w:r>
          </w:p>
        </w:tc>
        <w:tc>
          <w:tcPr>
            <w:tcW w:w="0" w:type="dxa"/>
            <w:vAlign w:val="bottom"/>
          </w:tcPr>
          <w:p>
            <w:pPr>
              <w:spacing w:after="0"/>
              <w:rPr>
                <w:sz w:val="1"/>
                <w:szCs w:val="1"/>
                <w:color w:val="auto"/>
              </w:rPr>
            </w:pPr>
          </w:p>
        </w:tc>
      </w:tr>
      <w:tr>
        <w:trPr>
          <w:trHeight w:val="196"/>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130,711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148,287</w:t>
            </w:r>
          </w:p>
        </w:tc>
        <w:tc>
          <w:tcPr>
            <w:tcW w:w="0" w:type="dxa"/>
            <w:vAlign w:val="bottom"/>
          </w:tcPr>
          <w:p>
            <w:pPr>
              <w:spacing w:after="0"/>
              <w:rPr>
                <w:sz w:val="1"/>
                <w:szCs w:val="1"/>
                <w:color w:val="auto"/>
              </w:rPr>
            </w:pPr>
          </w:p>
        </w:tc>
      </w:tr>
      <w:tr>
        <w:trPr>
          <w:trHeight w:val="198"/>
        </w:trPr>
        <w:tc>
          <w:tcPr>
            <w:tcW w:w="8140" w:type="dxa"/>
            <w:vAlign w:val="bottom"/>
          </w:tcPr>
          <w:p>
            <w:pPr>
              <w:ind w:left="68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149,152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178,707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13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88"/>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r>
      <w:tr>
        <w:trPr>
          <w:trHeight w:val="16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(8,947)</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5,911</w:t>
            </w: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provided by operating activities: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9"/>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Depreciation</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r>
      <w:tr>
        <w:trPr>
          <w:trHeight w:val="18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r>
      <w:tr>
        <w:trPr>
          <w:trHeight w:val="189"/>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Unrealized (gains) losses on investments</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w:t>
            </w:r>
          </w:p>
        </w:tc>
      </w:tr>
      <w:tr>
        <w:trPr>
          <w:trHeight w:val="18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6,701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10,305</w:t>
            </w:r>
          </w:p>
        </w:tc>
      </w:tr>
      <w:tr>
        <w:trPr>
          <w:trHeight w:val="189"/>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2,906</w:t>
            </w:r>
          </w:p>
        </w:tc>
      </w:tr>
      <w:tr>
        <w:trPr>
          <w:trHeight w:val="18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Loss on asset disposition</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Non-cash lease expense</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r>
      <w:tr>
        <w:trPr>
          <w:trHeight w:val="18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Impairment of goodwill</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Currency translation adjustment reclassification</w:t>
            </w:r>
          </w:p>
        </w:tc>
        <w:tc>
          <w:tcPr>
            <w:tcW w:w="90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9"/>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Net (purchases) sales of investments – trading securities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15,811</w:t>
            </w:r>
          </w:p>
        </w:tc>
      </w:tr>
      <w:tr>
        <w:trPr>
          <w:trHeight w:val="18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3,683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w:t>
            </w:r>
          </w:p>
        </w:tc>
      </w:tr>
      <w:tr>
        <w:trPr>
          <w:trHeight w:val="189"/>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Other current assets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r>
      <w:tr>
        <w:trPr>
          <w:trHeight w:val="18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189"/>
        </w:trPr>
        <w:tc>
          <w:tcPr>
            <w:tcW w:w="81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Compensation and benefits payable</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(5,018)</w:t>
            </w:r>
          </w:p>
        </w:tc>
      </w:tr>
      <w:tr>
        <w:trPr>
          <w:trHeight w:val="189"/>
        </w:trPr>
        <w:tc>
          <w:tcPr>
            <w:tcW w:w="8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payable</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r>
      <w:tr>
        <w:trPr>
          <w:trHeight w:val="189"/>
        </w:trPr>
        <w:tc>
          <w:tcPr>
            <w:tcW w:w="81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Other liabilities</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w:t>
            </w:r>
          </w:p>
        </w:tc>
      </w:tr>
      <w:tr>
        <w:trPr>
          <w:trHeight w:val="183"/>
        </w:trPr>
        <w:tc>
          <w:tcPr>
            <w:tcW w:w="8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32,172</w:t>
            </w:r>
          </w:p>
        </w:tc>
      </w:tr>
      <w:tr>
        <w:trPr>
          <w:trHeight w:val="189"/>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9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w:t>
            </w: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Additions to internally developed software</w:t>
            </w:r>
          </w:p>
        </w:tc>
        <w:tc>
          <w:tcPr>
            <w:tcW w:w="9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189"/>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on sale of property and equipment</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8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w:t>
            </w:r>
          </w:p>
        </w:tc>
      </w:tr>
      <w:tr>
        <w:trPr>
          <w:trHeight w:val="189"/>
        </w:trPr>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treasury stock for employee stock plans</w:t>
            </w:r>
          </w:p>
        </w:tc>
        <w:tc>
          <w:tcPr>
            <w:tcW w:w="9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Restricted stock returned for payment of taxes</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r>
      <w:tr>
        <w:trPr>
          <w:trHeight w:val="189"/>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Cash dividends</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(26,089)</w:t>
            </w:r>
          </w:p>
        </w:tc>
      </w:tr>
      <w:tr>
        <w:trPr>
          <w:trHeight w:val="183"/>
        </w:trPr>
        <w:tc>
          <w:tcPr>
            <w:tcW w:w="8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(31,870)</w:t>
            </w:r>
          </w:p>
        </w:tc>
      </w:tr>
      <w:tr>
        <w:trPr>
          <w:trHeight w:val="189"/>
        </w:trPr>
        <w:tc>
          <w:tcPr>
            <w:tcW w:w="8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Effect of currency rate changes on cash</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w:t>
            </w:r>
          </w:p>
        </w:tc>
      </w:tr>
      <w:tr>
        <w:trPr>
          <w:trHeight w:val="183"/>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r>
      <w:tr>
        <w:trPr>
          <w:trHeight w:val="189"/>
        </w:trPr>
        <w:tc>
          <w:tcPr>
            <w:tcW w:w="8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49,766</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52,449</w:t>
            </w:r>
          </w:p>
        </w:tc>
      </w:tr>
      <w:tr>
        <w:trPr>
          <w:trHeight w:val="208"/>
        </w:trPr>
        <w:tc>
          <w:tcPr>
            <w:tcW w:w="8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13,016</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9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9"/>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r>
      <w:tr>
        <w:trPr>
          <w:trHeight w:val="189"/>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dividends</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w:t>
            </w:r>
          </w:p>
        </w:tc>
      </w:tr>
    </w:tbl>
    <w:p>
      <w:pPr>
        <w:sectPr>
          <w:pgSz w:w="11900" w:h="16838" w:orient="portrait"/>
          <w:cols w:equalWidth="0" w:num="1">
            <w:col w:w="11220"/>
          </w:cols>
          <w:pgMar w:left="320" w:top="891" w:right="359" w:bottom="1440" w:gutter="0" w:footer="0" w:header="0"/>
        </w:sectPr>
      </w:pPr>
    </w:p>
    <w:bookmarkStart w:id="10" w:name="page11"/>
    <w:bookmarkEnd w:id="10"/>
    <w:p>
      <w:pPr>
        <w:ind w:right="5200"/>
        <w:spacing w:after="0" w:line="263" w:lineRule="auto"/>
        <w:rPr>
          <w:sz w:val="20"/>
          <w:szCs w:val="20"/>
          <w:color w:val="auto"/>
        </w:rPr>
      </w:pPr>
      <w:r>
        <w:rPr>
          <w:rFonts w:ascii="Times New Roman" w:cs="Times New Roman" w:eastAsia="Times New Roman" w:hAnsi="Times New Roman"/>
          <w:sz w:val="21"/>
          <w:szCs w:val="21"/>
          <w:b w:val="1"/>
          <w:bCs w:val="1"/>
          <w:color w:val="auto"/>
        </w:rPr>
        <w:t>WESTWOOD HOLDINGS GROUP, INC. AND SUBSIDIARIES Reconciliation of Net Income to Economic Earnings</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per share and share amounts)</w:t>
      </w: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158"/>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Impairment expense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Intangible amortization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Currency translation adjustment reclassification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Tax benefit from goodwill amortization</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3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Earnings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7,838,504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8,449,689</w:t>
            </w:r>
          </w:p>
        </w:tc>
      </w:tr>
      <w:tr>
        <w:trPr>
          <w:trHeight w:val="212"/>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EPS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r>
    </w:tbl>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r>
      <w:tr>
        <w:trPr>
          <w:trHeight w:val="213"/>
        </w:trPr>
        <w:tc>
          <w:tcPr>
            <w:tcW w:w="8320" w:type="dxa"/>
            <w:vAlign w:val="bottom"/>
          </w:tcPr>
          <w:p>
            <w:pPr>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w:t>
            </w:r>
          </w:p>
        </w:tc>
      </w:tr>
      <w:tr>
        <w:trPr>
          <w:trHeight w:val="21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Impairment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20" w:type="dxa"/>
            <w:vAlign w:val="bottom"/>
          </w:tcPr>
          <w:p>
            <w:pPr>
              <w:spacing w:after="0"/>
              <w:rPr>
                <w:sz w:val="20"/>
                <w:szCs w:val="20"/>
                <w:color w:val="auto"/>
              </w:rPr>
            </w:pPr>
            <w:r>
              <w:rPr>
                <w:rFonts w:ascii="Times New Roman" w:cs="Times New Roman" w:eastAsia="Times New Roman" w:hAnsi="Times New Roman"/>
                <w:sz w:val="16"/>
                <w:szCs w:val="16"/>
                <w:color w:val="auto"/>
              </w:rPr>
              <w:t>Add: Intangible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r>
      <w:tr>
        <w:trPr>
          <w:trHeight w:val="21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Currency translation adjustment reclassification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Add: Tax benefit from goodwill amortization</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37"/>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Economic Earnings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7,987,554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8,463,239</w:t>
            </w:r>
          </w:p>
        </w:tc>
      </w:tr>
      <w:tr>
        <w:trPr>
          <w:trHeight w:val="212"/>
        </w:trPr>
        <w:tc>
          <w:tcPr>
            <w:tcW w:w="8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Economic EPS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bl>
    <w:p>
      <w:pPr>
        <w:spacing w:after="0" w:line="200" w:lineRule="exact"/>
        <w:rPr>
          <w:sz w:val="20"/>
          <w:szCs w:val="20"/>
          <w:color w:val="auto"/>
        </w:rPr>
      </w:pPr>
    </w:p>
    <w:p>
      <w:pPr>
        <w:spacing w:after="0" w:line="24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As supplemental information, we are providing non-GAAP performance measures that we refer to as Economic Earnings (Loss) and Economic EPS. We provide these measures in addition to, not as a substitute for, net income (loss) and earnings (loss) per share, which are reported on a GAAP basis. Our management and Board of Directors review Economic Earnings (Loss)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define Economic Earnings (Loss) as net income (loss) plus non-cash equity-based compensation expense, impairment expense, amortization of intangible assets, currency translation adjustment reclassification and deferred taxes related to goodwill. Although depreciation on fixed assets is a non-cash expense, we do not add it back when calculating Economic Earnings (Loss) because depreciation charges represent an allocation of the decline in the value of the related assets that will ultimately require replacement. In addition, we do not adjust Economic Earnings (Loss) for tax deductions related to restricted stock expense or amortization of intangible assets. Economic EPS represents Economic Earnings (Loss) divided by diluted weighted average shares outstanding.</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2021-02-10T15:26:22Z</dcterms:created>
  <dcterms:modified xsi:type="dcterms:W3CDTF">2021-02-10T15:26:22Z</dcterms:modified>
</cp:coreProperties>
</file>