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spacing w:lineRule="auto" w:line="240" w:before="0" w:after="0"/>
        <w:rPr>
          <w:color w:val="000000"/>
        </w:rPr>
      </w:pPr>
      <w:r>
        <w:rPr>
          <w:color w:val="000000"/>
        </w:rPr>
        <w:t> </w:t>
      </w:r>
    </w:p>
    <w:p>
      <w:pPr>
        <w:pStyle w:val="TextBody"/>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tbl>
      <w:tblPr>
        <w:tblW w:w="9447" w:type="dxa"/>
        <w:jc w:val="center"/>
        <w:tblInd w:w="0" w:type="dxa"/>
        <w:tblCellMar>
          <w:top w:w="28" w:type="dxa"/>
          <w:left w:w="28" w:type="dxa"/>
          <w:bottom w:w="28" w:type="dxa"/>
          <w:right w:w="28" w:type="dxa"/>
        </w:tblCellMar>
      </w:tblPr>
      <w:tblGrid>
        <w:gridCol w:w="124"/>
        <w:gridCol w:w="109"/>
        <w:gridCol w:w="109"/>
        <w:gridCol w:w="2664"/>
        <w:gridCol w:w="2664"/>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9507" w:type="dxa"/>
        <w:jc w:val="center"/>
        <w:tblInd w:w="0" w:type="dxa"/>
        <w:tblCellMar>
          <w:top w:w="28" w:type="dxa"/>
          <w:left w:w="28" w:type="dxa"/>
          <w:bottom w:w="28" w:type="dxa"/>
          <w:right w:w="28" w:type="dxa"/>
        </w:tblCellMar>
      </w:tblPr>
      <w:tblGrid>
        <w:gridCol w:w="124"/>
        <w:gridCol w:w="109"/>
        <w:gridCol w:w="109"/>
        <w:gridCol w:w="2683"/>
        <w:gridCol w:w="2683"/>
        <w:gridCol w:w="37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3" w:type="dxa"/>
            <w:tcBorders/>
            <w:shd w:fill="auto" w:val="clear"/>
            <w:vAlign w:val="center"/>
          </w:tcPr>
          <w:p>
            <w:pPr>
              <w:pStyle w:val="TableContents"/>
              <w:spacing w:before="0" w:after="283"/>
              <w:rPr>
                <w:sz w:val="4"/>
                <w:szCs w:val="4"/>
              </w:rPr>
            </w:pPr>
            <w:r>
              <w:rPr>
                <w:sz w:val="4"/>
                <w:szCs w:val="4"/>
              </w:rPr>
            </w:r>
          </w:p>
        </w:tc>
        <w:tc>
          <w:tcPr>
            <w:tcW w:w="2683" w:type="dxa"/>
            <w:tcBorders/>
            <w:shd w:fill="auto" w:val="clear"/>
            <w:vAlign w:val="center"/>
          </w:tcPr>
          <w:p>
            <w:pPr>
              <w:pStyle w:val="TableContents"/>
              <w:spacing w:before="0" w:after="283"/>
              <w:rPr>
                <w:sz w:val="4"/>
                <w:szCs w:val="4"/>
              </w:rPr>
            </w:pPr>
            <w:r>
              <w:rPr>
                <w:sz w:val="4"/>
                <w:szCs w:val="4"/>
              </w:rPr>
            </w:r>
          </w:p>
        </w:tc>
        <w:tc>
          <w:tcPr>
            <w:tcW w:w="37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1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rFonts w:ascii="Times New Roman;sans-serif" w:hAnsi="Times New Roman;sans-serif"/>
          <w:b/>
          <w:color w:val="000000"/>
          <w:sz w:val="20"/>
        </w:rPr>
        <w:t xml:space="preserve">.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1-31234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spacing w:lineRule="auto" w:line="288" w:before="160" w:after="283"/>
        <w:jc w:val="center"/>
        <w:rPr/>
      </w:pPr>
      <w:r>
        <w:rPr>
          <w:rFonts w:ascii="Times New Roman;sans-serif" w:hAnsi="Times New Roman;sans-serif"/>
          <w:b/>
          <w:color w:val="000000"/>
          <w:sz w:val="40"/>
        </w:rPr>
        <w:t>WESTWOOD HOLDINGS GROUP, INC.</w:t>
      </w:r>
      <w:r>
        <w:rPr>
          <w:color w:val="000000"/>
        </w:rPr>
        <w:t xml:space="preserv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tbl>
      <w:tblPr>
        <w:tblW w:w="7149" w:type="dxa"/>
        <w:jc w:val="center"/>
        <w:tblInd w:w="0" w:type="dxa"/>
        <w:tblCellMar>
          <w:top w:w="28" w:type="dxa"/>
          <w:left w:w="28" w:type="dxa"/>
          <w:bottom w:w="28" w:type="dxa"/>
          <w:right w:w="28" w:type="dxa"/>
        </w:tblCellMar>
      </w:tblPr>
      <w:tblGrid>
        <w:gridCol w:w="788"/>
        <w:gridCol w:w="692"/>
        <w:gridCol w:w="692"/>
        <w:gridCol w:w="692"/>
        <w:gridCol w:w="692"/>
        <w:gridCol w:w="732"/>
        <w:gridCol w:w="109"/>
        <w:gridCol w:w="109"/>
        <w:gridCol w:w="109"/>
        <w:gridCol w:w="740"/>
        <w:gridCol w:w="740"/>
        <w:gridCol w:w="1054"/>
      </w:tblGrid>
      <w:tr>
        <w:trPr/>
        <w:tc>
          <w:tcPr>
            <w:tcW w:w="78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r>
      <w:tr>
        <w:trPr/>
        <w:tc>
          <w:tcPr>
            <w:tcW w:w="42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75-2969997</w:t>
            </w:r>
          </w:p>
        </w:tc>
      </w:tr>
      <w:tr>
        <w:trPr/>
        <w:tc>
          <w:tcPr>
            <w:tcW w:w="42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2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 CRESCENT COURT, SUITE 1200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DALLAS,</w:t>
            </w:r>
          </w:p>
        </w:tc>
        <w:tc>
          <w:tcPr>
            <w:tcW w:w="2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75201</w:t>
            </w:r>
          </w:p>
        </w:tc>
      </w:tr>
      <w:tr>
        <w:trPr/>
        <w:tc>
          <w:tcPr>
            <w:tcW w:w="42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(214) 756-6900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(Former name, former address and former fiscal year, if changed since last report) </w:t>
      </w:r>
    </w:p>
    <w:p>
      <w:pPr>
        <w:pStyle w:val="TextBody"/>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633" w:type="dxa"/>
        <w:jc w:val="center"/>
        <w:tblInd w:w="0" w:type="dxa"/>
        <w:tblCellMar>
          <w:top w:w="28" w:type="dxa"/>
          <w:left w:w="28" w:type="dxa"/>
          <w:bottom w:w="28" w:type="dxa"/>
          <w:right w:w="28" w:type="dxa"/>
        </w:tblCellMar>
      </w:tblPr>
      <w:tblGrid>
        <w:gridCol w:w="1092"/>
        <w:gridCol w:w="963"/>
        <w:gridCol w:w="975"/>
        <w:gridCol w:w="414"/>
        <w:gridCol w:w="414"/>
        <w:gridCol w:w="416"/>
        <w:gridCol w:w="983"/>
        <w:gridCol w:w="983"/>
        <w:gridCol w:w="1393"/>
      </w:tblGrid>
      <w:tr>
        <w:trPr/>
        <w:tc>
          <w:tcPr>
            <w:tcW w:w="109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 of Each Class</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Trading Symbol</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Name of Each Exchange on Which Registered</w:t>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WHG</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spacing w:lineRule="auto" w:line="288" w:before="60" w:after="283"/>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w:t>
      </w:r>
    </w:p>
    <w:tbl>
      <w:tblPr>
        <w:tblW w:w="5370" w:type="dxa"/>
        <w:jc w:val="left"/>
        <w:tblInd w:w="0" w:type="dxa"/>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60" w:after="283"/>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accounting standards provided pursuant to Section 13(a) of the Exchange Act. </w:t>
      </w:r>
      <w:r>
        <w:rPr>
          <w:color w:val="000000"/>
        </w:rPr>
        <w:t>☐</w:t>
      </w:r>
    </w:p>
    <w:p>
      <w:pPr>
        <w:pStyle w:val="TextBody"/>
        <w:spacing w:lineRule="auto" w:line="288" w:before="60" w:after="283"/>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 xml:space="preserve">☒ </w:t>
      </w:r>
    </w:p>
    <w:p>
      <w:pPr>
        <w:pStyle w:val="TextBody"/>
        <w:spacing w:lineRule="auto" w:line="288" w:before="60" w:after="283"/>
        <w:rPr>
          <w:rFonts w:ascii="Times New Roman;sans-serif" w:hAnsi="Times New Roman;sans-serif"/>
          <w:b w:val="false"/>
          <w:color w:val="000000"/>
          <w:sz w:val="16"/>
        </w:rPr>
      </w:pPr>
      <w:r>
        <w:rPr>
          <w:rFonts w:ascii="Times New Roman;sans-serif" w:hAnsi="Times New Roman;sans-serif"/>
          <w:b w:val="false"/>
          <w:color w:val="000000"/>
          <w:sz w:val="16"/>
        </w:rPr>
        <w:t>Shares of common stock, par value $0.01 per share, outstanding as of April 28, 2023: 9,144,197.</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____________________________________________________________________________________________________</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INDEX </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71"/>
        <w:gridCol w:w="237"/>
        <w:gridCol w:w="239"/>
        <w:gridCol w:w="109"/>
        <w:gridCol w:w="109"/>
        <w:gridCol w:w="109"/>
        <w:gridCol w:w="2830"/>
        <w:gridCol w:w="2830"/>
        <w:gridCol w:w="2836"/>
        <w:gridCol w:w="184"/>
        <w:gridCol w:w="184"/>
        <w:gridCol w:w="267"/>
      </w:tblGrid>
      <w:tr>
        <w:trPr/>
        <w:tc>
          <w:tcPr>
            <w:tcW w:w="27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0" w:type="dxa"/>
            <w:tcBorders/>
            <w:shd w:fill="auto" w:val="clear"/>
            <w:vAlign w:val="center"/>
          </w:tcPr>
          <w:p>
            <w:pPr>
              <w:pStyle w:val="TableContents"/>
              <w:spacing w:before="0" w:after="283"/>
              <w:rPr>
                <w:sz w:val="4"/>
                <w:szCs w:val="4"/>
              </w:rPr>
            </w:pPr>
            <w:r>
              <w:rPr>
                <w:sz w:val="4"/>
                <w:szCs w:val="4"/>
              </w:rPr>
            </w:r>
          </w:p>
        </w:tc>
        <w:tc>
          <w:tcPr>
            <w:tcW w:w="2830"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PART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INFORMATION</w:t>
            </w:r>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Statements</w:t>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72998a566e594f1c8e63bd6540259095_13">
              <w:r>
                <w:rPr>
                  <w:rStyle w:val="InternetLink"/>
                </w:rPr>
                <w:t xml:space="preserve">Condensed Consolidated Balance Sheets as of </w:t>
              </w:r>
            </w:hyperlink>
            <w:hyperlink w:anchor="i72998a566e594f1c8e63bd6540259095_13">
              <w:r>
                <w:rPr>
                  <w:rStyle w:val="InternetLink"/>
                </w:rPr>
                <w:t>Mar</w:t>
              </w:r>
            </w:hyperlink>
            <w:hyperlink w:anchor="i72998a566e594f1c8e63bd6540259095_13">
              <w:r>
                <w:rPr>
                  <w:rStyle w:val="InternetLink"/>
                </w:rPr>
                <w:t>ch</w:t>
              </w:r>
            </w:hyperlink>
            <w:hyperlink w:anchor="i72998a566e594f1c8e63bd6540259095_13">
              <w:r>
                <w:rPr>
                  <w:rStyle w:val="InternetLink"/>
                </w:rPr>
                <w:t xml:space="preserve"> 3</w:t>
              </w:r>
            </w:hyperlink>
            <w:hyperlink w:anchor="i72998a566e594f1c8e63bd6540259095_13">
              <w:r>
                <w:rPr>
                  <w:rStyle w:val="InternetLink"/>
                </w:rPr>
                <w:t>1</w:t>
              </w:r>
            </w:hyperlink>
            <w:hyperlink w:anchor="i72998a566e594f1c8e63bd6540259095_13">
              <w:r>
                <w:rPr>
                  <w:rStyle w:val="InternetLink"/>
                </w:rPr>
                <w:t>, 202</w:t>
              </w:r>
            </w:hyperlink>
            <w:hyperlink w:anchor="i72998a566e594f1c8e63bd6540259095_13">
              <w:r>
                <w:rPr>
                  <w:rStyle w:val="InternetLink"/>
                </w:rPr>
                <w:t>3</w:t>
              </w:r>
            </w:hyperlink>
            <w:hyperlink w:anchor="i72998a566e594f1c8e63bd6540259095_13">
              <w:r>
                <w:rPr>
                  <w:rStyle w:val="InternetLink"/>
                </w:rPr>
                <w:t xml:space="preserve"> and December 31, 202</w:t>
              </w:r>
            </w:hyperlink>
            <w:hyperlink w:anchor="i72998a566e594f1c8e63bd6540259095_13">
              <w:r>
                <w:rPr>
                  <w:rStyle w:val="InternetLink"/>
                </w:rPr>
                <w:t>2</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3">
              <w:r>
                <w:rPr>
                  <w:rStyle w:val="InternetLink"/>
                  <w:rFonts w:ascii="Times New Roman;sans-serif" w:hAnsi="Times New Roman;sans-serif"/>
                  <w:b w:val="false"/>
                  <w:strike w:val="false"/>
                  <w:dstrike w:val="false"/>
                  <w:color w:val="0000FF"/>
                  <w:sz w:val="18"/>
                  <w:u w:val="none"/>
                  <w:effect w:val="none"/>
                </w:rPr>
                <w:t>1</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9">
              <w:r>
                <w:rPr>
                  <w:rStyle w:val="InternetLink"/>
                </w:rPr>
                <w:t>Condensed Consolidated Statements of Comprehensive Income</w:t>
              </w:r>
            </w:hyperlink>
            <w:hyperlink w:anchor="i72998a566e594f1c8e63bd6540259095_19">
              <w:r>
                <w:rPr>
                  <w:rStyle w:val="InternetLink"/>
                </w:rPr>
                <w:t xml:space="preserve"> for the </w:t>
              </w:r>
            </w:hyperlink>
            <w:hyperlink w:anchor="i72998a566e594f1c8e63bd6540259095_19">
              <w:r>
                <w:rPr>
                  <w:rStyle w:val="InternetLink"/>
                </w:rPr>
                <w:t>Three</w:t>
              </w:r>
            </w:hyperlink>
            <w:hyperlink w:anchor="i72998a566e594f1c8e63bd6540259095_19">
              <w:r>
                <w:rPr>
                  <w:rStyle w:val="InternetLink"/>
                </w:rPr>
                <w:t xml:space="preserve"> </w:t>
              </w:r>
            </w:hyperlink>
            <w:hyperlink w:anchor="i72998a566e594f1c8e63bd6540259095_19">
              <w:r>
                <w:rPr>
                  <w:rStyle w:val="InternetLink"/>
                </w:rPr>
                <w:t xml:space="preserve">Months Ended </w:t>
              </w:r>
            </w:hyperlink>
            <w:hyperlink w:anchor="i72998a566e594f1c8e63bd6540259095_19">
              <w:r>
                <w:rPr>
                  <w:rStyle w:val="InternetLink"/>
                </w:rPr>
                <w:t>March</w:t>
              </w:r>
            </w:hyperlink>
            <w:hyperlink w:anchor="i72998a566e594f1c8e63bd6540259095_19">
              <w:r>
                <w:rPr>
                  <w:rStyle w:val="InternetLink"/>
                </w:rPr>
                <w:t xml:space="preserve"> 3</w:t>
              </w:r>
            </w:hyperlink>
            <w:hyperlink w:anchor="i72998a566e594f1c8e63bd6540259095_19">
              <w:r>
                <w:rPr>
                  <w:rStyle w:val="InternetLink"/>
                </w:rPr>
                <w:t>1</w:t>
              </w:r>
            </w:hyperlink>
            <w:hyperlink w:anchor="i72998a566e594f1c8e63bd6540259095_19">
              <w:r>
                <w:rPr>
                  <w:rStyle w:val="InternetLink"/>
                </w:rPr>
                <w:t>, 202</w:t>
              </w:r>
            </w:hyperlink>
            <w:hyperlink w:anchor="i72998a566e594f1c8e63bd6540259095_19">
              <w:r>
                <w:rPr>
                  <w:rStyle w:val="InternetLink"/>
                </w:rPr>
                <w:t>3</w:t>
              </w:r>
            </w:hyperlink>
            <w:hyperlink w:anchor="i72998a566e594f1c8e63bd6540259095_19">
              <w:r>
                <w:rPr>
                  <w:rStyle w:val="InternetLink"/>
                </w:rPr>
                <w:t xml:space="preserve"> and 20</w:t>
              </w:r>
            </w:hyperlink>
            <w:hyperlink w:anchor="i72998a566e594f1c8e63bd6540259095_19">
              <w:r>
                <w:rPr>
                  <w:rStyle w:val="InternetLink"/>
                </w:rPr>
                <w:t>2</w:t>
              </w:r>
            </w:hyperlink>
            <w:hyperlink w:anchor="i72998a566e594f1c8e63bd6540259095_19">
              <w:r>
                <w:rPr>
                  <w:rStyle w:val="InternetLink"/>
                </w:rPr>
                <w:t>2</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9">
              <w:r>
                <w:rPr>
                  <w:rStyle w:val="InternetLink"/>
                  <w:rFonts w:ascii="Times New Roman;sans-serif" w:hAnsi="Times New Roman;sans-serif"/>
                  <w:b w:val="false"/>
                  <w:strike w:val="false"/>
                  <w:dstrike w:val="false"/>
                  <w:color w:val="0000FF"/>
                  <w:sz w:val="18"/>
                  <w:u w:val="none"/>
                  <w:effect w:val="none"/>
                </w:rPr>
                <w:t>2</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22">
              <w:r>
                <w:rPr>
                  <w:rStyle w:val="InternetLink"/>
                </w:rPr>
                <w:t>Condensed Consolidated Statement</w:t>
              </w:r>
            </w:hyperlink>
            <w:hyperlink w:anchor="i72998a566e594f1c8e63bd6540259095_22">
              <w:r>
                <w:rPr>
                  <w:rStyle w:val="InternetLink"/>
                </w:rPr>
                <w:t>s</w:t>
              </w:r>
            </w:hyperlink>
            <w:hyperlink w:anchor="i72998a566e594f1c8e63bd6540259095_22">
              <w:r>
                <w:rPr>
                  <w:rStyle w:val="InternetLink"/>
                </w:rPr>
                <w:t xml:space="preserve"> of Stockholders’ Equity for the Three</w:t>
              </w:r>
            </w:hyperlink>
            <w:hyperlink w:anchor="i72998a566e594f1c8e63bd6540259095_22">
              <w:r>
                <w:rPr>
                  <w:rStyle w:val="InternetLink"/>
                </w:rPr>
                <w:t xml:space="preserve"> Months Ended </w:t>
              </w:r>
            </w:hyperlink>
            <w:hyperlink w:anchor="i72998a566e594f1c8e63bd6540259095_22">
              <w:r>
                <w:rPr>
                  <w:rStyle w:val="InternetLink"/>
                </w:rPr>
                <w:t>March</w:t>
              </w:r>
            </w:hyperlink>
            <w:hyperlink w:anchor="i72998a566e594f1c8e63bd6540259095_22">
              <w:r>
                <w:rPr>
                  <w:rStyle w:val="InternetLink"/>
                </w:rPr>
                <w:t xml:space="preserve"> 3</w:t>
              </w:r>
            </w:hyperlink>
            <w:hyperlink w:anchor="i72998a566e594f1c8e63bd6540259095_22">
              <w:r>
                <w:rPr>
                  <w:rStyle w:val="InternetLink"/>
                </w:rPr>
                <w:t>1</w:t>
              </w:r>
            </w:hyperlink>
            <w:hyperlink w:anchor="i72998a566e594f1c8e63bd6540259095_22">
              <w:r>
                <w:rPr>
                  <w:rStyle w:val="InternetLink"/>
                </w:rPr>
                <w:t>, 202</w:t>
              </w:r>
            </w:hyperlink>
            <w:hyperlink w:anchor="i72998a566e594f1c8e63bd6540259095_22">
              <w:r>
                <w:rPr>
                  <w:rStyle w:val="InternetLink"/>
                </w:rPr>
                <w:t>3</w:t>
              </w:r>
            </w:hyperlink>
            <w:hyperlink w:anchor="i72998a566e594f1c8e63bd6540259095_22">
              <w:r>
                <w:rPr>
                  <w:rStyle w:val="InternetLink"/>
                </w:rPr>
                <w:t xml:space="preserve"> and 20</w:t>
              </w:r>
            </w:hyperlink>
            <w:hyperlink w:anchor="i72998a566e594f1c8e63bd6540259095_22">
              <w:r>
                <w:rPr>
                  <w:rStyle w:val="InternetLink"/>
                </w:rPr>
                <w:t>2</w:t>
              </w:r>
            </w:hyperlink>
            <w:hyperlink w:anchor="i72998a566e594f1c8e63bd6540259095_22">
              <w:r>
                <w:rPr>
                  <w:rStyle w:val="InternetLink"/>
                </w:rPr>
                <w:t>2</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22">
              <w:r>
                <w:rPr>
                  <w:rStyle w:val="InternetLink"/>
                  <w:rFonts w:ascii="Times New Roman;sans-serif" w:hAnsi="Times New Roman;sans-serif"/>
                  <w:b w:val="false"/>
                  <w:strike w:val="false"/>
                  <w:dstrike w:val="false"/>
                  <w:color w:val="0000FF"/>
                  <w:sz w:val="18"/>
                  <w:u w:val="none"/>
                  <w:effect w:val="none"/>
                </w:rPr>
                <w:t>3</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31">
              <w:r>
                <w:rPr>
                  <w:rStyle w:val="InternetLink"/>
                </w:rPr>
                <w:t xml:space="preserve">Condensed Consolidated Statements of Cash Flows for the </w:t>
              </w:r>
            </w:hyperlink>
            <w:hyperlink w:anchor="i72998a566e594f1c8e63bd6540259095_31">
              <w:r>
                <w:rPr>
                  <w:rStyle w:val="InternetLink"/>
                </w:rPr>
                <w:t>Three</w:t>
              </w:r>
            </w:hyperlink>
            <w:hyperlink w:anchor="i72998a566e594f1c8e63bd6540259095_31">
              <w:r>
                <w:rPr>
                  <w:rStyle w:val="InternetLink"/>
                </w:rPr>
                <w:t xml:space="preserve"> </w:t>
              </w:r>
            </w:hyperlink>
            <w:hyperlink w:anchor="i72998a566e594f1c8e63bd6540259095_31">
              <w:r>
                <w:rPr>
                  <w:rStyle w:val="InternetLink"/>
                </w:rPr>
                <w:t xml:space="preserve">Months Ended </w:t>
              </w:r>
            </w:hyperlink>
            <w:hyperlink w:anchor="i72998a566e594f1c8e63bd6540259095_31">
              <w:r>
                <w:rPr>
                  <w:rStyle w:val="InternetLink"/>
                </w:rPr>
                <w:t>March</w:t>
              </w:r>
            </w:hyperlink>
            <w:hyperlink w:anchor="i72998a566e594f1c8e63bd6540259095_31">
              <w:r>
                <w:rPr>
                  <w:rStyle w:val="InternetLink"/>
                </w:rPr>
                <w:t xml:space="preserve"> 3</w:t>
              </w:r>
            </w:hyperlink>
            <w:hyperlink w:anchor="i72998a566e594f1c8e63bd6540259095_31">
              <w:r>
                <w:rPr>
                  <w:rStyle w:val="InternetLink"/>
                </w:rPr>
                <w:t>1,</w:t>
              </w:r>
            </w:hyperlink>
            <w:hyperlink w:anchor="i72998a566e594f1c8e63bd6540259095_31">
              <w:r>
                <w:rPr>
                  <w:rStyle w:val="InternetLink"/>
                </w:rPr>
                <w:t xml:space="preserve"> 202</w:t>
              </w:r>
            </w:hyperlink>
            <w:hyperlink w:anchor="i72998a566e594f1c8e63bd6540259095_31">
              <w:r>
                <w:rPr>
                  <w:rStyle w:val="InternetLink"/>
                </w:rPr>
                <w:t>3</w:t>
              </w:r>
            </w:hyperlink>
            <w:hyperlink w:anchor="i72998a566e594f1c8e63bd6540259095_31">
              <w:r>
                <w:rPr>
                  <w:rStyle w:val="InternetLink"/>
                </w:rPr>
                <w:t xml:space="preserve"> and 20</w:t>
              </w:r>
            </w:hyperlink>
            <w:hyperlink w:anchor="i72998a566e594f1c8e63bd6540259095_31">
              <w:r>
                <w:rPr>
                  <w:rStyle w:val="InternetLink"/>
                </w:rPr>
                <w:t>2</w:t>
              </w:r>
            </w:hyperlink>
            <w:hyperlink w:anchor="i72998a566e594f1c8e63bd6540259095_31">
              <w:r>
                <w:rPr>
                  <w:rStyle w:val="InternetLink"/>
                </w:rPr>
                <w:t>2</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31">
              <w:r>
                <w:rPr>
                  <w:rStyle w:val="InternetLink"/>
                  <w:rFonts w:ascii="Times New Roman;sans-serif" w:hAnsi="Times New Roman;sans-serif"/>
                  <w:b w:val="false"/>
                  <w:strike w:val="false"/>
                  <w:dstrike w:val="false"/>
                  <w:color w:val="0000FF"/>
                  <w:sz w:val="18"/>
                  <w:u w:val="none"/>
                  <w:effect w:val="none"/>
                </w:rPr>
                <w:t>4</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34">
              <w:r>
                <w:rPr>
                  <w:rStyle w:val="InternetLink"/>
                  <w:rFonts w:ascii="Times New Roman;sans-serif" w:hAnsi="Times New Roman;sans-serif"/>
                  <w:b w:val="false"/>
                  <w:color w:val="0000FF"/>
                  <w:sz w:val="18"/>
                  <w:u w:val="single"/>
                </w:rPr>
                <w:t>Notes to Condensed Consolidated Financial Statements</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34">
              <w:r>
                <w:rPr>
                  <w:rStyle w:val="InternetLink"/>
                  <w:rFonts w:ascii="Times New Roman;sans-serif" w:hAnsi="Times New Roman;sans-serif"/>
                  <w:b w:val="false"/>
                  <w:strike w:val="false"/>
                  <w:dstrike w:val="false"/>
                  <w:color w:val="0000FF"/>
                  <w:sz w:val="18"/>
                  <w:u w:val="none"/>
                  <w:effect w:val="none"/>
                </w:rPr>
                <w:t>5</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91">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91">
              <w:r>
                <w:rPr>
                  <w:rStyle w:val="InternetLink"/>
                  <w:rFonts w:ascii="Times New Roman;sans-serif" w:hAnsi="Times New Roman;sans-serif"/>
                  <w:b w:val="false"/>
                  <w:strike w:val="false"/>
                  <w:dstrike w:val="false"/>
                  <w:color w:val="0000FF"/>
                  <w:sz w:val="18"/>
                  <w:u w:val="none"/>
                  <w:effect w:val="none"/>
                </w:rPr>
                <w:t>16</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33">
              <w:r>
                <w:rPr>
                  <w:rStyle w:val="InternetLink"/>
                  <w:rFonts w:ascii="Times New Roman;sans-serif" w:hAnsi="Times New Roman;sans-serif"/>
                  <w:b w:val="false"/>
                  <w:color w:val="0000FF"/>
                  <w:sz w:val="18"/>
                  <w:u w:val="single"/>
                </w:rPr>
                <w:t>Quantitative and Qualitative Disclosures About Market Risk</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33">
              <w:r>
                <w:rPr>
                  <w:rStyle w:val="InternetLink"/>
                  <w:rFonts w:ascii="Times New Roman;sans-serif" w:hAnsi="Times New Roman;sans-serif"/>
                  <w:b w:val="false"/>
                  <w:strike w:val="false"/>
                  <w:dstrike w:val="false"/>
                  <w:color w:val="0000FF"/>
                  <w:sz w:val="18"/>
                  <w:u w:val="none"/>
                  <w:effect w:val="none"/>
                </w:rPr>
                <w:t>23</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36">
              <w:r>
                <w:rPr>
                  <w:rStyle w:val="InternetLink"/>
                  <w:rFonts w:ascii="Times New Roman;sans-serif" w:hAnsi="Times New Roman;sans-serif"/>
                  <w:b w:val="false"/>
                  <w:color w:val="0000FF"/>
                  <w:sz w:val="18"/>
                  <w:u w:val="single"/>
                </w:rPr>
                <w:t>Controls and Procedures</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36">
              <w:r>
                <w:rPr>
                  <w:rStyle w:val="InternetLink"/>
                  <w:rFonts w:ascii="Times New Roman;sans-serif" w:hAnsi="Times New Roman;sans-serif"/>
                  <w:b w:val="false"/>
                  <w:strike w:val="false"/>
                  <w:dstrike w:val="false"/>
                  <w:color w:val="0000FF"/>
                  <w:sz w:val="18"/>
                  <w:u w:val="none"/>
                  <w:effect w:val="none"/>
                </w:rPr>
                <w:t>23</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PART 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39">
              <w:r>
                <w:rPr>
                  <w:rStyle w:val="InternetLink"/>
                  <w:rFonts w:ascii="Times New Roman;sans-serif" w:hAnsi="Times New Roman;sans-serif"/>
                  <w:b w:val="false"/>
                  <w:color w:val="0000FF"/>
                  <w:sz w:val="18"/>
                  <w:u w:val="single"/>
                </w:rPr>
                <w:t>OTHER INFORMATION</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39">
              <w:r>
                <w:rPr>
                  <w:rStyle w:val="InternetLink"/>
                  <w:rFonts w:ascii="Times New Roman;sans-serif" w:hAnsi="Times New Roman;sans-serif"/>
                  <w:b w:val="false"/>
                  <w:strike w:val="false"/>
                  <w:dstrike w:val="false"/>
                  <w:color w:val="0000FF"/>
                  <w:sz w:val="18"/>
                  <w:u w:val="none"/>
                  <w:effect w:val="none"/>
                </w:rPr>
                <w:t>25</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42">
              <w:r>
                <w:rPr>
                  <w:rStyle w:val="InternetLink"/>
                  <w:rFonts w:ascii="Times New Roman;sans-serif" w:hAnsi="Times New Roman;sans-serif"/>
                  <w:b w:val="false"/>
                  <w:color w:val="0000FF"/>
                  <w:sz w:val="18"/>
                  <w:u w:val="single"/>
                </w:rPr>
                <w:t>Legal Proceedings</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42">
              <w:r>
                <w:rPr>
                  <w:rStyle w:val="InternetLink"/>
                  <w:rFonts w:ascii="Times New Roman;sans-serif" w:hAnsi="Times New Roman;sans-serif"/>
                  <w:b w:val="false"/>
                  <w:strike w:val="false"/>
                  <w:dstrike w:val="false"/>
                  <w:color w:val="0000FF"/>
                  <w:sz w:val="18"/>
                  <w:u w:val="none"/>
                  <w:effect w:val="none"/>
                </w:rPr>
                <w:t>25</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45">
              <w:r>
                <w:rPr>
                  <w:rStyle w:val="InternetLink"/>
                  <w:rFonts w:ascii="Times New Roman;sans-serif" w:hAnsi="Times New Roman;sans-serif"/>
                  <w:b w:val="false"/>
                  <w:color w:val="0000FF"/>
                  <w:sz w:val="18"/>
                  <w:u w:val="single"/>
                </w:rPr>
                <w:t>Risk Factors</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45">
              <w:r>
                <w:rPr>
                  <w:rStyle w:val="InternetLink"/>
                  <w:rFonts w:ascii="Times New Roman;sans-serif" w:hAnsi="Times New Roman;sans-serif"/>
                  <w:b w:val="false"/>
                  <w:strike w:val="false"/>
                  <w:dstrike w:val="false"/>
                  <w:color w:val="0000FF"/>
                  <w:sz w:val="18"/>
                  <w:u w:val="none"/>
                  <w:effect w:val="none"/>
                </w:rPr>
                <w:t>25</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48">
              <w:r>
                <w:rPr>
                  <w:rStyle w:val="InternetLink"/>
                  <w:rFonts w:ascii="Times New Roman;sans-serif" w:hAnsi="Times New Roman;sans-serif"/>
                  <w:b w:val="false"/>
                  <w:color w:val="0000FF"/>
                  <w:sz w:val="18"/>
                  <w:u w:val="single"/>
                </w:rPr>
                <w:t>Unregistered Sales of Equity Securities and Use of Proceeds</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48">
              <w:r>
                <w:rPr>
                  <w:rStyle w:val="InternetLink"/>
                  <w:rFonts w:ascii="Times New Roman;sans-serif" w:hAnsi="Times New Roman;sans-serif"/>
                  <w:b w:val="false"/>
                  <w:strike w:val="false"/>
                  <w:dstrike w:val="false"/>
                  <w:color w:val="0000FF"/>
                  <w:sz w:val="18"/>
                  <w:u w:val="none"/>
                  <w:effect w:val="none"/>
                </w:rPr>
                <w:t>25</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51">
              <w:r>
                <w:rPr>
                  <w:rStyle w:val="InternetLink"/>
                  <w:rFonts w:ascii="Times New Roman;sans-serif" w:hAnsi="Times New Roman;sans-serif"/>
                  <w:b w:val="false"/>
                  <w:color w:val="0000FF"/>
                  <w:sz w:val="18"/>
                  <w:u w:val="single"/>
                </w:rPr>
                <w:t>Exhibits</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51">
              <w:r>
                <w:rPr>
                  <w:rStyle w:val="InternetLink"/>
                  <w:rFonts w:ascii="Times New Roman;sans-serif" w:hAnsi="Times New Roman;sans-serif"/>
                  <w:b w:val="false"/>
                  <w:strike w:val="false"/>
                  <w:dstrike w:val="false"/>
                  <w:color w:val="0000FF"/>
                  <w:sz w:val="18"/>
                  <w:u w:val="none"/>
                  <w:effect w:val="none"/>
                </w:rPr>
                <w:t>26</w:t>
              </w:r>
            </w:hyperlink>
          </w:p>
        </w:tc>
      </w:tr>
      <w:tr>
        <w:trPr/>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70"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72998a566e594f1c8e63bd6540259095_154">
              <w:r>
                <w:rPr>
                  <w:rStyle w:val="InternetLink"/>
                  <w:rFonts w:ascii="Times New Roman;sans-serif" w:hAnsi="Times New Roman;sans-serif"/>
                  <w:b w:val="false"/>
                  <w:color w:val="0000FF"/>
                  <w:sz w:val="18"/>
                  <w:u w:val="single"/>
                </w:rPr>
                <w:t>Signatures</w:t>
              </w:r>
            </w:hyperlink>
          </w:p>
        </w:tc>
        <w:tc>
          <w:tcPr>
            <w:tcW w:w="63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998a566e594f1c8e63bd6540259095_154">
              <w:r>
                <w:rPr>
                  <w:rStyle w:val="InternetLink"/>
                  <w:rFonts w:ascii="Times New Roman;sans-serif" w:hAnsi="Times New Roman;sans-serif"/>
                  <w:b w:val="false"/>
                  <w:strike w:val="false"/>
                  <w:dstrike w:val="false"/>
                  <w:color w:val="0000FF"/>
                  <w:sz w:val="18"/>
                  <w:u w:val="none"/>
                  <w:effect w:val="none"/>
                </w:rPr>
                <w:t>27</w:t>
              </w:r>
            </w:hyperlink>
          </w:p>
        </w:tc>
      </w:tr>
    </w:tbl>
    <w:p>
      <w:pPr>
        <w:pStyle w:val="TextBody"/>
        <w:spacing w:lineRule="auto" w:line="288" w:before="0" w:after="0"/>
        <w:jc w:val="right"/>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before="240" w:after="283"/>
        <w:rPr>
          <w:color w:val="000000"/>
        </w:rPr>
      </w:pPr>
      <w:r>
        <w:rPr>
          <w:color w:val="000000"/>
        </w:rPr>
        <w:t> </w:t>
      </w:r>
    </w:p>
    <w:p>
      <w:pPr>
        <w:pStyle w:val="TextBody"/>
        <w:spacing w:before="0" w:after="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par value and share amounts)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979"/>
        <w:gridCol w:w="2238"/>
        <w:gridCol w:w="2233"/>
        <w:gridCol w:w="214"/>
        <w:gridCol w:w="804"/>
        <w:gridCol w:w="119"/>
        <w:gridCol w:w="109"/>
        <w:gridCol w:w="109"/>
        <w:gridCol w:w="109"/>
        <w:gridCol w:w="232"/>
        <w:gridCol w:w="873"/>
        <w:gridCol w:w="186"/>
      </w:tblGrid>
      <w:tr>
        <w:trPr/>
        <w:tc>
          <w:tcPr>
            <w:tcW w:w="2979"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23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16,751 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23,859 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15,185 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at fair value</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15,594 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15,342 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income taxes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assets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4,645 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58,192 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4,228 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Noncurrent investments at fair value</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39,929 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35,732 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assets, net</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27,931 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28,952 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 of accumulated depreciation of $9,578 and $9,277</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assets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long-term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88,997 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88,235 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141,799 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146,427 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and accrued liabilities</w:t>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6,715 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payable</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Compensation and benefits payable</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3,073 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8,689 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dividends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Contingent consideration</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11,841 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12,901 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Noncurrent operating lease liabilities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long-term liabilities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18,165 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29,929 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35,779 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11)</w:t>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Stockholders' Equity:</w:t>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authorized 25,000,000 shares, issued 11,925,846 and outstanding 9,212,390 shares at March 31, 2023; issued 11,527,544 and outstanding 8,881,811 shares at December 31, 2022</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200,453 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199,914 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7"/>
              </w:rPr>
            </w:pPr>
            <w:r>
              <w:rPr>
                <w:rFonts w:ascii="Times New Roman;sans-serif" w:hAnsi="Times New Roman;sans-serif"/>
                <w:b w:val="false"/>
                <w:color w:val="000000"/>
                <w:sz w:val="17"/>
              </w:rPr>
              <w:t>Treasury stock, at cost - 2,713,456 shares at March 31, 2023; 2,645,713 shares at December 31, 2022</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(85,965)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(85,128)</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(4,253)</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Westwood Holdings Group, Inc. stockholders’ equity</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110,855 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110,648 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Noncontrolling interest in consolidated subsidiary</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equity</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111,870 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110,648 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and stockholders' equity</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141,799 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146,427 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840"/>
                <wp:effectExtent l="0" t="0" r="0" b="0"/>
                <wp:wrapNone/>
                <wp:docPr id="3" name="Frame3"/>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WESTWOOD HOLDINGS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and share amounts)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rPr>
          <w:color w:val="000000"/>
        </w:rPr>
      </w:pPr>
      <w:r>
        <w:rPr>
          <w:color w:val="000000"/>
        </w:rPr>
        <w:t> </w:t>
      </w:r>
    </w:p>
    <w:tbl>
      <w:tblPr>
        <w:tblW w:w="8472" w:type="dxa"/>
        <w:jc w:val="left"/>
        <w:tblInd w:w="0" w:type="dxa"/>
        <w:tblCellMar>
          <w:top w:w="28" w:type="dxa"/>
          <w:left w:w="28" w:type="dxa"/>
          <w:bottom w:w="28" w:type="dxa"/>
          <w:right w:w="28" w:type="dxa"/>
        </w:tblCellMar>
      </w:tblPr>
      <w:tblGrid>
        <w:gridCol w:w="2026"/>
        <w:gridCol w:w="1777"/>
        <w:gridCol w:w="1791"/>
        <w:gridCol w:w="211"/>
        <w:gridCol w:w="695"/>
        <w:gridCol w:w="117"/>
        <w:gridCol w:w="117"/>
        <w:gridCol w:w="117"/>
        <w:gridCol w:w="117"/>
        <w:gridCol w:w="211"/>
        <w:gridCol w:w="695"/>
        <w:gridCol w:w="117"/>
        <w:gridCol w:w="109"/>
        <w:gridCol w:w="109"/>
        <w:gridCol w:w="109"/>
        <w:gridCol w:w="154"/>
      </w:tblGrid>
      <w:tr>
        <w:trPr/>
        <w:tc>
          <w:tcPr>
            <w:tcW w:w="2026"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17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Advisory fees:</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Asset-based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Performance-based</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fees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benefits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Westwood mutual funds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technology</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expenses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operating income (loss)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private investments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 (loss)</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comprehensive income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attributable to Westwood Holdings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7,853,921 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7,865,174 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7,968,504 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7,931,453 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840"/>
                <wp:effectExtent l="0" t="0" r="0" b="0"/>
                <wp:wrapNone/>
                <wp:docPr id="4" name="Frame4"/>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 OF STOCKHOLDERS’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March 31, 2023 and 2022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before="0" w:after="0"/>
        <w:jc w:val="center"/>
        <w:rPr/>
      </w:pPr>
      <w:r>
        <w:rPr/>
      </w:r>
    </w:p>
    <w:tbl>
      <w:tblPr>
        <w:tblW w:w="10324" w:type="dxa"/>
        <w:jc w:val="center"/>
        <w:tblInd w:w="0" w:type="dxa"/>
        <w:tblCellMar>
          <w:top w:w="28" w:type="dxa"/>
          <w:left w:w="28" w:type="dxa"/>
          <w:bottom w:w="28" w:type="dxa"/>
          <w:right w:w="28" w:type="dxa"/>
        </w:tblCellMar>
      </w:tblPr>
      <w:tblGrid>
        <w:gridCol w:w="457"/>
        <w:gridCol w:w="244"/>
        <w:gridCol w:w="245"/>
        <w:gridCol w:w="435"/>
        <w:gridCol w:w="436"/>
        <w:gridCol w:w="196"/>
        <w:gridCol w:w="109"/>
        <w:gridCol w:w="109"/>
        <w:gridCol w:w="109"/>
        <w:gridCol w:w="196"/>
        <w:gridCol w:w="421"/>
        <w:gridCol w:w="109"/>
        <w:gridCol w:w="109"/>
        <w:gridCol w:w="109"/>
        <w:gridCol w:w="109"/>
        <w:gridCol w:w="196"/>
        <w:gridCol w:w="736"/>
        <w:gridCol w:w="109"/>
        <w:gridCol w:w="109"/>
        <w:gridCol w:w="109"/>
        <w:gridCol w:w="109"/>
        <w:gridCol w:w="196"/>
        <w:gridCol w:w="661"/>
        <w:gridCol w:w="109"/>
        <w:gridCol w:w="109"/>
        <w:gridCol w:w="109"/>
        <w:gridCol w:w="109"/>
        <w:gridCol w:w="109"/>
        <w:gridCol w:w="109"/>
        <w:gridCol w:w="248"/>
        <w:gridCol w:w="724"/>
        <w:gridCol w:w="139"/>
        <w:gridCol w:w="109"/>
        <w:gridCol w:w="109"/>
        <w:gridCol w:w="109"/>
        <w:gridCol w:w="273"/>
        <w:gridCol w:w="775"/>
        <w:gridCol w:w="153"/>
        <w:gridCol w:w="109"/>
        <w:gridCol w:w="109"/>
        <w:gridCol w:w="109"/>
        <w:gridCol w:w="196"/>
        <w:gridCol w:w="736"/>
        <w:gridCol w:w="154"/>
      </w:tblGrid>
      <w:tr>
        <w:trPr/>
        <w:tc>
          <w:tcPr>
            <w:tcW w:w="45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Par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8,881,831 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forfeitures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398,302 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($0.15 per share)</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2023</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9,212,390 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486"/>
        <w:gridCol w:w="306"/>
        <w:gridCol w:w="307"/>
        <w:gridCol w:w="435"/>
        <w:gridCol w:w="436"/>
        <w:gridCol w:w="196"/>
        <w:gridCol w:w="110"/>
        <w:gridCol w:w="110"/>
        <w:gridCol w:w="110"/>
        <w:gridCol w:w="198"/>
        <w:gridCol w:w="425"/>
        <w:gridCol w:w="110"/>
        <w:gridCol w:w="109"/>
        <w:gridCol w:w="109"/>
        <w:gridCol w:w="109"/>
        <w:gridCol w:w="210"/>
        <w:gridCol w:w="789"/>
        <w:gridCol w:w="116"/>
        <w:gridCol w:w="109"/>
        <w:gridCol w:w="109"/>
        <w:gridCol w:w="109"/>
        <w:gridCol w:w="198"/>
        <w:gridCol w:w="675"/>
        <w:gridCol w:w="110"/>
        <w:gridCol w:w="109"/>
        <w:gridCol w:w="109"/>
        <w:gridCol w:w="109"/>
        <w:gridCol w:w="205"/>
        <w:gridCol w:w="584"/>
        <w:gridCol w:w="114"/>
        <w:gridCol w:w="109"/>
        <w:gridCol w:w="109"/>
        <w:gridCol w:w="109"/>
        <w:gridCol w:w="343"/>
        <w:gridCol w:w="710"/>
        <w:gridCol w:w="191"/>
        <w:gridCol w:w="109"/>
        <w:gridCol w:w="109"/>
        <w:gridCol w:w="109"/>
        <w:gridCol w:w="196"/>
        <w:gridCol w:w="736"/>
        <w:gridCol w:w="164"/>
      </w:tblGrid>
      <w:tr>
        <w:trPr/>
        <w:tc>
          <w:tcPr>
            <w:tcW w:w="48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Par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8,253,491 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(81,750)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099"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371,765 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(37,603)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2022</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8,575,451 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196,564 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840"/>
                <wp:effectExtent l="0" t="0" r="0" b="0"/>
                <wp:wrapNone/>
                <wp:docPr id="5" name="Frame5"/>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8815" w:type="dxa"/>
        <w:jc w:val="center"/>
        <w:tblInd w:w="0" w:type="dxa"/>
        <w:tblCellMar>
          <w:top w:w="28" w:type="dxa"/>
          <w:left w:w="28" w:type="dxa"/>
          <w:bottom w:w="28" w:type="dxa"/>
          <w:right w:w="28" w:type="dxa"/>
        </w:tblCellMar>
      </w:tblPr>
      <w:tblGrid>
        <w:gridCol w:w="2310"/>
        <w:gridCol w:w="2026"/>
        <w:gridCol w:w="2038"/>
        <w:gridCol w:w="210"/>
        <w:gridCol w:w="694"/>
        <w:gridCol w:w="117"/>
        <w:gridCol w:w="117"/>
        <w:gridCol w:w="117"/>
        <w:gridCol w:w="117"/>
        <w:gridCol w:w="210"/>
        <w:gridCol w:w="694"/>
        <w:gridCol w:w="165"/>
      </w:tblGrid>
      <w:tr>
        <w:trPr/>
        <w:tc>
          <w:tcPr>
            <w:tcW w:w="2310"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20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r>
      <w:tr>
        <w:trPr/>
        <w:tc>
          <w:tcPr>
            <w:tcW w:w="6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in) provided by operating activities:</w:t>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investments</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asset disposition</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change of contingent consideration</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sales of trading securities</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 payable</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(5,612)</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(7,221)</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operating activities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net of cash acquired</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treasury stock</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returned for payment of taxes</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paid</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CASH EQUIVALENTS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INFORMATION:</w:t>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w:t>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dividends</w:t>
            </w:r>
          </w:p>
        </w:tc>
        <w:tc>
          <w:tcPr>
            <w:tcW w:w="2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1. DESCRIPTION OF THE BUSINESS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Westwood Advisors, L.L.C. Salient Advisors, LP ("Salient") and its majority-owned subsidiary Broadmark Asset Management LLC ("Broadmark"), (referred to hereinafter together as “Westwood Management”), and Westwood Trust.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and AUA impact our revenues and results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Westwood Management is registered with the Securities and Exchange Commission ("SEC") as an investment adviser ("RIA") under the Investment Advisers Act of 1940. Westwood Trust is chartered and regulated by the Texas Department of Banking.</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Acquisition of Broadmark Asset Management LLC</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January 2023 we acquired an additional 32% interest in Broadmark for $1.2 million (net of cash acquired), increasing our ownership of Broadmark to approximately 80%, representing a controlling interest for financial statement consolidation purposes (the "Broadmark Acquisition"). Broadmark is a San Francisco-based RIA managing and/or sub-advising mutual funds, retail and institutional separately managed accounts.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lineRule="auto" w:line="288" w:before="120" w:after="283"/>
        <w:rPr/>
      </w:pPr>
      <w:r>
        <w:rPr>
          <w:color w:val="000000"/>
        </w:rPr>
        <w:t> </w:t>
      </w:r>
      <w:r>
        <w:rPr>
          <w:rFonts w:ascii="Times New Roman;sans-serif" w:hAnsi="Times New Roman;sans-serif"/>
          <w:b/>
          <w:color w:val="000000"/>
          <w:sz w:val="20"/>
        </w:rPr>
        <w:t xml:space="preserve">Basis of Presentation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should be read in conjunction with our Consolidated Financial Statements, and notes thereto, included in our Annual Report on Form 10-K for the year ended December 31, 2022.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Broadmark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Westwood completed the Broadmark Acquisition in January 2023, giving Westwood a controlling interest and requiring an allocation of the Broadmark Acquisition purchase price. The total consideration recorded for accounting purposes consisted of $1.2 million in cash (net of cash acquired).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Prior to the Broadmark Acquisition, Westwood had a $2.4 million equity method investment in Broadmark, the fair value of which was estimated using recent market transactions. Westwood's equity method investment was derecognized following the Broadmark Acquisition, and there was no gain or loss recognized upon investment derecognition, however there was a corresponding increase to goodwill.</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Broadmark Acquisition was accounted for using the acquisition method of accounting. Accordingly, the purchase price was allocated to the tangible assets acquired and the liabilities assumed based on their estimated fair values as of the acquisition date. The total consideration of $1.6 million has been allocated using Broadmark’s historical balance sheet based on valuations of acquired assets and assumed liabilities in connection with the acquisition.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allocation of the Broadmark Acquisition purchase price was as follows (in thousands):</w:t>
      </w:r>
    </w:p>
    <w:tbl>
      <w:tblPr>
        <w:tblW w:w="7364" w:type="dxa"/>
        <w:jc w:val="left"/>
        <w:tblInd w:w="0" w:type="dxa"/>
        <w:tblCellMar>
          <w:top w:w="28" w:type="dxa"/>
          <w:left w:w="28" w:type="dxa"/>
          <w:bottom w:w="28" w:type="dxa"/>
          <w:right w:w="28" w:type="dxa"/>
        </w:tblCellMar>
      </w:tblPr>
      <w:tblGrid>
        <w:gridCol w:w="2205"/>
        <w:gridCol w:w="1936"/>
        <w:gridCol w:w="1948"/>
        <w:gridCol w:w="274"/>
        <w:gridCol w:w="782"/>
        <w:gridCol w:w="219"/>
      </w:tblGrid>
      <w:tr>
        <w:trPr/>
        <w:tc>
          <w:tcPr>
            <w:tcW w:w="2205"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acquired</w:t>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net of cash acquired</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Westwood's investment in Broadmark before the business combination</w:t>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noncontrolling interest in Broadmark</w:t>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Identifiable Net Assets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Goodwill</w:t>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Westwood owns approximately 80% of Broadmark's equity, we recognized $1.0 million of a noncontrolling interest in a consolidated subsidiary. Fair value of the noncontrolling interest was estimated using recent market transactions.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the Broadmark Acquisition, the Company believed that its expanded operational opportunities, enhanced range of investment strategies and expected realization of synergies were the primary factors that contributed to a total purchase price that resulted in the recognition of goodwill. Goodwill arising from the Broadmark acquisition is not expected to be deductible for tax purposes.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the Company has included $1.2 million of revenue and $0.1 million of net income related to Broadmark in its Condensed Consolidated Statements of Comprehensive Income.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results of operations for the three months ended March 31, 2023 and 2022 assume the Broadmark Acquisition had occurred on January 1, 2022. This unaudited pro forma information should not be relied upon as being necessarily indicative of the historical results that would have been obtained if the Broadmark Acquisition had actually occurred on that date, nor of the results that may be obtained in the future.</w:t>
      </w:r>
    </w:p>
    <w:p>
      <w:pPr>
        <w:pStyle w:val="TextBody"/>
        <w:spacing w:before="0" w:after="0"/>
        <w:rPr/>
      </w:pPr>
      <w:r>
        <w:rPr/>
      </w:r>
    </w:p>
    <w:tbl>
      <w:tblPr>
        <w:tblW w:w="3774" w:type="dxa"/>
        <w:jc w:val="left"/>
        <w:tblInd w:w="0" w:type="dxa"/>
        <w:tblCellMar>
          <w:top w:w="28" w:type="dxa"/>
          <w:left w:w="28" w:type="dxa"/>
          <w:bottom w:w="28" w:type="dxa"/>
          <w:right w:w="28" w:type="dxa"/>
        </w:tblCellMar>
      </w:tblPr>
      <w:tblGrid>
        <w:gridCol w:w="418"/>
        <w:gridCol w:w="368"/>
        <w:gridCol w:w="369"/>
        <w:gridCol w:w="226"/>
        <w:gridCol w:w="745"/>
        <w:gridCol w:w="125"/>
        <w:gridCol w:w="125"/>
        <w:gridCol w:w="125"/>
        <w:gridCol w:w="125"/>
        <w:gridCol w:w="226"/>
        <w:gridCol w:w="745"/>
        <w:gridCol w:w="177"/>
      </w:tblGrid>
      <w:tr>
        <w:trPr/>
        <w:tc>
          <w:tcPr>
            <w:tcW w:w="41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rPr/>
      </w:pPr>
      <w:r>
        <w:rPr>
          <w:rFonts w:ascii="Times New Roman;sans-serif" w:hAnsi="Times New Roman;sans-serif"/>
          <w:b w:val="false"/>
          <w:color w:val="000000"/>
          <w:sz w:val="20"/>
        </w:rPr>
        <w:t>money investments into new investment strategies. The "Other, net” revenues on our Condensed Consolidated Statements of Comprehensive Income are the unrealized gains and losses</w:t>
      </w:r>
      <w:r>
        <w:rPr>
          <w:color w:val="000000"/>
        </w:rPr>
        <w:t xml:space="preserve"> </w:t>
      </w:r>
      <w:r>
        <w:rPr>
          <w:rFonts w:ascii="Times New Roman;sans-serif" w:hAnsi="Times New Roman;sans-serif"/>
          <w:b w:val="false"/>
          <w:color w:val="000000"/>
          <w:sz w:val="20"/>
        </w:rPr>
        <w:t xml:space="preserve">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 </w:t>
      </w:r>
    </w:p>
    <w:p>
      <w:pPr>
        <w:pStyle w:val="TextBody"/>
        <w:spacing w:lineRule="auto" w:line="288" w:before="120" w:after="283"/>
        <w:rPr/>
      </w:pPr>
      <w:r>
        <w:rPr>
          <w:rFonts w:ascii="Times New Roman;sans-serif" w:hAnsi="Times New Roman;sans-serif"/>
          <w:b/>
          <w:color w:val="000000"/>
          <w:sz w:val="20"/>
        </w:rPr>
        <w:t>Advisory Fee Revenues</w:t>
      </w:r>
      <w:r>
        <w:rPr>
          <w:color w:val="000000"/>
        </w:rPr>
        <w:t xml:space="preserv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Arrangements with Performance-Based Obligations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Trust Fee Revenues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Revenue Disaggregated</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Sales taxes are excluded from revenues. The following table presents our revenue disaggregated by account type (in thousands).</w:t>
      </w:r>
    </w:p>
    <w:tbl>
      <w:tblPr>
        <w:tblW w:w="4872" w:type="dxa"/>
        <w:jc w:val="left"/>
        <w:tblInd w:w="0" w:type="dxa"/>
        <w:tblCellMar>
          <w:top w:w="28" w:type="dxa"/>
          <w:left w:w="28" w:type="dxa"/>
          <w:bottom w:w="28" w:type="dxa"/>
          <w:right w:w="28" w:type="dxa"/>
        </w:tblCellMar>
      </w:tblPr>
      <w:tblGrid>
        <w:gridCol w:w="657"/>
        <w:gridCol w:w="577"/>
        <w:gridCol w:w="581"/>
        <w:gridCol w:w="226"/>
        <w:gridCol w:w="772"/>
        <w:gridCol w:w="116"/>
        <w:gridCol w:w="116"/>
        <w:gridCol w:w="116"/>
        <w:gridCol w:w="116"/>
        <w:gridCol w:w="226"/>
        <w:gridCol w:w="772"/>
        <w:gridCol w:w="116"/>
        <w:gridCol w:w="109"/>
        <w:gridCol w:w="109"/>
        <w:gridCol w:w="109"/>
        <w:gridCol w:w="154"/>
      </w:tblGrid>
      <w:tr>
        <w:trPr/>
        <w:tc>
          <w:tcPr>
            <w:tcW w:w="65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Fees: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Fees</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serve clients primarily in the United States, as well as in certain international locations. The following table presents our revenue disaggregated by our clients' geographical locations (in thousands):</w:t>
      </w:r>
    </w:p>
    <w:tbl>
      <w:tblPr>
        <w:tblW w:w="8048" w:type="dxa"/>
        <w:jc w:val="left"/>
        <w:tblInd w:w="0" w:type="dxa"/>
        <w:tblCellMar>
          <w:top w:w="28" w:type="dxa"/>
          <w:left w:w="28" w:type="dxa"/>
          <w:bottom w:w="28" w:type="dxa"/>
          <w:right w:w="28" w:type="dxa"/>
        </w:tblCellMar>
      </w:tblPr>
      <w:tblGrid>
        <w:gridCol w:w="1086"/>
        <w:gridCol w:w="953"/>
        <w:gridCol w:w="961"/>
        <w:gridCol w:w="211"/>
        <w:gridCol w:w="721"/>
        <w:gridCol w:w="109"/>
        <w:gridCol w:w="109"/>
        <w:gridCol w:w="109"/>
        <w:gridCol w:w="109"/>
        <w:gridCol w:w="211"/>
        <w:gridCol w:w="616"/>
        <w:gridCol w:w="109"/>
        <w:gridCol w:w="109"/>
        <w:gridCol w:w="109"/>
        <w:gridCol w:w="109"/>
        <w:gridCol w:w="109"/>
        <w:gridCol w:w="109"/>
        <w:gridCol w:w="211"/>
        <w:gridCol w:w="466"/>
        <w:gridCol w:w="109"/>
        <w:gridCol w:w="109"/>
        <w:gridCol w:w="109"/>
        <w:gridCol w:w="109"/>
        <w:gridCol w:w="211"/>
        <w:gridCol w:w="721"/>
        <w:gridCol w:w="154"/>
      </w:tblGrid>
      <w:tr>
        <w:trPr/>
        <w:tc>
          <w:tcPr>
            <w:tcW w:w="1086"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123" w:type="dxa"/>
        <w:jc w:val="center"/>
        <w:tblInd w:w="0" w:type="dxa"/>
        <w:tblCellMar>
          <w:top w:w="28" w:type="dxa"/>
          <w:left w:w="28" w:type="dxa"/>
          <w:bottom w:w="28" w:type="dxa"/>
          <w:right w:w="28" w:type="dxa"/>
        </w:tblCellMar>
      </w:tblPr>
      <w:tblGrid>
        <w:gridCol w:w="1086"/>
        <w:gridCol w:w="953"/>
        <w:gridCol w:w="961"/>
        <w:gridCol w:w="211"/>
        <w:gridCol w:w="721"/>
        <w:gridCol w:w="109"/>
        <w:gridCol w:w="109"/>
        <w:gridCol w:w="109"/>
        <w:gridCol w:w="109"/>
        <w:gridCol w:w="211"/>
        <w:gridCol w:w="616"/>
        <w:gridCol w:w="109"/>
        <w:gridCol w:w="109"/>
        <w:gridCol w:w="109"/>
        <w:gridCol w:w="109"/>
        <w:gridCol w:w="109"/>
        <w:gridCol w:w="109"/>
        <w:gridCol w:w="211"/>
        <w:gridCol w:w="541"/>
        <w:gridCol w:w="109"/>
        <w:gridCol w:w="109"/>
        <w:gridCol w:w="109"/>
        <w:gridCol w:w="109"/>
        <w:gridCol w:w="211"/>
        <w:gridCol w:w="721"/>
        <w:gridCol w:w="154"/>
      </w:tblGrid>
      <w:tr>
        <w:trPr/>
        <w:tc>
          <w:tcPr>
            <w:tcW w:w="1086"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5. SEGMENT REPORTING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operating decision maker, our Chief Executive Officer, evaluates the performance of our segments based primarily on fee revenues and Economic Earnings, a non-GAAP measurement. 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Advisory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Advisory segment provides investment advisory services to (i) corporate pension and profit sharing plans, public employee retirement funds, Taft-Hartley plans, endowments, foundations and individuals, (ii) sub-advisory relationships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where Westwood provides investment management services to the Westwood Funds®, funds offered by other financial institutions and funds offered by our Trust segment and (iii) pooled investment vehicles, including collective investment trusts. Westwood Management, Salient and Broadmark provide investment advisory services to similar clients and are included in our Advisory segment.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Trust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Trust provides trust and custodial services and participation in common trust funds that it sponsors to institutions and high net worth individuals. Westwood Trust is included in our Trust segment.</w:t>
      </w:r>
    </w:p>
    <w:tbl>
      <w:tblPr>
        <w:tblW w:w="10205" w:type="dxa"/>
        <w:jc w:val="left"/>
        <w:tblInd w:w="0" w:type="dxa"/>
        <w:tblCellMar>
          <w:top w:w="28" w:type="dxa"/>
          <w:left w:w="28" w:type="dxa"/>
          <w:bottom w:w="28" w:type="dxa"/>
          <w:right w:w="28" w:type="dxa"/>
        </w:tblCellMar>
      </w:tblPr>
      <w:tblGrid>
        <w:gridCol w:w="1065"/>
        <w:gridCol w:w="929"/>
        <w:gridCol w:w="937"/>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98"/>
        <w:gridCol w:w="109"/>
        <w:gridCol w:w="109"/>
        <w:gridCol w:w="109"/>
        <w:gridCol w:w="109"/>
        <w:gridCol w:w="211"/>
        <w:gridCol w:w="826"/>
        <w:gridCol w:w="156"/>
      </w:tblGrid>
      <w:tr>
        <w:trPr/>
        <w:tc>
          <w:tcPr>
            <w:tcW w:w="1065"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Westwood</w:t>
              <w:br/>
              <w:t>Holdings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2023 segment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2023 segment 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revenues from external sources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intersegment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2022 segment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2022 segment 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6. INVESTMENTS </w:t>
      </w:r>
    </w:p>
    <w:p>
      <w:pPr>
        <w:pStyle w:val="TextBody"/>
        <w:spacing w:lineRule="auto" w:line="288" w:before="120" w:after="283"/>
        <w:ind w:left="0" w:right="0" w:firstLine="540"/>
        <w:rPr/>
      </w:pPr>
      <w:r>
        <w:rPr>
          <w:rFonts w:ascii="Times New Roman;sans-serif" w:hAnsi="Times New Roman;sans-serif"/>
          <w:b w:val="false"/>
          <w:color w:val="000000"/>
          <w:sz w:val="20"/>
        </w:rPr>
        <w:t>The Company has made strategic investments to enhance the services we provide our customers.</w:t>
      </w:r>
      <w:r>
        <w:rPr>
          <w:color w:val="000000"/>
        </w:rPr>
        <w:t xml:space="preserve"> </w:t>
      </w:r>
      <w:r>
        <w:rPr>
          <w:rFonts w:ascii="Times New Roman;sans-serif" w:hAnsi="Times New Roman;sans-serif"/>
          <w:b w:val="false"/>
          <w:color w:val="000000"/>
          <w:sz w:val="20"/>
        </w:rPr>
        <w:t>Each of these investments is discussed below.</w:t>
      </w:r>
    </w:p>
    <w:p>
      <w:pPr>
        <w:pStyle w:val="TextBody"/>
        <w:spacing w:lineRule="auto" w:line="288" w:before="120" w:after="283"/>
        <w:ind w:left="0" w:right="0" w:firstLine="540"/>
        <w:rPr/>
      </w:pPr>
      <w:r>
        <w:rPr>
          <w:rFonts w:ascii="Times New Roman;sans-serif" w:hAnsi="Times New Roman;sans-serif"/>
          <w:b w:val="false"/>
          <w:color w:val="000000"/>
          <w:sz w:val="20"/>
          <w:u w:val="single"/>
        </w:rPr>
        <w:t>InvestCloud</w:t>
      </w:r>
      <w:r>
        <w:rPr>
          <w:rFonts w:ascii="Times New Roman;sans-serif" w:hAnsi="Times New Roman;sans-serif"/>
          <w:b w:val="false"/>
          <w:color w:val="000000"/>
          <w:sz w:val="20"/>
        </w:rPr>
        <w:t xml:space="preserve">. During 2018, we made a strategic investment in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 Following InvestCloud's recapitalization in the first quarter of 2021, we re-invested $4.4 million of our proceeds into newly-issued shares of InvestCloud. </w:t>
      </w:r>
    </w:p>
    <w:p>
      <w:pPr>
        <w:pStyle w:val="TextBody"/>
        <w:spacing w:lineRule="auto" w:line="288" w:before="120" w:after="283"/>
        <w:ind w:left="0" w:right="0" w:firstLine="540"/>
        <w:rPr/>
      </w:pPr>
      <w:r>
        <w:rPr>
          <w:rFonts w:ascii="Times New Roman;sans-serif" w:hAnsi="Times New Roman;sans-serif"/>
          <w:b w:val="false"/>
          <w:color w:val="000000"/>
          <w:sz w:val="20"/>
          <w:u w:val="single"/>
        </w:rPr>
        <w:t>Charis</w:t>
      </w:r>
      <w:r>
        <w:rPr>
          <w:rFonts w:ascii="Times New Roman;sans-serif" w:hAnsi="Times New Roman;sans-serif"/>
          <w:b w:val="false"/>
          <w:color w:val="000000"/>
          <w:sz w:val="20"/>
        </w:rPr>
        <w:t xml:space="preserve">. Our investment in Charis is included in “Noncurrent investments at fair value” on our Condensed Consolidated Balance Sheets and is measured at fair value on a recurring basis. </w:t>
      </w:r>
    </w:p>
    <w:p>
      <w:pPr>
        <w:pStyle w:val="TextBody"/>
        <w:spacing w:lineRule="auto" w:line="288" w:before="120" w:after="283"/>
        <w:ind w:left="0" w:right="0" w:firstLine="540"/>
        <w:rPr/>
      </w:pPr>
      <w:r>
        <w:rPr>
          <w:rFonts w:ascii="Times New Roman;sans-serif" w:hAnsi="Times New Roman;sans-serif"/>
          <w:b w:val="false"/>
          <w:color w:val="000000"/>
          <w:sz w:val="20"/>
          <w:u w:val="single"/>
        </w:rPr>
        <w:t>Private Equity Funding</w:t>
      </w:r>
      <w:r>
        <w:rPr>
          <w:rFonts w:ascii="Times New Roman;sans-serif" w:hAnsi="Times New Roman;sans-serif"/>
          <w:b w:val="false"/>
          <w:color w:val="000000"/>
          <w:sz w:val="20"/>
        </w:rPr>
        <w:t>. In 2019, we made a $0.3 million investment in Westwood Hospitality. Our investment is included in “Noncurrent investments at fair value” on our Condensed Consolidated Balance Sheets, and it is measured at fair value on a recurring basis using net asset value ("NAV") as a practical expedient.</w:t>
      </w:r>
    </w:p>
    <w:p>
      <w:pPr>
        <w:pStyle w:val="TextBody"/>
        <w:spacing w:lineRule="auto" w:line="288" w:before="120" w:after="283"/>
        <w:ind w:left="0" w:right="0" w:firstLine="540"/>
        <w:rPr/>
      </w:pPr>
      <w:r>
        <w:rPr>
          <w:rFonts w:ascii="Times New Roman;sans-serif" w:hAnsi="Times New Roman;sans-serif"/>
          <w:b w:val="false"/>
          <w:color w:val="000000"/>
          <w:sz w:val="20"/>
          <w:u w:val="single"/>
        </w:rPr>
        <w:t>Zarvona Energy Fund GP, L.P. and Zarvona Energy Fund II-A, L.P.</w:t>
      </w:r>
      <w:r>
        <w:rPr>
          <w:color w:val="000000"/>
        </w:rPr>
        <w:t xml:space="preserve"> </w:t>
      </w:r>
      <w:r>
        <w:rPr>
          <w:rFonts w:ascii="Times New Roman;sans-serif" w:hAnsi="Times New Roman;sans-serif"/>
          <w:b w:val="false"/>
          <w:color w:val="000000"/>
          <w:sz w:val="20"/>
        </w:rPr>
        <w:t>These investments represent ownership interests in non-controlled partnerships. These investments are included in “Equity method investments” on our Condensed Consolidated Balance Sheets and are measured based on our share of the net earnings or losses of the investees.</w:t>
      </w:r>
    </w:p>
    <w:p>
      <w:pPr>
        <w:pStyle w:val="TextBody"/>
        <w:spacing w:lineRule="auto" w:line="288" w:before="120" w:after="283"/>
        <w:ind w:left="0" w:right="0" w:firstLine="540"/>
        <w:rPr/>
      </w:pPr>
      <w:r>
        <w:rPr>
          <w:rFonts w:ascii="Times New Roman;sans-serif" w:hAnsi="Times New Roman;sans-serif"/>
          <w:b w:val="false"/>
          <w:color w:val="000000"/>
          <w:sz w:val="20"/>
          <w:u w:val="single"/>
        </w:rPr>
        <w:t>Broadmark Asset Management LLC</w:t>
      </w:r>
      <w:r>
        <w:rPr>
          <w:rFonts w:ascii="Times New Roman;sans-serif" w:hAnsi="Times New Roman;sans-serif"/>
          <w:b w:val="false"/>
          <w:color w:val="000000"/>
          <w:sz w:val="20"/>
        </w:rPr>
        <w:t>. This investment represented a 47.5% ownership interest in a non-controlled corporation prior to the Broadmark Acquisition in 2023. This investment is included in “Equity method investments” on our Condensed Consolidated Balance Sheets at December 31, 2022. In January 2023, as a result of the Broadmark Acquisition, we acquired additional equity interests in Broadmark and accounted for that investment as a consolidated subsidiary.</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All other investments are carried at fair value on a recurring basis and are accounted for as trading securities.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carried at fair value are presented in the table below (in thousands): </w:t>
      </w:r>
    </w:p>
    <w:tbl>
      <w:tblPr>
        <w:tblW w:w="9876" w:type="dxa"/>
        <w:jc w:val="left"/>
        <w:tblInd w:w="0" w:type="dxa"/>
        <w:tblCellMar>
          <w:top w:w="28" w:type="dxa"/>
          <w:left w:w="28" w:type="dxa"/>
          <w:bottom w:w="28" w:type="dxa"/>
          <w:right w:w="28" w:type="dxa"/>
        </w:tblCellMar>
      </w:tblPr>
      <w:tblGrid>
        <w:gridCol w:w="1629"/>
        <w:gridCol w:w="1432"/>
        <w:gridCol w:w="1438"/>
        <w:gridCol w:w="109"/>
        <w:gridCol w:w="109"/>
        <w:gridCol w:w="109"/>
        <w:gridCol w:w="211"/>
        <w:gridCol w:w="721"/>
        <w:gridCol w:w="109"/>
        <w:gridCol w:w="109"/>
        <w:gridCol w:w="109"/>
        <w:gridCol w:w="109"/>
        <w:gridCol w:w="249"/>
        <w:gridCol w:w="551"/>
        <w:gridCol w:w="131"/>
        <w:gridCol w:w="109"/>
        <w:gridCol w:w="109"/>
        <w:gridCol w:w="109"/>
        <w:gridCol w:w="211"/>
        <w:gridCol w:w="691"/>
        <w:gridCol w:w="109"/>
        <w:gridCol w:w="109"/>
        <w:gridCol w:w="109"/>
        <w:gridCol w:w="109"/>
        <w:gridCol w:w="211"/>
        <w:gridCol w:w="721"/>
        <w:gridCol w:w="154"/>
      </w:tblGrid>
      <w:tr>
        <w:trPr/>
        <w:tc>
          <w:tcPr>
            <w:tcW w:w="162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w:t>
              <w:br/>
              <w:t>Value</w:t>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agency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trading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carried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agency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bond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trading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carried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investments shown below are included in our Condensed Consolidated Balance Sheets as Equity method investments, as follows (in thousands):</w:t>
      </w:r>
    </w:p>
    <w:tbl>
      <w:tblPr>
        <w:tblW w:w="8370" w:type="dxa"/>
        <w:jc w:val="left"/>
        <w:tblInd w:w="0" w:type="dxa"/>
        <w:tblCellMar>
          <w:top w:w="28" w:type="dxa"/>
          <w:left w:w="28" w:type="dxa"/>
          <w:bottom w:w="28" w:type="dxa"/>
          <w:right w:w="28" w:type="dxa"/>
        </w:tblCellMar>
      </w:tblPr>
      <w:tblGrid>
        <w:gridCol w:w="1221"/>
        <w:gridCol w:w="1072"/>
        <w:gridCol w:w="1081"/>
        <w:gridCol w:w="284"/>
        <w:gridCol w:w="829"/>
        <w:gridCol w:w="146"/>
        <w:gridCol w:w="255"/>
        <w:gridCol w:w="256"/>
        <w:gridCol w:w="533"/>
        <w:gridCol w:w="109"/>
        <w:gridCol w:w="109"/>
        <w:gridCol w:w="109"/>
        <w:gridCol w:w="284"/>
        <w:gridCol w:w="830"/>
        <w:gridCol w:w="145"/>
        <w:gridCol w:w="255"/>
        <w:gridCol w:w="256"/>
        <w:gridCol w:w="596"/>
      </w:tblGrid>
      <w:tr>
        <w:trPr/>
        <w:tc>
          <w:tcPr>
            <w:tcW w:w="1221"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Zarvona Energy Fund GP, L.P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Zarvona Energy Fund II-A, L.P .</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Broadmark Asset Management LLC</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5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MLP Total Return Fund, L.P.</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MLP Total Return TE Fund, L.P.</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7. FAIR VALUE MEASUREMENTS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Fair Value Measurements, defines fair value, establishes a framework for measuring fair value and requires disclosures regarding certain fair value measurements. ASC 820 establishes a three-tier hierarchy for measuring fair value, as follows: </w:t>
      </w:r>
    </w:p>
    <w:p>
      <w:pPr>
        <w:pStyle w:val="TextBody"/>
        <w:spacing w:lineRule="auto" w:line="288" w:before="120" w:after="283"/>
        <w:ind w:left="0" w:right="0" w:hanging="630"/>
        <w:rPr/>
      </w:pPr>
      <w:r>
        <w:rPr>
          <w:color w:val="000000"/>
        </w:rPr>
        <w:t>•</w:t>
      </w:r>
      <w:r>
        <w:rPr>
          <w:rFonts w:ascii="Times New Roman;sans-serif" w:hAnsi="Times New Roman;sans-serif"/>
          <w:b w:val="false"/>
          <w:color w:val="000000"/>
          <w:sz w:val="20"/>
        </w:rPr>
        <w:t>Level 1 – quoted market prices in active markets for identical assets</w:t>
      </w:r>
    </w:p>
    <w:p>
      <w:pPr>
        <w:pStyle w:val="TextBody"/>
        <w:spacing w:lineRule="auto" w:line="288" w:before="120" w:after="283"/>
        <w:ind w:left="0" w:right="0" w:hanging="630"/>
        <w:rPr/>
      </w:pPr>
      <w:r>
        <w:rPr>
          <w:color w:val="000000"/>
        </w:rPr>
        <w:t>•</w:t>
      </w:r>
      <w:r>
        <w:rPr>
          <w:rFonts w:ascii="Times New Roman;sans-serif" w:hAnsi="Times New Roman;sans-serif"/>
          <w:b w:val="false"/>
          <w:color w:val="000000"/>
          <w:sz w:val="20"/>
        </w:rPr>
        <w:t>Level 2 – inputs other than quoted prices that are directly or indirectly observable</w:t>
      </w:r>
    </w:p>
    <w:p>
      <w:pPr>
        <w:pStyle w:val="TextBody"/>
        <w:spacing w:lineRule="auto" w:line="288" w:before="120" w:after="283"/>
        <w:ind w:left="0" w:right="0" w:hanging="630"/>
        <w:rPr/>
      </w:pPr>
      <w:r>
        <w:rPr>
          <w:color w:val="000000"/>
        </w:rPr>
        <w:t>•</w:t>
      </w:r>
      <w:r>
        <w:rPr>
          <w:rFonts w:ascii="Times New Roman;sans-serif" w:hAnsi="Times New Roman;sans-serif"/>
          <w:b w:val="false"/>
          <w:color w:val="000000"/>
          <w:sz w:val="20"/>
        </w:rPr>
        <w:t>Level 3 – significant unobservable inputs where there is little or no market activity</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strategic investment in InvestCloud, discussed in Note 6 “Investments,” is excluded from the recurring fair value table shown below because we have elected to apply the measurement alternative for this investment.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values of our investments measured at fair value on a recurring basis within the fair value hierarchy as of the dates indicated (in thousands): </w:t>
      </w:r>
    </w:p>
    <w:tbl>
      <w:tblPr>
        <w:tblW w:w="10205" w:type="dxa"/>
        <w:jc w:val="left"/>
        <w:tblInd w:w="0" w:type="dxa"/>
        <w:tblCellMar>
          <w:top w:w="28" w:type="dxa"/>
          <w:left w:w="28" w:type="dxa"/>
          <w:bottom w:w="28" w:type="dxa"/>
          <w:right w:w="28" w:type="dxa"/>
        </w:tblCellMar>
      </w:tblPr>
      <w:tblGrid>
        <w:gridCol w:w="1127"/>
        <w:gridCol w:w="623"/>
        <w:gridCol w:w="626"/>
        <w:gridCol w:w="243"/>
        <w:gridCol w:w="830"/>
        <w:gridCol w:w="125"/>
        <w:gridCol w:w="125"/>
        <w:gridCol w:w="125"/>
        <w:gridCol w:w="125"/>
        <w:gridCol w:w="243"/>
        <w:gridCol w:w="467"/>
        <w:gridCol w:w="125"/>
        <w:gridCol w:w="125"/>
        <w:gridCol w:w="125"/>
        <w:gridCol w:w="125"/>
        <w:gridCol w:w="243"/>
        <w:gridCol w:w="830"/>
        <w:gridCol w:w="125"/>
        <w:gridCol w:w="125"/>
        <w:gridCol w:w="125"/>
        <w:gridCol w:w="125"/>
        <w:gridCol w:w="492"/>
        <w:gridCol w:w="1088"/>
        <w:gridCol w:w="254"/>
        <w:gridCol w:w="125"/>
        <w:gridCol w:w="125"/>
        <w:gridCol w:w="125"/>
        <w:gridCol w:w="243"/>
        <w:gridCol w:w="830"/>
        <w:gridCol w:w="191"/>
      </w:tblGrid>
      <w:tr>
        <w:trPr/>
        <w:tc>
          <w:tcPr>
            <w:tcW w:w="1127"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Investments Measured at NAV</w:t>
            </w:r>
            <w:r>
              <w:rPr>
                <w:color w:val="000000"/>
              </w:rPr>
              <w:t xml:space="preserve"> </w:t>
            </w:r>
            <w:r>
              <w:rPr>
                <w:rFonts w:ascii="Times New Roman;sans-serif" w:hAnsi="Times New Roman;sans-serif"/>
                <w:b w:val="false"/>
                <w:color w:val="000000"/>
                <w:sz w:val="12"/>
              </w:rPr>
              <w:t>(1)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trading securities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15,594 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15,594 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Acquisition contingent consideration</w:t>
            </w:r>
          </w:p>
        </w:tc>
        <w:tc>
          <w:tcPr>
            <w:tcW w:w="107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11,841 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11,841 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trading securities</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15,342 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15,342 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15,342 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18,369 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Acquisition contingent consideration</w:t>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Comprised of certain investments measured at fair value using NAV as a practical expedient. The fair value amounts presented in this table are intended to permit reconciliation of the fair value hierarchy to the amounts presented on our Condensed Consolidated Balance Sheets. </w:t>
            </w:r>
          </w:p>
        </w:tc>
      </w:tr>
    </w:tbl>
    <w:p>
      <w:pPr>
        <w:pStyle w:val="TextBody"/>
        <w:spacing w:before="0" w:after="0"/>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investment in Charis is included within Level 3 of the fair value hierarchy as we value it utilizing inputs not observable in the market. Historically, our investment was measured at fair value on a recurring basis using a market approach based on either a price to tangible book value multiple range determined to be reasonable in the current environment, or on market transactions. On April 3, 2023, Charis was acquired by Vista Bank ("Vista") in a transaction in which the Company traded its shares in Charis for shares in Vista. The carrying value of Charis was adjusted to reflect its fair value based on that pending transaction in the fourth quarter of 2022.</w:t>
      </w:r>
    </w:p>
    <w:p>
      <w:pPr>
        <w:pStyle w:val="TextBody"/>
        <w:spacing w:before="0" w:after="0"/>
        <w:ind w:left="0" w:right="0" w:firstLine="54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Level 3 investments measured at fair value on a recurring basis for the periods presented (in thousands):</w:t>
      </w:r>
    </w:p>
    <w:tbl>
      <w:tblPr>
        <w:tblW w:w="8365" w:type="dxa"/>
        <w:jc w:val="left"/>
        <w:tblInd w:w="0" w:type="dxa"/>
        <w:tblCellMar>
          <w:top w:w="28" w:type="dxa"/>
          <w:left w:w="28" w:type="dxa"/>
          <w:bottom w:w="28" w:type="dxa"/>
          <w:right w:w="28" w:type="dxa"/>
        </w:tblCellMar>
      </w:tblPr>
      <w:tblGrid>
        <w:gridCol w:w="1280"/>
        <w:gridCol w:w="1127"/>
        <w:gridCol w:w="1132"/>
        <w:gridCol w:w="417"/>
        <w:gridCol w:w="1218"/>
        <w:gridCol w:w="215"/>
        <w:gridCol w:w="215"/>
        <w:gridCol w:w="215"/>
        <w:gridCol w:w="215"/>
        <w:gridCol w:w="417"/>
        <w:gridCol w:w="1218"/>
        <w:gridCol w:w="215"/>
        <w:gridCol w:w="109"/>
        <w:gridCol w:w="109"/>
        <w:gridCol w:w="109"/>
        <w:gridCol w:w="154"/>
      </w:tblGrid>
      <w:tr>
        <w:trPr/>
        <w:tc>
          <w:tcPr>
            <w:tcW w:w="1280"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 using Significant Unobservable Inputs (Level 3)</w:t>
            </w:r>
          </w:p>
        </w:tc>
        <w:tc>
          <w:tcPr>
            <w:tcW w:w="481" w:type="dxa"/>
            <w:gridSpan w:val="4"/>
            <w:tcBorders/>
            <w:shd w:fill="auto" w:val="clea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6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c>
          <w:tcPr>
            <w:tcW w:w="18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(losses) on private investments</w:t>
            </w:r>
          </w:p>
        </w:tc>
        <w:tc>
          <w:tcPr>
            <w:tcW w:w="1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4,326 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March 31, 2023 private investment fair value of $2.8 million was valued based upon the 2023 sale of Charis to Vista.</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Level 3 liabilities measured at fair value on a recurring basis for the periods presented (in thousands):</w:t>
      </w:r>
    </w:p>
    <w:tbl>
      <w:tblPr>
        <w:tblW w:w="7798" w:type="dxa"/>
        <w:jc w:val="left"/>
        <w:tblInd w:w="0" w:type="dxa"/>
        <w:tblCellMar>
          <w:top w:w="28" w:type="dxa"/>
          <w:left w:w="28" w:type="dxa"/>
          <w:bottom w:w="28" w:type="dxa"/>
          <w:right w:w="28" w:type="dxa"/>
        </w:tblCellMar>
      </w:tblPr>
      <w:tblGrid>
        <w:gridCol w:w="1074"/>
        <w:gridCol w:w="946"/>
        <w:gridCol w:w="950"/>
        <w:gridCol w:w="438"/>
        <w:gridCol w:w="1498"/>
        <w:gridCol w:w="226"/>
        <w:gridCol w:w="226"/>
        <w:gridCol w:w="226"/>
        <w:gridCol w:w="226"/>
        <w:gridCol w:w="438"/>
        <w:gridCol w:w="843"/>
        <w:gridCol w:w="226"/>
        <w:gridCol w:w="109"/>
        <w:gridCol w:w="109"/>
        <w:gridCol w:w="109"/>
        <w:gridCol w:w="154"/>
      </w:tblGrid>
      <w:tr>
        <w:trPr/>
        <w:tc>
          <w:tcPr>
            <w:tcW w:w="107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 using Significant Unobservable Inputs (Level 3)</w:t>
            </w:r>
          </w:p>
        </w:tc>
        <w:tc>
          <w:tcPr>
            <w:tcW w:w="481" w:type="dxa"/>
            <w:gridSpan w:val="4"/>
            <w:tcBorders/>
            <w:shd w:fill="auto" w:val="clea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6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vAlign w:val="center"/>
          </w:tcPr>
          <w:p>
            <w:pPr>
              <w:pStyle w:val="TableContents"/>
              <w:spacing w:before="0" w:after="283"/>
              <w:rPr>
                <w:sz w:val="4"/>
                <w:szCs w:val="4"/>
              </w:rPr>
            </w:pPr>
            <w:r>
              <w:rPr>
                <w:sz w:val="4"/>
                <w:szCs w:val="4"/>
              </w:rPr>
            </w:r>
          </w:p>
        </w:tc>
        <w:tc>
          <w:tcPr>
            <w:tcW w:w="2162" w:type="dxa"/>
            <w:gridSpan w:val="3"/>
            <w:tcBorders/>
            <w:shd w:fill="auto" w:val="clear"/>
            <w:vAlign w:val="center"/>
          </w:tcPr>
          <w:p>
            <w:pPr>
              <w:pStyle w:val="TableContents"/>
              <w:spacing w:before="0" w:after="283"/>
              <w:rPr>
                <w:sz w:val="4"/>
                <w:szCs w:val="4"/>
              </w:rPr>
            </w:pPr>
            <w:r>
              <w:rPr>
                <w:sz w:val="4"/>
                <w:szCs w:val="4"/>
              </w:rPr>
            </w:r>
          </w:p>
        </w:tc>
        <w:tc>
          <w:tcPr>
            <w:tcW w:w="678"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vAlign w:val="center"/>
          </w:tcPr>
          <w:p>
            <w:pPr>
              <w:pStyle w:val="TableContents"/>
              <w:spacing w:before="0" w:after="283"/>
              <w:rPr>
                <w:sz w:val="4"/>
                <w:szCs w:val="4"/>
              </w:rPr>
            </w:pPr>
            <w:r>
              <w:rPr>
                <w:sz w:val="4"/>
                <w:szCs w:val="4"/>
              </w:rPr>
            </w:r>
          </w:p>
        </w:tc>
        <w:tc>
          <w:tcPr>
            <w:tcW w:w="2162" w:type="dxa"/>
            <w:gridSpan w:val="3"/>
            <w:tcBorders/>
            <w:shd w:fill="auto" w:val="clear"/>
            <w:vAlign w:val="center"/>
          </w:tcPr>
          <w:p>
            <w:pPr>
              <w:pStyle w:val="TableContents"/>
              <w:spacing w:before="0" w:after="283"/>
              <w:rPr>
                <w:sz w:val="4"/>
                <w:szCs w:val="4"/>
              </w:rPr>
            </w:pPr>
            <w:r>
              <w:rPr>
                <w:sz w:val="4"/>
                <w:szCs w:val="4"/>
              </w:rPr>
            </w:r>
          </w:p>
        </w:tc>
        <w:tc>
          <w:tcPr>
            <w:tcW w:w="678"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vAlign w:val="center"/>
          </w:tcPr>
          <w:p>
            <w:pPr>
              <w:pStyle w:val="TableContents"/>
              <w:spacing w:before="0" w:after="283"/>
              <w:rPr>
                <w:sz w:val="4"/>
                <w:szCs w:val="4"/>
              </w:rPr>
            </w:pPr>
            <w:r>
              <w:rPr>
                <w:sz w:val="4"/>
                <w:szCs w:val="4"/>
              </w:rPr>
            </w:r>
          </w:p>
        </w:tc>
        <w:tc>
          <w:tcPr>
            <w:tcW w:w="2162" w:type="dxa"/>
            <w:gridSpan w:val="3"/>
            <w:tcBorders/>
            <w:shd w:fill="auto" w:val="clear"/>
            <w:vAlign w:val="center"/>
          </w:tcPr>
          <w:p>
            <w:pPr>
              <w:pStyle w:val="TableContents"/>
              <w:spacing w:before="0" w:after="283"/>
              <w:rPr>
                <w:sz w:val="4"/>
                <w:szCs w:val="4"/>
              </w:rPr>
            </w:pPr>
            <w:r>
              <w:rPr>
                <w:sz w:val="4"/>
                <w:szCs w:val="4"/>
              </w:rPr>
            </w:r>
          </w:p>
        </w:tc>
        <w:tc>
          <w:tcPr>
            <w:tcW w:w="678"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(gains) losses included in earnings</w:t>
            </w:r>
          </w:p>
        </w:tc>
        <w:tc>
          <w:tcPr>
            <w:tcW w:w="1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(1,060)</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March 31, 2023 contingent consideration fair value of $11.8 million was valued based upon updated revenue growth projections. The fair value of contingent consideration related to both the revenue retention earn-out and the growth earn-out is measured using the Monte Carlo simulation model. The Monte Carlo simulation considered assumptions including revenue growth projections, revenue volatility, risk free rates and discount rates. The projected contingent payment is discounted back to the current period using a discounted cash flow model. Increases or decreases in projected revenues, probabilities of payment, discount rates, projected payment dates and other inputs may result in significantly higher or lower fair value measurements.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range of the unobservable inputs utilized in the fair value measurement of the contingent consideration classified as level 3:</w:t>
      </w:r>
    </w:p>
    <w:p>
      <w:pPr>
        <w:pStyle w:val="TextBody"/>
        <w:spacing w:before="120" w:after="283"/>
        <w:rPr/>
      </w:pPr>
      <w:r>
        <w:rPr/>
      </w:r>
    </w:p>
    <w:tbl>
      <w:tblPr>
        <w:tblW w:w="8609" w:type="dxa"/>
        <w:jc w:val="left"/>
        <w:tblInd w:w="0" w:type="dxa"/>
        <w:tblCellMar>
          <w:top w:w="28" w:type="dxa"/>
          <w:left w:w="28" w:type="dxa"/>
          <w:bottom w:w="28" w:type="dxa"/>
          <w:right w:w="28" w:type="dxa"/>
        </w:tblCellMar>
      </w:tblPr>
      <w:tblGrid>
        <w:gridCol w:w="874"/>
        <w:gridCol w:w="768"/>
        <w:gridCol w:w="773"/>
        <w:gridCol w:w="109"/>
        <w:gridCol w:w="109"/>
        <w:gridCol w:w="109"/>
        <w:gridCol w:w="554"/>
        <w:gridCol w:w="554"/>
        <w:gridCol w:w="556"/>
        <w:gridCol w:w="109"/>
        <w:gridCol w:w="109"/>
        <w:gridCol w:w="109"/>
        <w:gridCol w:w="208"/>
        <w:gridCol w:w="208"/>
        <w:gridCol w:w="213"/>
        <w:gridCol w:w="109"/>
        <w:gridCol w:w="109"/>
        <w:gridCol w:w="109"/>
        <w:gridCol w:w="209"/>
        <w:gridCol w:w="209"/>
        <w:gridCol w:w="211"/>
        <w:gridCol w:w="109"/>
        <w:gridCol w:w="109"/>
        <w:gridCol w:w="109"/>
        <w:gridCol w:w="574"/>
        <w:gridCol w:w="574"/>
        <w:gridCol w:w="816"/>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Earn-out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Retention earn-out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12.75%</w:t>
            </w:r>
          </w:p>
        </w:tc>
      </w:tr>
      <w:tr>
        <w:trPr/>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r>
      <w:tr>
        <w:trPr/>
        <w:tc>
          <w:tcPr>
            <w:tcW w:w="24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earn-out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12.75%</w:t>
            </w:r>
          </w:p>
        </w:tc>
      </w:tr>
      <w:tr>
        <w:trPr/>
        <w:tc>
          <w:tcPr>
            <w:tcW w:w="24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r>
    </w:tbl>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222222"/>
          <w:sz w:val="20"/>
        </w:rPr>
      </w:pPr>
      <w:r>
        <w:rPr>
          <w:rFonts w:ascii="Times New Roman;sans-serif" w:hAnsi="Times New Roman;sans-serif"/>
          <w:b/>
          <w:color w:val="222222"/>
          <w:sz w:val="20"/>
        </w:rPr>
        <w:t>8. INCOME TAXES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 differed from the 21% statutory rate for the three months ended 2023 and 2022 due to permanent differences between book and tax restricted stock expense based on a decrease in our stock price between the restricted stock grant and vesting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9. EARNINGS PER SHARE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109,000 and 85,000 anti-dilutive restricted shares outstanding for the three months ended March 31, 2023 and March 31, 2022, respectively.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(in thousands, except per share and share amounts):</w:t>
      </w:r>
    </w:p>
    <w:tbl>
      <w:tblPr>
        <w:tblW w:w="9178" w:type="dxa"/>
        <w:jc w:val="left"/>
        <w:tblInd w:w="0" w:type="dxa"/>
        <w:tblCellMar>
          <w:top w:w="28" w:type="dxa"/>
          <w:left w:w="28" w:type="dxa"/>
          <w:bottom w:w="28" w:type="dxa"/>
          <w:right w:w="28" w:type="dxa"/>
        </w:tblCellMar>
      </w:tblPr>
      <w:tblGrid>
        <w:gridCol w:w="2206"/>
        <w:gridCol w:w="1940"/>
        <w:gridCol w:w="1944"/>
        <w:gridCol w:w="285"/>
        <w:gridCol w:w="691"/>
        <w:gridCol w:w="131"/>
        <w:gridCol w:w="131"/>
        <w:gridCol w:w="131"/>
        <w:gridCol w:w="131"/>
        <w:gridCol w:w="285"/>
        <w:gridCol w:w="691"/>
        <w:gridCol w:w="131"/>
        <w:gridCol w:w="109"/>
        <w:gridCol w:w="109"/>
        <w:gridCol w:w="109"/>
        <w:gridCol w:w="154"/>
      </w:tblGrid>
      <w:tr>
        <w:trPr/>
        <w:tc>
          <w:tcPr>
            <w:tcW w:w="2206"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94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income attributable to Westwood Holdings Group, Inc.</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Weighted average shares outstanding - basic</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7,853,921 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7,865,174 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Dilutive potential shares from unvested restricted shares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114,583 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66,279 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Weighted average shares outstanding - diluted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7,968,504 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7,931,453 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Earnings per share:</w:t>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 xml:space="preserve">10. GOODWILL AND OTHER INTANGIBLE ASSETS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2022 and determined that no goodwill impairment related to the Trust segment was required. There was no goodwill impairment in the Trust segment during the three months ended March 31, 2023 or March 31,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Changes in goodwill were as follows (in thousands):</w:t>
      </w:r>
    </w:p>
    <w:tbl>
      <w:tblPr>
        <w:tblW w:w="4880" w:type="dxa"/>
        <w:jc w:val="left"/>
        <w:tblInd w:w="0" w:type="dxa"/>
        <w:tblCellMar>
          <w:top w:w="28" w:type="dxa"/>
          <w:left w:w="28" w:type="dxa"/>
          <w:bottom w:w="28" w:type="dxa"/>
          <w:right w:w="28" w:type="dxa"/>
        </w:tblCellMar>
      </w:tblPr>
      <w:tblGrid>
        <w:gridCol w:w="761"/>
        <w:gridCol w:w="667"/>
        <w:gridCol w:w="671"/>
        <w:gridCol w:w="109"/>
        <w:gridCol w:w="109"/>
        <w:gridCol w:w="109"/>
        <w:gridCol w:w="211"/>
        <w:gridCol w:w="721"/>
        <w:gridCol w:w="109"/>
        <w:gridCol w:w="109"/>
        <w:gridCol w:w="109"/>
        <w:gridCol w:w="109"/>
        <w:gridCol w:w="211"/>
        <w:gridCol w:w="721"/>
        <w:gridCol w:w="154"/>
      </w:tblGrid>
      <w:tr>
        <w:trPr/>
        <w:tc>
          <w:tcPr>
            <w:tcW w:w="761"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Broadmark Acquisition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$4.2 million of goodwill acquired is attributable to the Advisory segment.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months ended March 31, 2023 or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222222"/>
          <w:sz w:val="20"/>
        </w:rPr>
      </w:pPr>
      <w:r>
        <w:rPr>
          <w:rFonts w:ascii="Times New Roman;sans-serif" w:hAnsi="Times New Roman;sans-serif"/>
          <w:b/>
          <w:color w:val="222222"/>
          <w:sz w:val="20"/>
        </w:rPr>
        <w:t>11. LEASES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have been no material changes outside the ordinary course of business to our leases since December 31, 2022. For information regarding our leases, refer to Note 12 “Leases” in Part IV, Item 15. “Exhibits, Financial Statement Schedules” in our Annual Report on Form 10-K for the fiscal year ended December 31, 2022.</w:t>
      </w:r>
    </w:p>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12. STOCKHOLDERS' EQUITY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$1.9 million of shares that may yet be repurchased under our plan.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did not repurchase any shares of our common stock. During the three months ended March 31, 2022, the Company repurchased 12,202 shares of our common stock at an average price of $16.39 per share, including commissions, for an aggregate purchase price of $0.2 million under our share repurchase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13. VARIABLE INTEREST ENTITIES </w:t>
      </w:r>
    </w:p>
    <w:p>
      <w:pPr>
        <w:pStyle w:val="TextBody"/>
        <w:spacing w:lineRule="auto" w:line="288" w:before="120" w:after="283"/>
        <w:ind w:left="0" w:right="0" w:firstLine="540"/>
        <w:rPr/>
      </w:pPr>
      <w:r>
        <w:rPr>
          <w:rFonts w:ascii="Times New Roman;sans-serif" w:hAnsi="Times New Roman;sans-serif"/>
          <w:b w:val="false"/>
          <w:color w:val="000000"/>
          <w:sz w:val="20"/>
        </w:rPr>
        <w:t>We evaluated (i) our relationship as sponsor of the Common Trust Funds (“CTFs”) and managing member of the private equity funds Westwood Hospitality and Westwood Technology Opportunities Fund I, LP (collectively the “Private Funds”), (ii) our advisory relationships with the Westwood Funds® and (iii) our investments in InvestCloud, Charis, Zarvona Energy Fund GP and Zarvona Energy Fund II-A as discussed in Note 6</w:t>
      </w:r>
      <w:r>
        <w:rPr>
          <w:color w:val="222222"/>
        </w:rPr>
        <w:t xml:space="preserve"> “</w:t>
      </w:r>
      <w:r>
        <w:rPr>
          <w:rFonts w:ascii="Times New Roman;sans-serif" w:hAnsi="Times New Roman;sans-serif"/>
          <w:b w:val="false"/>
          <w:color w:val="222222"/>
          <w:sz w:val="20"/>
        </w:rPr>
        <w:t>Investments”</w:t>
      </w:r>
      <w:r>
        <w:rPr>
          <w:color w:val="000000"/>
        </w:rPr>
        <w:t xml:space="preserve"> </w:t>
      </w:r>
      <w:r>
        <w:rPr>
          <w:rFonts w:ascii="Times New Roman;sans-serif" w:hAnsi="Times New Roman;sans-serif"/>
          <w:b w:val="false"/>
          <w:color w:val="000000"/>
          <w:sz w:val="20"/>
        </w:rPr>
        <w:t>(“Private Equity”) to determine whether each of these entities is a variable interest entity (“VIE”) or voting ownership entity (“VOE”).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Based on our analyses, we determined that the CTFs, Private Funds and Zarvona Energy Fund II-A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 As we do not qualify as primary beneficiaries for those entities, we have not consolidated our investments in those entities for the periods ending March 31, 2023 and December 31,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Based on our analyses, we determined the Westwood Funds®, InvestCloud, Charis and Zarvona Energy Fund GP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March 31, 2023 and December 31,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recognized fee revenue from the Westwood VIEs and Westwood VOEs as follows (in millions):</w:t>
      </w:r>
    </w:p>
    <w:tbl>
      <w:tblPr>
        <w:tblW w:w="4646" w:type="dxa"/>
        <w:jc w:val="left"/>
        <w:tblInd w:w="0" w:type="dxa"/>
        <w:tblCellMar>
          <w:top w:w="28" w:type="dxa"/>
          <w:left w:w="28" w:type="dxa"/>
          <w:bottom w:w="28" w:type="dxa"/>
          <w:right w:w="28" w:type="dxa"/>
        </w:tblCellMar>
      </w:tblPr>
      <w:tblGrid>
        <w:gridCol w:w="457"/>
        <w:gridCol w:w="400"/>
        <w:gridCol w:w="403"/>
        <w:gridCol w:w="375"/>
        <w:gridCol w:w="721"/>
        <w:gridCol w:w="193"/>
        <w:gridCol w:w="109"/>
        <w:gridCol w:w="109"/>
        <w:gridCol w:w="109"/>
        <w:gridCol w:w="375"/>
        <w:gridCol w:w="721"/>
        <w:gridCol w:w="193"/>
        <w:gridCol w:w="109"/>
        <w:gridCol w:w="109"/>
        <w:gridCol w:w="109"/>
        <w:gridCol w:w="154"/>
      </w:tblGrid>
      <w:tr>
        <w:trPr/>
        <w:tc>
          <w:tcPr>
            <w:tcW w:w="45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 Revenues</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AUM and the risk of loss in each vehicle (in millions):</w:t>
      </w:r>
    </w:p>
    <w:tbl>
      <w:tblPr>
        <w:tblW w:w="6895" w:type="dxa"/>
        <w:jc w:val="left"/>
        <w:tblInd w:w="0" w:type="dxa"/>
        <w:tblCellMar>
          <w:top w:w="28" w:type="dxa"/>
          <w:left w:w="28" w:type="dxa"/>
          <w:bottom w:w="28" w:type="dxa"/>
          <w:right w:w="28" w:type="dxa"/>
        </w:tblCellMar>
      </w:tblPr>
      <w:tblGrid>
        <w:gridCol w:w="1000"/>
        <w:gridCol w:w="875"/>
        <w:gridCol w:w="885"/>
        <w:gridCol w:w="228"/>
        <w:gridCol w:w="754"/>
        <w:gridCol w:w="129"/>
        <w:gridCol w:w="109"/>
        <w:gridCol w:w="109"/>
        <w:gridCol w:w="109"/>
        <w:gridCol w:w="269"/>
        <w:gridCol w:w="557"/>
        <w:gridCol w:w="150"/>
        <w:gridCol w:w="109"/>
        <w:gridCol w:w="109"/>
        <w:gridCol w:w="109"/>
        <w:gridCol w:w="361"/>
        <w:gridCol w:w="748"/>
        <w:gridCol w:w="285"/>
      </w:tblGrid>
      <w:tr>
        <w:trPr/>
        <w:tc>
          <w:tcPr>
            <w:tcW w:w="100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br/>
              <w:t>Under</w:t>
              <w:br/>
              <w:t>Management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Investment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at Risk</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VIEs/VOEs: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Funds®</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Trust Funds</w:t>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Funds</w:t>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assets:</w:t>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w:t>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Under Management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222222"/>
          <w:sz w:val="20"/>
        </w:rPr>
      </w:pPr>
      <w:r>
        <w:rPr>
          <w:rFonts w:ascii="Times New Roman;sans-serif" w:hAnsi="Times New Roman;sans-serif"/>
          <w:b/>
          <w:color w:val="222222"/>
          <w:sz w:val="20"/>
        </w:rPr>
        <w:t>14. RELATED PARTY TRANSACTIONS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months ended March 31, 2023 and March 31, 2022, the Company earned immaterial fees from the affiliated funds.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One of our directors serves as a consultant to the Company under a consulting agreement. We recorded immaterial expenses related to this agreement for the three months ended March 31, 2023 and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Dividend Declared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26, 2023, the Board of Directors declared a quarterly cash dividend of $0.15 per share of common stock payable on July 3, 2023 to stockholders of record on June 2, 2023.</w:t>
      </w:r>
    </w:p>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ind w:left="0" w:right="0" w:hanging="189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Forward-Looking Statements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2022 and those risks set forth below: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composition and market value of our AUM and AUA;</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maintain our fee structure in light of competitive fee pressures;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risks associated with actions of activist stockholders;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distributions to our common stockholders have included and may in the future include a return of capital;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inclusion of foreign company investments in our AUM;</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regulations adversely affecting the financial services industry;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maintain effective cyber security;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litigation risks;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develop and market new investment strategies successfully;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reputation and our relationships with current and potential customers;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attract and retain qualified personnel;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perform operational tasks;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select and oversee third-party vendors;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dependence on the operations and funds of our subsidiaries;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maintain effective information systems;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prevent misuse of assets and information in the possession of our employees and third-party vendors, which could damage our reputation and result in costly litigation and liability for our clients and us;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stock is thinly traded and may be subject to volatility;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competition in the investment management industry;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avoid termination of client agreements and the related investment redemptions;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significant concentration of our revenues in a small number of customers;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have made and may continue to make business combinations as a part of our business strategy, which may present certain risks and uncertainties;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relationships with investment consulting firms;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identify and execute on our strategic initiatives;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declare and pay dividends;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fund future capital requirements on favorable terms;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properly address conflicts of interest;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maintain adequate insurance coverage;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ability to maintain an effective system of internal controls.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Overview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investment assets and provide services for our clients through our subsidiaries, Westwood Management Corp., Westwood Advisors, L.L.C., Salient Advisors, LP and Broadmark Asset Management LLC (each of which is an SEC-registered investment advisor ("RIA") and referred to hereinafter together as “Westwood Management”) and Westwood Trust.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Westwood Management provides investment advisory services to institutional investors, a family of mutual funds called the Westwood Funds®, other mutual funds, individuals and clients of Westwood Trust. Westwood Trust provides trust and custodial services and participation in common trust funds to institutions and high net worth individuals.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January 2023 we acquired an additional 32% interest in Broadmark for $1.6 million, increasing our ownership of Broadmark to approximately 80%. Broadmark's tactical absolute return strategies offer us an established client base and provide future growth potential. Prior to the Broadmark acquisition, we had a $2.4 million equity method investment in Broadmark, which we derecognized upon acquiring a controlling interest in the first quarter of 2023.</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revenues are generally derived from fees based on a percentage of AUM and AUA, and Westwood Management and Westwood Trust collectively had AUM of approximately $15.0 billion and AUA of approximately $1.2 billion at March 31, 2023. We have established a track record of delivering competitive, risk-adjusted returns for our clients.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With respect to most of our client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with an average of over twenty years of investment experience among members.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other revenues primarily consist of investment income from seed money investments into new investment strategies.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Employee Compensation and Benefits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 costs generally consist of salaries, sales commissions, incentive compensation, stock-based compensation expense and benefits.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relate to our marketing efforts, including travel and entertainment, direct marketing and advertising costs.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Westwood Mutual Funds</w:t>
      </w:r>
    </w:p>
    <w:p>
      <w:pPr>
        <w:pStyle w:val="TextBody"/>
        <w:spacing w:lineRule="auto" w:line="288" w:before="120" w:after="283"/>
        <w:ind w:left="0" w:right="0" w:firstLine="540"/>
        <w:rPr/>
      </w:pPr>
      <w:r>
        <w:rPr>
          <w:rFonts w:ascii="Times New Roman;sans-serif" w:hAnsi="Times New Roman;sans-serif"/>
          <w:b w:val="false"/>
          <w:color w:val="000000"/>
          <w:sz w:val="20"/>
        </w:rPr>
        <w:t>Expenses for Westwood mutual funds relate to our marketing, distribution and administration of the Westwood Funds</w:t>
      </w:r>
      <w:r>
        <w:rPr>
          <w:rFonts w:ascii="Times New Roman;sans-serif" w:hAnsi="Times New Roman;sans-serif"/>
          <w:b/>
          <w:i/>
          <w:color w:val="000000"/>
          <w:sz w:val="20"/>
        </w:rPr>
        <w:t>®</w:t>
      </w:r>
      <w:r>
        <w:rPr>
          <w:rFonts w:ascii="Times New Roman;sans-serif" w:hAnsi="Times New Roman;sans-serif"/>
          <w:b w:val="false"/>
          <w:color w:val="000000"/>
          <w:sz w:val="20"/>
        </w:rPr>
        <w:t>.</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Information Technology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Information technology expenses include costs associated with proprietary investment research tools, maintenance and support, computing hardware, software licenses, telecommunications and other related costs.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expenses generally consist of costs associated with sub-advisory fees, audit, legal and other professional services.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Acquisition Expense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Acquisition expense consists of costs related to our 2022 acquisition of Salient.</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Net change in unrealized appreciation (depreciation) on Private Investments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appreciation (depreciation) on private investments includes changes in the value of our private equity investments.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Investment Income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Investment income primarily includes interest and dividend income on fixed income securities and money market funds.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Other Income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Other income primarily consists of income from the sublease of a portion of our corporate offices.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Firm-wide Assets Under Management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Firm-wide assets under management of $16.2 billion at March 31, 2023 consisted of $15.0 billion of AUM and $1.2 billion of AUA.</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AUM increased $1.1 billion to $15.0 billion at March 31, 2023 compared with $13.9 billion at March 31, 2022. The average of beginning and ending AUM for the first quarter of 2023 was $14.9 billion compared to $14.2 billion for the first quarter of 2022.</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The following tab</w:t>
      </w:r>
      <w:r>
        <w:rPr>
          <w:rFonts w:ascii="Times New Roman;sans-serif" w:hAnsi="Times New Roman;sans-serif"/>
          <w:b w:val="false"/>
          <w:color w:val="000000"/>
          <w:sz w:val="20"/>
        </w:rPr>
        <w:t xml:space="preserve">le displays AUM as of March 31, 2023 and 2022 (in millions): </w:t>
      </w:r>
    </w:p>
    <w:tbl>
      <w:tblPr>
        <w:tblW w:w="5897" w:type="dxa"/>
        <w:jc w:val="left"/>
        <w:tblInd w:w="0" w:type="dxa"/>
        <w:tblCellMar>
          <w:top w:w="28" w:type="dxa"/>
          <w:left w:w="28" w:type="dxa"/>
          <w:bottom w:w="28" w:type="dxa"/>
          <w:right w:w="28" w:type="dxa"/>
        </w:tblCellMar>
      </w:tblPr>
      <w:tblGrid>
        <w:gridCol w:w="717"/>
        <w:gridCol w:w="631"/>
        <w:gridCol w:w="632"/>
        <w:gridCol w:w="109"/>
        <w:gridCol w:w="109"/>
        <w:gridCol w:w="109"/>
        <w:gridCol w:w="211"/>
        <w:gridCol w:w="721"/>
        <w:gridCol w:w="109"/>
        <w:gridCol w:w="109"/>
        <w:gridCol w:w="109"/>
        <w:gridCol w:w="109"/>
        <w:gridCol w:w="211"/>
        <w:gridCol w:w="721"/>
        <w:gridCol w:w="109"/>
        <w:gridCol w:w="109"/>
        <w:gridCol w:w="109"/>
        <w:gridCol w:w="109"/>
        <w:gridCol w:w="218"/>
        <w:gridCol w:w="218"/>
        <w:gridCol w:w="418"/>
      </w:tblGrid>
      <w:tr>
        <w:trPr/>
        <w:tc>
          <w:tcPr>
            <w:tcW w:w="717"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181" w:type="dxa"/>
            <w:gridSpan w:val="6"/>
            <w:tcBorders/>
            <w:shd w:fill="auto" w:val="clea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Institutional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Wealth Management</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AUM</w:t>
            </w:r>
            <w:r>
              <w:rPr>
                <w:rFonts w:ascii="Times New Roman;sans-serif" w:hAnsi="Times New Roman;sans-serif"/>
                <w:b/>
                <w:color w:val="000000"/>
                <w:sz w:val="11"/>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(3)Mutual Funds include the Westwood Funds®, a family of mutual funds for which Westwood Management serves as advisor. These funds are available to individual investors, institutional investors and wealth management accounts.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(4)AUM excludes $1.2 billion and $314 million of AUA as of March 31, 2023 and 2022, respectively, related to our model portfolios for which we provide investment advice on a fee basis without having investment management authority.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Roll-Forward of Assets Under Management </w:t>
      </w:r>
    </w:p>
    <w:p>
      <w:pPr>
        <w:pStyle w:val="TextBody"/>
        <w:spacing w:lineRule="auto" w:line="288" w:before="0" w:after="0"/>
        <w:rPr>
          <w:color w:val="000000"/>
        </w:rPr>
      </w:pPr>
      <w:r>
        <w:rPr>
          <w:color w:val="000000"/>
        </w:rPr>
        <w:t> </w:t>
      </w:r>
    </w:p>
    <w:tbl>
      <w:tblPr>
        <w:tblW w:w="5608" w:type="dxa"/>
        <w:jc w:val="left"/>
        <w:tblInd w:w="0" w:type="dxa"/>
        <w:tblCellMar>
          <w:top w:w="28" w:type="dxa"/>
          <w:left w:w="28" w:type="dxa"/>
          <w:bottom w:w="28" w:type="dxa"/>
          <w:right w:w="28" w:type="dxa"/>
        </w:tblCellMar>
      </w:tblPr>
      <w:tblGrid>
        <w:gridCol w:w="922"/>
        <w:gridCol w:w="811"/>
        <w:gridCol w:w="816"/>
        <w:gridCol w:w="226"/>
        <w:gridCol w:w="748"/>
        <w:gridCol w:w="126"/>
        <w:gridCol w:w="126"/>
        <w:gridCol w:w="126"/>
        <w:gridCol w:w="126"/>
        <w:gridCol w:w="226"/>
        <w:gridCol w:w="748"/>
        <w:gridCol w:w="126"/>
        <w:gridCol w:w="109"/>
        <w:gridCol w:w="109"/>
        <w:gridCol w:w="109"/>
        <w:gridCol w:w="154"/>
      </w:tblGrid>
      <w:tr>
        <w:trPr/>
        <w:tc>
          <w:tcPr>
            <w:tcW w:w="92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Institutional</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Wealth Management</w:t>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Mutual Funds</w:t>
            </w:r>
          </w:p>
        </w:tc>
        <w:tc>
          <w:tcPr>
            <w:tcW w:w="1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 AUM</w:t>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Global Convertibles transition</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Certain assets under management acquired from Salient were reclassified from Mutual Funds to Institutional to be consistent with the classification of existing assets..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before="120" w:after="283"/>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2023 compared to the three months ended March 31, 2022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$0.2 billion increase in AUM for the three months ended March 31, 2023 was due to market appreciation of $0.3 billion and net outflows of $0.1 billion. Net outflows were primarily related to our Quality AllCap strategy.</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$0.6 billion decrease in AUM for the three months ended March 31, 2022 was due to market depreciation of $0.6 billion and net outflows of $0.1 billion. Net outflows were primarily related to our Enhanced Balance strategy.</w:t>
      </w:r>
    </w:p>
    <w:p>
      <w:pPr>
        <w:pStyle w:val="TextBody"/>
        <w:spacing w:lineRule="auto" w:line="288" w:before="120" w:after="283"/>
        <w:rPr>
          <w:rFonts w:ascii="Times New Roman;sans-serif" w:hAnsi="Times New Roman;sans-serif"/>
          <w:b/>
          <w:color w:val="000000"/>
          <w:sz w:val="20"/>
          <w:u w:val="single"/>
        </w:rPr>
      </w:pPr>
      <w:r>
        <w:rPr>
          <w:rFonts w:ascii="Times New Roman;sans-serif" w:hAnsi="Times New Roman;sans-serif"/>
          <w:b/>
          <w:color w:val="000000"/>
          <w:sz w:val="20"/>
          <w:u w:val="single"/>
        </w:rPr>
        <w:t>Roll-Forward of Assets Under Advisement</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AUA has historically been disclosed in totality due to its relative insignificance to our business. However, following our 2022 acquisition of</w:t>
      </w:r>
      <w:r>
        <w:rPr>
          <w:color w:val="000000"/>
        </w:rPr>
        <w:t xml:space="preserve"> </w:t>
      </w:r>
      <w:r>
        <w:rPr>
          <w:rFonts w:ascii="Times New Roman;sans-serif" w:hAnsi="Times New Roman;sans-serif"/>
          <w:b w:val="false"/>
          <w:color w:val="000000"/>
          <w:sz w:val="20"/>
        </w:rPr>
        <w:t>the asset management business of Salient, AUA is now a more meaningful component of our business. Accordingly we will present further AUA details going forward:</w:t>
      </w:r>
    </w:p>
    <w:tbl>
      <w:tblPr>
        <w:tblW w:w="5175" w:type="dxa"/>
        <w:jc w:val="left"/>
        <w:tblInd w:w="0" w:type="dxa"/>
        <w:tblCellMar>
          <w:top w:w="28" w:type="dxa"/>
          <w:left w:w="28" w:type="dxa"/>
          <w:bottom w:w="28" w:type="dxa"/>
          <w:right w:w="28" w:type="dxa"/>
        </w:tblCellMar>
      </w:tblPr>
      <w:tblGrid>
        <w:gridCol w:w="921"/>
        <w:gridCol w:w="810"/>
        <w:gridCol w:w="819"/>
        <w:gridCol w:w="568"/>
        <w:gridCol w:w="1611"/>
        <w:gridCol w:w="446"/>
      </w:tblGrid>
      <w:tr>
        <w:trPr/>
        <w:tc>
          <w:tcPr>
            <w:tcW w:w="921"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2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 Under Advisement</w:t>
            </w:r>
          </w:p>
        </w:tc>
        <w:tc>
          <w:tcPr>
            <w:tcW w:w="26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5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2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2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21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2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21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Results of Operations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tbl>
      <w:tblPr>
        <w:tblW w:w="9706" w:type="dxa"/>
        <w:jc w:val="left"/>
        <w:tblInd w:w="0" w:type="dxa"/>
        <w:tblCellMar>
          <w:top w:w="28" w:type="dxa"/>
          <w:left w:w="28" w:type="dxa"/>
          <w:bottom w:w="28" w:type="dxa"/>
          <w:right w:w="28" w:type="dxa"/>
        </w:tblCellMar>
      </w:tblPr>
      <w:tblGrid>
        <w:gridCol w:w="1959"/>
        <w:gridCol w:w="1723"/>
        <w:gridCol w:w="1732"/>
        <w:gridCol w:w="196"/>
        <w:gridCol w:w="646"/>
        <w:gridCol w:w="109"/>
        <w:gridCol w:w="109"/>
        <w:gridCol w:w="109"/>
        <w:gridCol w:w="109"/>
        <w:gridCol w:w="196"/>
        <w:gridCol w:w="646"/>
        <w:gridCol w:w="109"/>
        <w:gridCol w:w="109"/>
        <w:gridCol w:w="109"/>
        <w:gridCol w:w="109"/>
        <w:gridCol w:w="314"/>
        <w:gridCol w:w="316"/>
        <w:gridCol w:w="407"/>
        <w:gridCol w:w="109"/>
        <w:gridCol w:w="109"/>
        <w:gridCol w:w="109"/>
        <w:gridCol w:w="109"/>
        <w:gridCol w:w="109"/>
        <w:gridCol w:w="154"/>
      </w:tblGrid>
      <w:tr>
        <w:trPr/>
        <w:tc>
          <w:tcPr>
            <w:tcW w:w="1959"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Advisory fees: asset-based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Advisory fees: performance-based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fees: asset-based</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benefits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Westwood mutual funds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technology</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expenses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private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attributable to noncontrolling interest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attributable to Westwood Holdings Group, Inc.</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6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NM    Not meaningful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2023 compared to three months ended March 31, 2022 </w:t>
      </w:r>
    </w:p>
    <w:p>
      <w:pPr>
        <w:pStyle w:val="TextBody"/>
        <w:spacing w:lineRule="auto" w:line="288" w:before="120" w:after="283"/>
        <w:ind w:left="0" w:right="0" w:firstLine="540"/>
        <w:rPr/>
      </w:pPr>
      <w:r>
        <w:rPr>
          <w:rFonts w:ascii="Times New Roman;sans-serif" w:hAnsi="Times New Roman;sans-serif"/>
          <w:b w:val="false"/>
          <w:i/>
          <w:color w:val="000000"/>
          <w:sz w:val="20"/>
        </w:rPr>
        <w:t>Total revenues</w:t>
      </w:r>
      <w:r>
        <w:rPr>
          <w:rFonts w:ascii="Times New Roman;sans-serif" w:hAnsi="Times New Roman;sans-serif"/>
          <w:b w:val="false"/>
          <w:color w:val="000000"/>
          <w:sz w:val="20"/>
        </w:rPr>
        <w:t>. Total revenues increased $5.5 million, or 32%, to $22.7 million for the three months ended March 31, 2023 compared with $17.2 million for the three months ended March 31, 2022. Asset-based advisory fees increased $5.2 million, or 44%, reflecting higher average AUM following our 2022 acquisition of Salient. Trust fees decreased $0.7 million or 12%, primarily related to lower average AUM.</w:t>
      </w:r>
    </w:p>
    <w:p>
      <w:pPr>
        <w:pStyle w:val="TextBody"/>
        <w:spacing w:lineRule="auto" w:line="288" w:before="120" w:after="283"/>
        <w:ind w:left="0" w:right="0" w:firstLine="540"/>
        <w:rPr/>
      </w:pPr>
      <w:r>
        <w:rPr>
          <w:rFonts w:ascii="Times New Roman;sans-serif" w:hAnsi="Times New Roman;sans-serif"/>
          <w:b w:val="false"/>
          <w:i/>
          <w:color w:val="000000"/>
          <w:sz w:val="20"/>
        </w:rPr>
        <w:t>Employee compensation and benefits.</w:t>
      </w:r>
      <w:r>
        <w:rPr>
          <w:color w:val="000000"/>
        </w:rPr>
        <w:t xml:space="preserve"> </w:t>
      </w:r>
      <w:r>
        <w:rPr>
          <w:rFonts w:ascii="Times New Roman;sans-serif" w:hAnsi="Times New Roman;sans-serif"/>
          <w:b w:val="false"/>
          <w:color w:val="000000"/>
          <w:sz w:val="20"/>
        </w:rPr>
        <w:t>Employee compensation and benefits increased $3.9 million to $14.2 million compared with $10.3 million for 2022 due to additional headcount resulting from the Salient acquisition.</w:t>
      </w:r>
    </w:p>
    <w:p>
      <w:pPr>
        <w:pStyle w:val="TextBody"/>
        <w:spacing w:lineRule="auto" w:line="288" w:before="120" w:after="283"/>
        <w:ind w:left="0" w:right="0" w:firstLine="540"/>
        <w:rPr/>
      </w:pPr>
      <w:r>
        <w:rPr>
          <w:rFonts w:ascii="Times New Roman;sans-serif" w:hAnsi="Times New Roman;sans-serif"/>
          <w:b w:val="false"/>
          <w:i/>
          <w:color w:val="000000"/>
          <w:sz w:val="20"/>
        </w:rPr>
        <w:t xml:space="preserve">Information Technology. </w:t>
      </w:r>
      <w:r>
        <w:rPr>
          <w:rFonts w:ascii="Times New Roman;sans-serif" w:hAnsi="Times New Roman;sans-serif"/>
          <w:b w:val="false"/>
          <w:color w:val="000000"/>
          <w:sz w:val="20"/>
        </w:rPr>
        <w:t>Information technology expenses increased $0.6 million, or 30%, to $2.4 million compared with $1.8 million for 2022 primarily due to additional software licenses and investment research expenses.</w:t>
      </w:r>
    </w:p>
    <w:p>
      <w:pPr>
        <w:pStyle w:val="TextBody"/>
        <w:spacing w:lineRule="auto" w:line="288" w:before="120" w:after="283"/>
        <w:ind w:left="0" w:right="0" w:firstLine="540"/>
        <w:rPr/>
      </w:pPr>
      <w:r>
        <w:rPr>
          <w:rFonts w:ascii="Times New Roman;sans-serif" w:hAnsi="Times New Roman;sans-serif"/>
          <w:b w:val="false"/>
          <w:i/>
          <w:color w:val="000000"/>
          <w:sz w:val="20"/>
        </w:rPr>
        <w:t>Income tax provision</w:t>
      </w:r>
      <w:r>
        <w:rPr>
          <w:rFonts w:ascii="Times New Roman;sans-serif" w:hAnsi="Times New Roman;sans-serif"/>
          <w:b w:val="false"/>
          <w:color w:val="000000"/>
          <w:sz w:val="20"/>
        </w:rPr>
        <w:t>. Our effective tax rate differed from the 21% statutory rate for the first quarter of 2023 primarily due to permanent differences between book and tax restricted stock expense based on a decrease in our stock price between the restricted stock grant and vesting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Supplemental Financial Information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supplemental information, we are providing non-GAAP performance measures that we refer to as Economic Earnings and Economic EPS. We provide these measures in addition to, not as a substitute for, net income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or earnings per share, are useful for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pStyle w:val="TextBody"/>
        <w:spacing w:lineRule="auto" w:line="288" w:before="120" w:after="6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of net income to Economic Earnings and Economic Earnings by segment (in thousands, except share and per share amounts):</w:t>
      </w:r>
    </w:p>
    <w:p>
      <w:pPr>
        <w:pStyle w:val="TextBody"/>
        <w:spacing w:before="120" w:after="60"/>
        <w:ind w:left="0" w:right="0" w:firstLine="540"/>
        <w:rPr/>
      </w:pPr>
      <w:r>
        <w:rPr/>
      </w:r>
    </w:p>
    <w:tbl>
      <w:tblPr>
        <w:tblW w:w="10205" w:type="dxa"/>
        <w:jc w:val="left"/>
        <w:tblInd w:w="0" w:type="dxa"/>
        <w:tblCellMar>
          <w:top w:w="28" w:type="dxa"/>
          <w:left w:w="28" w:type="dxa"/>
          <w:bottom w:w="28" w:type="dxa"/>
          <w:right w:w="28" w:type="dxa"/>
        </w:tblCellMar>
      </w:tblPr>
      <w:tblGrid>
        <w:gridCol w:w="2026"/>
        <w:gridCol w:w="1781"/>
        <w:gridCol w:w="1785"/>
        <w:gridCol w:w="249"/>
        <w:gridCol w:w="727"/>
        <w:gridCol w:w="125"/>
        <w:gridCol w:w="125"/>
        <w:gridCol w:w="125"/>
        <w:gridCol w:w="125"/>
        <w:gridCol w:w="249"/>
        <w:gridCol w:w="727"/>
        <w:gridCol w:w="125"/>
        <w:gridCol w:w="109"/>
        <w:gridCol w:w="109"/>
        <w:gridCol w:w="109"/>
        <w:gridCol w:w="308"/>
        <w:gridCol w:w="308"/>
        <w:gridCol w:w="392"/>
        <w:gridCol w:w="109"/>
        <w:gridCol w:w="109"/>
        <w:gridCol w:w="109"/>
        <w:gridCol w:w="109"/>
        <w:gridCol w:w="109"/>
        <w:gridCol w:w="156"/>
      </w:tblGrid>
      <w:tr>
        <w:trPr/>
        <w:tc>
          <w:tcPr>
            <w:tcW w:w="2026"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5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Westwood Holdings Group, Inc.</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goodwill amortization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goodwill amortization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 per share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7,968,504 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7,931,453 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 by Segment:</w:t>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120" w:after="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Liquidity and Capital Resources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fund our operations and cash requirements with cash generated from operating activities. We may also use cash from operations to pay dividends to our stockholders. We had no debt as of March 31, 2023 and December 31, 2022.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had cash and short-term investments of $32.3 million and $39.2 million as of March 31, 2023 and December 31, 2022, respectively. At March 31, 2023 and December 31, 2022, working capital aggregated $39.6 million and $40.6 million, respectively.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cash flow used in operating activities was $3.2 million, which included a reduction in compensation and benefits payable of $5.6 million. During the three months ended March 31, 2022,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provided by operating activities was $8.8 million, which included net sales of $12.4 million of current investments partially offset by a reduction in compensation and benefits payable of $7.2 million.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Cash flow used in investing activities during the three months ended March 31, 2023 was primarily for the Broadmark Acquisition. Cash flow used in investing activities during the three months ended March 31, 2022 was related to purchases of property and equipment.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of $2.7 million for the three months ended March 31, 2023 reflected the payment of dividends and restricted stock returned for the payment of taxes. Cash flows used in financing activities of $2.8 million for the three months ended March 31, 2022 reflected the payment of dividends, restricted stock returned for the payment of taxes and treasury stock repurchases.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March 31, 2023, Westwood Trust had approximately $14.3 million in excess of its minimum capital requirement.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2022.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have been no material changes outside of the ordinary course of business to our contractual obligations since December 31, 2022. For information regarding our contractual obligations, refer to “Contractual Obligations” in Part II, Item 7. “Management's Discussion and Analysis of Financial Condition and Results of Operations” in our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Critical and Significant Accounting Policies and Estimates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or significant accounting policies and estimates since December 31, 2022.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Accounting Developments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 to Note 2 “Summary of Significant Accounting Policies” in our Condensed Consolidated Financial Statements included in Part I, Item 1. “Financial Statements” of this Quarterly Report on Form 10-Q for a description of recently issued accounting guidance.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89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in our Quantitative and Qualitative Disclosures about Market Risk from those previously reported in our Annual Report on Form 10-K for the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189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employees working remotely did not hinder the execution of our internal control processes and procedures.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89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89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2022 and the risks set forth below.</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89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share repurchase program has no expiration date and may be discontinued at any time by the Board of Directors. During the three months ended March 31, 2023, the Company did not repurchase any shares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185"/>
        <w:gridCol w:w="162"/>
        <w:gridCol w:w="163"/>
        <w:gridCol w:w="109"/>
        <w:gridCol w:w="109"/>
        <w:gridCol w:w="109"/>
        <w:gridCol w:w="2884"/>
        <w:gridCol w:w="2680"/>
        <w:gridCol w:w="3804"/>
      </w:tblGrid>
      <w:tr>
        <w:trPr/>
        <w:tc>
          <w:tcPr>
            <w:tcW w:w="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680" w:type="dxa"/>
            <w:tcBorders/>
            <w:shd w:fill="auto" w:val="clear"/>
            <w:vAlign w:val="center"/>
          </w:tcPr>
          <w:p>
            <w:pPr>
              <w:pStyle w:val="TableContents"/>
              <w:spacing w:before="0" w:after="283"/>
              <w:rPr>
                <w:sz w:val="4"/>
                <w:szCs w:val="4"/>
              </w:rPr>
            </w:pPr>
            <w:r>
              <w:rPr>
                <w:sz w:val="4"/>
                <w:szCs w:val="4"/>
              </w:rPr>
            </w:r>
          </w:p>
        </w:tc>
        <w:tc>
          <w:tcPr>
            <w:tcW w:w="3804" w:type="dxa"/>
            <w:tcBorders/>
            <w:shd w:fill="auto" w:val="cle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hibit311.htm">
              <w:r>
                <w:rPr>
                  <w:rStyle w:val="InternetLink"/>
                  <w:rFonts w:ascii="Times New Roman;sans-serif" w:hAnsi="Times New Roman;sans-serif"/>
                  <w:b w:val="false"/>
                  <w:color w:val="0000FF"/>
                  <w:sz w:val="20"/>
                  <w:u w:val="single"/>
                </w:rPr>
                <w:t>Certification of Chief Executive Officer Pursuant to Securities Exchange Act Rule 13a-14(a)</w:t>
              </w:r>
            </w:hyperlink>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hibit312.htm">
              <w:r>
                <w:rPr>
                  <w:rStyle w:val="InternetLink"/>
                  <w:rFonts w:ascii="Times New Roman;sans-serif" w:hAnsi="Times New Roman;sans-serif"/>
                  <w:b w:val="false"/>
                  <w:color w:val="0000FF"/>
                  <w:sz w:val="20"/>
                  <w:u w:val="single"/>
                </w:rPr>
                <w:t>Certification of Chief Financial Officer Pursuant to Securities Exchange Act Rule 13a-14(a)</w:t>
              </w:r>
            </w:hyperlink>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Westwood Holdings Group, Inc.'s Quarterly Report on Form 10-Q for the period ended March 31, 2023, formatted in Inline eXtensible Business Reporting Language (iXBRL): (i) Condensed Consolidated Balance Sheets as of March 31, 2023 and December 31, 2022; (ii) Condensed Consolidated Statements of Comprehensive Income for the three months ended March 31, 2023 and 2022; (iii) Condensed Consolidated Statements of Stockholders' Equity; (iv) Condensed Consolidated Statements of Cash Flows for the three months ended March 31, 2023 and 2022; and (v) Notes to the Condensed Consolidated Financial Statements.</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iXBRL and contained in Exhibit 101)</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90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ind w:left="0" w:right="0" w:hanging="90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before="0" w:after="0"/>
        <w:ind w:left="0" w:right="0" w:hanging="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spacing w:before="240" w:after="283"/>
        <w:ind w:left="0" w:right="0" w:firstLine="540"/>
        <w:rPr/>
      </w:pPr>
      <w:r>
        <w:rPr/>
      </w:r>
    </w:p>
    <w:p>
      <w:pPr>
        <w:pStyle w:val="TextBody"/>
        <w:spacing w:lineRule="auto" w:line="288" w:before="0" w:after="0"/>
        <w:rPr>
          <w:color w:val="000000"/>
        </w:rPr>
      </w:pPr>
      <w:r>
        <w:rPr>
          <w:color w:val="000000"/>
        </w:rPr>
        <w:t> </w:t>
      </w:r>
    </w:p>
    <w:tbl>
      <w:tblPr>
        <w:tblW w:w="7108" w:type="dxa"/>
        <w:jc w:val="left"/>
        <w:tblInd w:w="0" w:type="dxa"/>
        <w:tblCellMar>
          <w:top w:w="28" w:type="dxa"/>
          <w:left w:w="28" w:type="dxa"/>
          <w:bottom w:w="28" w:type="dxa"/>
          <w:right w:w="28" w:type="dxa"/>
        </w:tblCellMar>
      </w:tblPr>
      <w:tblGrid>
        <w:gridCol w:w="238"/>
        <w:gridCol w:w="210"/>
        <w:gridCol w:w="212"/>
        <w:gridCol w:w="379"/>
        <w:gridCol w:w="379"/>
        <w:gridCol w:w="381"/>
        <w:gridCol w:w="360"/>
        <w:gridCol w:w="360"/>
        <w:gridCol w:w="360"/>
        <w:gridCol w:w="360"/>
        <w:gridCol w:w="360"/>
        <w:gridCol w:w="360"/>
        <w:gridCol w:w="904"/>
        <w:gridCol w:w="904"/>
        <w:gridCol w:w="1341"/>
      </w:tblGrid>
      <w:tr>
        <w:trPr/>
        <w:tc>
          <w:tcPr>
            <w:tcW w:w="2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530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O. Casey</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O. Casey</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Murray Forbes III</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CERTIFICATION OF CHIEF EXECUTIVE OFFICER</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EXCHANGE ACT RULES 13a-14(a)</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 Brian O. Casey, certify that:</w:t>
      </w:r>
    </w:p>
    <w:p>
      <w:pPr>
        <w:pStyle w:val="TextBody"/>
        <w:spacing w:before="120" w:after="283"/>
        <w:rPr/>
      </w:pPr>
      <w:r>
        <w:rPr/>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 have reviewed this report on Form 10-Q of Westwood Holdings Group, Inc.;</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p>
      <w:pPr>
        <w:pStyle w:val="TextBody"/>
        <w:spacing w:before="60" w:after="283"/>
        <w:rPr/>
      </w:pPr>
      <w:r>
        <w:rPr/>
      </w:r>
    </w:p>
    <w:tbl>
      <w:tblPr>
        <w:tblW w:w="1844" w:type="dxa"/>
        <w:jc w:val="left"/>
        <w:tblInd w:w="0" w:type="dxa"/>
        <w:tblCellMar>
          <w:top w:w="28" w:type="dxa"/>
          <w:left w:w="28" w:type="dxa"/>
          <w:bottom w:w="28" w:type="dxa"/>
          <w:right w:w="28" w:type="dxa"/>
        </w:tblCellMar>
      </w:tblPr>
      <w:tblGrid>
        <w:gridCol w:w="590"/>
        <w:gridCol w:w="517"/>
        <w:gridCol w:w="737"/>
      </w:tblGrid>
      <w:tr>
        <w:trPr/>
        <w:tc>
          <w:tcPr>
            <w:tcW w:w="590"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May 4, 2023</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Brian O. Casey</w:t>
            </w:r>
          </w:p>
        </w:tc>
      </w:tr>
      <w:tr>
        <w:trPr/>
        <w:tc>
          <w:tcPr>
            <w:tcW w:w="1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Brian O. Casey</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spacing w:lineRule="auto" w:line="288" w:before="60" w:after="283"/>
        <w:jc w:val="right"/>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CERTIFICATION OF CHIEF FINANCIAL OFFICER</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EXCHANGE ACT RULES 13a-14(a)</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 Murray Forbes III, certify that:</w:t>
      </w:r>
    </w:p>
    <w:p>
      <w:pPr>
        <w:pStyle w:val="TextBody"/>
        <w:spacing w:before="120" w:after="283"/>
        <w:rPr/>
      </w:pPr>
      <w:r>
        <w:rPr/>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 have reviewed this report on Form 10-Q of Westwood Holdings Group, Inc.;</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p>
      <w:pPr>
        <w:pStyle w:val="TextBody"/>
        <w:spacing w:before="60" w:after="283"/>
        <w:rPr/>
      </w:pPr>
      <w:r>
        <w:rPr/>
      </w:r>
    </w:p>
    <w:tbl>
      <w:tblPr>
        <w:tblW w:w="2819" w:type="dxa"/>
        <w:jc w:val="left"/>
        <w:tblInd w:w="0" w:type="dxa"/>
        <w:tblCellMar>
          <w:top w:w="28" w:type="dxa"/>
          <w:left w:w="28" w:type="dxa"/>
          <w:bottom w:w="28" w:type="dxa"/>
          <w:right w:w="28" w:type="dxa"/>
        </w:tblCellMar>
      </w:tblPr>
      <w:tblGrid>
        <w:gridCol w:w="903"/>
        <w:gridCol w:w="790"/>
        <w:gridCol w:w="1126"/>
      </w:tblGrid>
      <w:tr>
        <w:trPr/>
        <w:tc>
          <w:tcPr>
            <w:tcW w:w="903"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May 4, 2023</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Murray Forbes III</w:t>
            </w:r>
          </w:p>
        </w:tc>
      </w:tr>
      <w:tr>
        <w:trPr/>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Murray Forbes III</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Treasurer</w:t>
            </w:r>
          </w:p>
        </w:tc>
      </w:tr>
    </w:tbl>
    <w:p>
      <w:pPr>
        <w:pStyle w:val="TextBody"/>
        <w:spacing w:lineRule="auto" w:line="288" w:before="60" w:after="283"/>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lineRule="auto" w:line="288" w:before="240" w:after="283"/>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Westwood Holdings Group, Inc. (the “Company”) on Form 10-Q for the period ended March 31, 2023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pStyle w:val="TextBody"/>
        <w:spacing w:lineRule="auto" w:line="288" w:before="12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(15 U.S.C.78m or 78o(d)); and</w:t>
      </w:r>
    </w:p>
    <w:p>
      <w:pPr>
        <w:pStyle w:val="TextBody"/>
        <w:spacing w:lineRule="auto" w:line="288" w:before="12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1844" w:type="dxa"/>
        <w:jc w:val="left"/>
        <w:tblInd w:w="0" w:type="dxa"/>
        <w:tblCellMar>
          <w:top w:w="28" w:type="dxa"/>
          <w:left w:w="28" w:type="dxa"/>
          <w:bottom w:w="28" w:type="dxa"/>
          <w:right w:w="28" w:type="dxa"/>
        </w:tblCellMar>
      </w:tblPr>
      <w:tblGrid>
        <w:gridCol w:w="590"/>
        <w:gridCol w:w="517"/>
        <w:gridCol w:w="737"/>
      </w:tblGrid>
      <w:tr>
        <w:trPr/>
        <w:tc>
          <w:tcPr>
            <w:tcW w:w="590"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May 4, 2023</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Brian O. Casey</w:t>
            </w:r>
          </w:p>
        </w:tc>
      </w:tr>
      <w:tr>
        <w:trPr/>
        <w:tc>
          <w:tcPr>
            <w:tcW w:w="1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Brian O. Casey</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spacing w:lineRule="auto" w:line="288" w:before="24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spacing w:before="0" w:after="2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lineRule="auto" w:line="288" w:before="240" w:after="283"/>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Westwood Holdings Group, Inc. (the “Company”) on Form 10-Q for the period ended March 31, 2023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pStyle w:val="TextBody"/>
        <w:spacing w:lineRule="auto" w:line="288" w:before="12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(15 U.S.C. 78m or 78o(d)); and</w:t>
      </w:r>
    </w:p>
    <w:p>
      <w:pPr>
        <w:pStyle w:val="TextBody"/>
        <w:spacing w:lineRule="auto" w:line="288" w:before="12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2819" w:type="dxa"/>
        <w:jc w:val="left"/>
        <w:tblInd w:w="0" w:type="dxa"/>
        <w:tblCellMar>
          <w:top w:w="28" w:type="dxa"/>
          <w:left w:w="28" w:type="dxa"/>
          <w:bottom w:w="28" w:type="dxa"/>
          <w:right w:w="28" w:type="dxa"/>
        </w:tblCellMar>
      </w:tblPr>
      <w:tblGrid>
        <w:gridCol w:w="903"/>
        <w:gridCol w:w="790"/>
        <w:gridCol w:w="1126"/>
      </w:tblGrid>
      <w:tr>
        <w:trPr/>
        <w:tc>
          <w:tcPr>
            <w:tcW w:w="903"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May 4, 2023</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Murray Forbes III</w:t>
            </w:r>
          </w:p>
        </w:tc>
      </w:tr>
      <w:tr>
        <w:trPr/>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Murray Forbes III</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Treasurer</w:t>
            </w:r>
          </w:p>
        </w:tc>
      </w:tr>
    </w:tbl>
    <w:p>
      <w:pPr>
        <w:pStyle w:val="TextBody"/>
        <w:spacing w:lineRule="auto" w:line="288" w:before="24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spacing w:before="0" w:after="20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12254</Words>
  <CharactersWithSpaces>81223</CharactersWithSpaces>
  <Paragraphs>2018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