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80" w:right="4740" w:firstLine="202"/>
        <w:spacing w:after="0" w:line="473" w:lineRule="auto"/>
        <w:tabs>
          <w:tab w:leader="none" w:pos="5149" w:val="left"/>
        </w:tabs>
        <w:numPr>
          <w:ilvl w:val="0"/>
          <w:numId w:val="1"/>
        </w:numPr>
        <w:rPr>
          <w:rFonts w:ascii="Arial" w:cs="Arial" w:eastAsia="Arial" w:hAnsi="Arial"/>
          <w:sz w:val="20"/>
          <w:szCs w:val="20"/>
          <w:color w:val="auto"/>
        </w:rPr>
      </w:pPr>
      <w:r>
        <w:rPr>
          <w:rFonts w:ascii="Arial" w:cs="Arial" w:eastAsia="Arial" w:hAnsi="Arial"/>
          <w:sz w:val="20"/>
          <w:szCs w:val="20"/>
          <w:color w:val="auto"/>
        </w:rPr>
        <w:t>240.13d-2(a) (Amendment No. )</w:t>
      </w:r>
      <w:r>
        <w:rPr>
          <w:rFonts w:ascii="Arial" w:cs="Arial" w:eastAsia="Arial" w:hAnsi="Arial"/>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Westwood Holdings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961765104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JAMES C. PAPPAS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JCP INVESTMENT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1177 West Loop South, Suite 1320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333-5540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RYAN NEBEL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April 5, 2021</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961765104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Partnership,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342,064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342,064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342,064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JCP Asset Partnership VI, LP</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3"/>
          </w:tcPr>
          <w:p>
            <w:pPr>
              <w:ind w:left="14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356,364</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356,364</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356,364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-5332095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698,428</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698,428</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698,428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698,428</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698,428</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698,428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JCP Investment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 OO</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TEXAS</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712,718</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712,718</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712,718</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4"/>
              </w:rPr>
              <w:t>James C. Pappas</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712,718</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712,718</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712,718</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This statement relates to the common stock, $0.01 par value per share (the “Shares”), of Westwood Holdings Group, Inc., a Delaware corporation (the “Issuer”). The address of the principal executive offices of the Issuer is 200 Crescent Court, Suite 1200, Dallas, Texas 75201.</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580" w:hanging="642"/>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JCP Investment Partnership, LP, a Texas limited partnership (“JCP Partnership”);</w:t>
      </w:r>
    </w:p>
    <w:p>
      <w:pPr>
        <w:spacing w:after="0" w:line="225" w:lineRule="exact"/>
        <w:rPr>
          <w:rFonts w:ascii="Arial" w:cs="Arial" w:eastAsia="Arial" w:hAnsi="Arial"/>
          <w:sz w:val="18"/>
          <w:szCs w:val="18"/>
          <w:color w:val="auto"/>
        </w:rPr>
      </w:pPr>
    </w:p>
    <w:p>
      <w:pPr>
        <w:ind w:left="2580" w:hanging="642"/>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JCP Asset Partnership VI, LP, a Texas limited partnership (“JCP Asset VI”);</w:t>
      </w:r>
    </w:p>
    <w:p>
      <w:pPr>
        <w:spacing w:after="0" w:line="225" w:lineRule="exact"/>
        <w:rPr>
          <w:rFonts w:ascii="Arial" w:cs="Arial" w:eastAsia="Arial" w:hAnsi="Arial"/>
          <w:sz w:val="18"/>
          <w:szCs w:val="18"/>
          <w:color w:val="auto"/>
        </w:rPr>
      </w:pPr>
    </w:p>
    <w:p>
      <w:pPr>
        <w:ind w:left="2580" w:hanging="642"/>
        <w:spacing w:after="0" w:line="277" w:lineRule="auto"/>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JCP Investment Partners, LP, a Texas limited partnership (“JCP Partners”), which serves as the general partner of JCP Partnership and JCP Asset VI;</w:t>
      </w:r>
    </w:p>
    <w:p>
      <w:pPr>
        <w:spacing w:after="0" w:line="170" w:lineRule="exact"/>
        <w:rPr>
          <w:rFonts w:ascii="Arial" w:cs="Arial" w:eastAsia="Arial" w:hAnsi="Arial"/>
          <w:sz w:val="18"/>
          <w:szCs w:val="18"/>
          <w:color w:val="auto"/>
        </w:rPr>
      </w:pPr>
    </w:p>
    <w:p>
      <w:pPr>
        <w:ind w:left="2580" w:right="20" w:hanging="642"/>
        <w:spacing w:after="0" w:line="277" w:lineRule="auto"/>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JCP Investment Holdings, LLC, a Texas limited liability company (“JCP Holdings”), which serves as the general partner of JCP Partners;</w:t>
      </w:r>
    </w:p>
    <w:p>
      <w:pPr>
        <w:spacing w:after="0" w:line="170" w:lineRule="exact"/>
        <w:rPr>
          <w:rFonts w:ascii="Arial" w:cs="Arial" w:eastAsia="Arial" w:hAnsi="Arial"/>
          <w:sz w:val="18"/>
          <w:szCs w:val="18"/>
          <w:color w:val="auto"/>
        </w:rPr>
      </w:pPr>
    </w:p>
    <w:p>
      <w:pPr>
        <w:ind w:left="2580" w:right="20" w:hanging="642"/>
        <w:spacing w:after="0" w:line="308" w:lineRule="auto"/>
        <w:tabs>
          <w:tab w:leader="none" w:pos="2580" w:val="left"/>
        </w:tabs>
        <w:numPr>
          <w:ilvl w:val="1"/>
          <w:numId w:val="6"/>
        </w:numPr>
        <w:rPr>
          <w:rFonts w:ascii="Arial" w:cs="Arial" w:eastAsia="Arial" w:hAnsi="Arial"/>
          <w:sz w:val="17"/>
          <w:szCs w:val="17"/>
          <w:color w:val="auto"/>
        </w:rPr>
      </w:pPr>
      <w:r>
        <w:rPr>
          <w:rFonts w:ascii="Arial" w:cs="Arial" w:eastAsia="Arial" w:hAnsi="Arial"/>
          <w:sz w:val="17"/>
          <w:szCs w:val="17"/>
          <w:color w:val="auto"/>
        </w:rPr>
        <w:t>JCP Investment Management, LLC, a Texas limited liability company (“JCP Management”), which serves as the investment manager of JCP Partnership, JCP Asset VI and a certain managed account (the “JCP Account”); and</w:t>
      </w:r>
    </w:p>
    <w:p>
      <w:pPr>
        <w:spacing w:after="0" w:line="146" w:lineRule="exact"/>
        <w:rPr>
          <w:rFonts w:ascii="Arial" w:cs="Arial" w:eastAsia="Arial" w:hAnsi="Arial"/>
          <w:sz w:val="17"/>
          <w:szCs w:val="17"/>
          <w:color w:val="auto"/>
        </w:rPr>
      </w:pPr>
    </w:p>
    <w:p>
      <w:pPr>
        <w:ind w:left="2580" w:hanging="642"/>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James C. Pappas, as the managing member of JCP Management and sole member of JCP Holdings.</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ind w:left="1820" w:hanging="516"/>
        <w:spacing w:after="0"/>
        <w:tabs>
          <w:tab w:leader="none" w:pos="1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of the principal office of each of the Reporting Persons is 1177 West Loop South, Suite 1320, Houston, Texas 77027.</w:t>
      </w:r>
    </w:p>
    <w:p>
      <w:pPr>
        <w:spacing w:after="0" w:line="248" w:lineRule="exact"/>
        <w:rPr>
          <w:rFonts w:ascii="Arial" w:cs="Arial" w:eastAsia="Arial" w:hAnsi="Arial"/>
          <w:sz w:val="16"/>
          <w:szCs w:val="16"/>
          <w:color w:val="auto"/>
        </w:rPr>
      </w:pPr>
    </w:p>
    <w:p>
      <w:pPr>
        <w:jc w:val="both"/>
        <w:ind w:firstLine="1304"/>
        <w:spacing w:after="0" w:line="279" w:lineRule="auto"/>
        <w:tabs>
          <w:tab w:leader="none" w:pos="187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principal business of JCP Partnership and JCP Asset VI is investing in securities. The principal business of JCP Partners is serving as the general partner of JCP Partnership and JCP Asset VI. The principal business of JCP Holdings is serving as the general partner of JCP Partners. The principal business of JCP Management is serving as the investment manager of JCP Partnership, JCP Asset VI and the JCP Account. The principal occupation of Mr. Pappas is serving as the managing member of JCP Management and sole member of JCP Holdings.</w:t>
      </w:r>
    </w:p>
    <w:p>
      <w:pPr>
        <w:spacing w:after="0" w:line="171" w:lineRule="exact"/>
        <w:rPr>
          <w:rFonts w:ascii="Arial" w:cs="Arial" w:eastAsia="Arial" w:hAnsi="Arial"/>
          <w:sz w:val="17"/>
          <w:szCs w:val="17"/>
          <w:color w:val="auto"/>
        </w:rPr>
      </w:pPr>
    </w:p>
    <w:p>
      <w:pPr>
        <w:ind w:left="1980" w:hanging="676"/>
        <w:spacing w:after="0"/>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Reporting Person has, during the last five years, been convicted in a criminal proceeding (excluding traffic violations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similar misdemeanors).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both"/>
        <w:ind w:firstLine="1304"/>
        <w:spacing w:after="0" w:line="263" w:lineRule="auto"/>
        <w:tabs>
          <w:tab w:leader="none" w:pos="1962"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rFonts w:ascii="Arial" w:cs="Arial" w:eastAsia="Arial" w:hAnsi="Arial"/>
          <w:sz w:val="18"/>
          <w:szCs w:val="18"/>
          <w:color w:val="auto"/>
        </w:rPr>
      </w:pPr>
    </w:p>
    <w:p>
      <w:pPr>
        <w:ind w:right="20" w:firstLine="1304"/>
        <w:spacing w:after="0" w:line="277" w:lineRule="auto"/>
        <w:tabs>
          <w:tab w:leader="none" w:pos="1875" w:val="left"/>
        </w:tabs>
        <w:numPr>
          <w:ilvl w:val="0"/>
          <w:numId w:val="8"/>
        </w:numPr>
        <w:rPr>
          <w:rFonts w:ascii="Arial" w:cs="Arial" w:eastAsia="Arial" w:hAnsi="Arial"/>
          <w:sz w:val="18"/>
          <w:szCs w:val="18"/>
          <w:color w:val="auto"/>
        </w:rPr>
      </w:pPr>
      <w:r>
        <w:rPr>
          <w:rFonts w:ascii="Arial" w:cs="Arial" w:eastAsia="Arial" w:hAnsi="Arial"/>
          <w:sz w:val="18"/>
          <w:szCs w:val="18"/>
          <w:color w:val="auto"/>
        </w:rPr>
        <w:t>JCP Partnership, JCP Asset VI, JCP Partners, JCP Holdings and JCP Management are organized under the laws of the State of Texas. Mr. Pappas is a citizen of the United States of America.</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Shares purchased by JCP Partnership and JCP Asset VI and held in the JCP Account were purchased with working capital (which may, at any given time, include margin loans made by brokerage firms in the ordinary course of business). The aggregate purchase price of the 342,064 Shares owned directly by JCP Partnership is approximately $5,650,575, including brokerage commissions. The aggregate purchase price of the 356,364 Shares owned directly by JCP Asset VI is approximately $5,886,798, including brokerage commissions. The aggregate purchase price of the 14,290 Shares held in the JCP Account is approximately $236,060, including brokerage commissions.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intend to engage in communications with the Issuer’s Board of Directors (the “Board”) and management team regarding opportunities to enhance stockholder value.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7"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and to communicate with the Issuer’s management, Board and other interested parties about a broad range of operational and strategic matters, and may discuss a potential sale of the Issuer or certain of its businesses or assets, in which the Reporting Persons may participate, as a means of enhancing stockholder value.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of the Issuer, engaging in discussions with stockholders of the Issuer or third parties, including potential acquirers, service providers and financing sources, about the Issuer and the Reporting Persons’ investment, making proposals to the Issuer concerning changes to the capital allocation strategy, capitalization, ownership structure, including a sale of the Issuer as a whole or in parts,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percentage of Shares reported owned by each person named herein is based upon 8,431,167 Shares outstanding as of March 2, 2021, which is the total number of Shares outstanding as reported in the Issuer’s definitive proxy statement on Schedule 14A filed with the Securities and Exchange Commission on March 5, 2021.</w:t>
      </w:r>
    </w:p>
    <w:p>
      <w:pPr>
        <w:spacing w:after="0" w:line="18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JCP Partnership</w:t>
      </w:r>
    </w:p>
    <w:p>
      <w:pPr>
        <w:spacing w:after="0" w:line="225" w:lineRule="exact"/>
        <w:rPr>
          <w:rFonts w:ascii="Arial" w:cs="Arial" w:eastAsia="Arial" w:hAnsi="Arial"/>
          <w:sz w:val="18"/>
          <w:szCs w:val="18"/>
          <w:color w:val="auto"/>
        </w:rPr>
      </w:pPr>
    </w:p>
    <w:p>
      <w:pPr>
        <w:ind w:left="1300" w:right="4560" w:hanging="644"/>
        <w:spacing w:after="0" w:line="50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date hereof, JCP Partnership beneficially owned 342,064 Shares. Percentage: Approximately 4.1%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342,064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342,064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JCP Asset VI</w:t>
      </w:r>
    </w:p>
    <w:p>
      <w:pPr>
        <w:spacing w:after="0" w:line="225" w:lineRule="exact"/>
        <w:rPr>
          <w:rFonts w:ascii="Arial" w:cs="Arial" w:eastAsia="Arial" w:hAnsi="Arial"/>
          <w:sz w:val="18"/>
          <w:szCs w:val="18"/>
          <w:color w:val="auto"/>
        </w:rPr>
      </w:pPr>
    </w:p>
    <w:p>
      <w:pPr>
        <w:ind w:left="1300" w:right="4740" w:hanging="644"/>
        <w:spacing w:after="0" w:line="50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date hereof, JCP Asset VI beneficially owned 356,364 Shares. Percentage: Approximately 4.2%</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356,364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356,364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JCP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JCP Partners, as the general partner of JCP Partnership and JCP Asset VI, may be deemed the beneficial owner of the (i) 342,064 Shares owned by JCP Partnership and (ii) 356,364 Shares owned by JCP Asset VI.</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8.3%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698,428</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698,428</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JCP Holdings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JCP Holdings, as the general partner of JCP Partners, may be deemed the beneficial owner of the (i) 342,064 Shares owned by JCP Partnership and (ii) 356,364 Shares owned by JCP Asset VI.</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8.3%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698,428</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698,428</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JCP Management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date hereof, 14,290 Shares were held in the JCP Account. JCP Management, as the investment manager of JCP Partnership, JCP Asset VI and the JCP Account, may be deemed the beneficial owner of the (i) 342,064 Shares owned by JCP Partnership, (ii) 356,364 Shares owned by JCP Asset VI and (iii) 14,290 Shares held in the JCP Account.</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8.5%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712,718</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712,718</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Pappas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Mr. Pappas, as the managing member of JCP Management and sole member of JCP Holdings, may be deemed the beneficial owner of the</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color w:val="auto"/>
        </w:rPr>
        <w:t>(i) 342,064 Shares owned by JCP Partnership, (ii) 356,364 Shares owned by JCP Asset VI and (iii) 14,290 Shares held in the JCP Account.</w:t>
      </w:r>
    </w:p>
    <w:p>
      <w:pPr>
        <w:spacing w:after="0" w:line="18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8.5%</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712,718</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712,718</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transactions in the Shares by the Reporting Persons during the past 60 days are set forth in Schedule A and are incorporated herein by reference. All of such transactions were effected in the open market unless otherwise noted therein.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On April 15, 2021, the Reporting Persons entered into a Joint Filing Agreement in which the Reporting Persons agreed to the joint filing on behalf of each of them of statements on Schedule 13D with respect to securities of the Issuer, to the extent required by applicable law. A copy of this agreement is attached hereto as Exhibit 99.1 and is incorporated herein by reference.</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April 15,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JCP Investment Partnership, LP</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Asset Partnership VI,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Partners,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Holdings,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General Partner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Holdings,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Management,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James C. Pappas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961765104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80" w:type="dxa"/>
            <w:vAlign w:val="bottom"/>
            <w:gridSpan w:val="6"/>
          </w:tcPr>
          <w:p>
            <w:pPr>
              <w:jc w:val="center"/>
              <w:ind w:right="2020"/>
              <w:spacing w:after="0"/>
              <w:rPr>
                <w:sz w:val="20"/>
                <w:szCs w:val="20"/>
                <w:color w:val="auto"/>
              </w:rPr>
            </w:pPr>
            <w:r>
              <w:rPr>
                <w:rFonts w:ascii="Arial" w:cs="Arial" w:eastAsia="Arial" w:hAnsi="Arial"/>
                <w:sz w:val="18"/>
                <w:szCs w:val="18"/>
                <w:b w:val="1"/>
                <w:bCs w:val="1"/>
                <w:color w:val="auto"/>
                <w:w w:val="99"/>
              </w:rPr>
              <w:t>SCHEDULE A</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60" w:type="dxa"/>
            <w:vAlign w:val="bottom"/>
            <w:gridSpan w:val="9"/>
          </w:tcPr>
          <w:p>
            <w:pPr>
              <w:jc w:val="center"/>
              <w:ind w:right="140"/>
              <w:spacing w:after="0"/>
              <w:rPr>
                <w:sz w:val="20"/>
                <w:szCs w:val="20"/>
                <w:color w:val="auto"/>
              </w:rPr>
            </w:pPr>
            <w:r>
              <w:rPr>
                <w:rFonts w:ascii="Arial" w:cs="Arial" w:eastAsia="Arial" w:hAnsi="Arial"/>
                <w:sz w:val="18"/>
                <w:szCs w:val="18"/>
                <w:color w:val="auto"/>
                <w:w w:val="88"/>
              </w:rPr>
              <w:t>Transactions in the Shares During the Past 60 Days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2"/>
        </w:trPr>
        <w:tc>
          <w:tcPr>
            <w:tcW w:w="3160" w:type="dxa"/>
            <w:vAlign w:val="bottom"/>
            <w:gridSpan w:val="3"/>
          </w:tcPr>
          <w:p>
            <w:pPr>
              <w:ind w:left="1160"/>
              <w:spacing w:after="0"/>
              <w:rPr>
                <w:sz w:val="20"/>
                <w:szCs w:val="20"/>
                <w:color w:val="auto"/>
              </w:rPr>
            </w:pPr>
            <w:r>
              <w:rPr>
                <w:rFonts w:ascii="Arial" w:cs="Arial" w:eastAsia="Arial" w:hAnsi="Arial"/>
                <w:sz w:val="18"/>
                <w:szCs w:val="18"/>
                <w:color w:val="auto"/>
              </w:rPr>
              <w:t>Shares of Common</w:t>
            </w: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gridSpan w:val="5"/>
          </w:tcPr>
          <w:p>
            <w:pPr>
              <w:jc w:val="center"/>
              <w:ind w:right="1260"/>
              <w:spacing w:after="0"/>
              <w:rPr>
                <w:sz w:val="20"/>
                <w:szCs w:val="20"/>
                <w:color w:val="auto"/>
              </w:rPr>
            </w:pPr>
            <w:r>
              <w:rPr>
                <w:rFonts w:ascii="Arial" w:cs="Arial" w:eastAsia="Arial" w:hAnsi="Arial"/>
                <w:sz w:val="18"/>
                <w:szCs w:val="18"/>
                <w:color w:val="auto"/>
                <w:w w:val="86"/>
              </w:rPr>
              <w:t>Price Per</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gridSpan w:val="2"/>
          </w:tcPr>
          <w:p>
            <w:pPr>
              <w:jc w:val="center"/>
              <w:ind w:right="1540"/>
              <w:spacing w:after="0"/>
              <w:rPr>
                <w:sz w:val="20"/>
                <w:szCs w:val="20"/>
                <w:color w:val="auto"/>
              </w:rPr>
            </w:pPr>
            <w:r>
              <w:rPr>
                <w:rFonts w:ascii="Arial" w:cs="Arial" w:eastAsia="Arial" w:hAnsi="Arial"/>
                <w:sz w:val="18"/>
                <w:szCs w:val="18"/>
                <w:color w:val="auto"/>
                <w:w w:val="92"/>
              </w:rPr>
              <w:t>Date of</w:t>
            </w:r>
          </w:p>
        </w:tc>
      </w:tr>
      <w:tr>
        <w:trPr>
          <w:trHeight w:val="190"/>
        </w:trPr>
        <w:tc>
          <w:tcPr>
            <w:tcW w:w="1280" w:type="dxa"/>
            <w:vAlign w:val="bottom"/>
          </w:tcPr>
          <w:p>
            <w:pPr>
              <w:spacing w:after="0"/>
              <w:rPr>
                <w:sz w:val="16"/>
                <w:szCs w:val="16"/>
                <w:color w:val="auto"/>
              </w:rPr>
            </w:pPr>
          </w:p>
        </w:tc>
        <w:tc>
          <w:tcPr>
            <w:tcW w:w="1200" w:type="dxa"/>
            <w:vAlign w:val="bottom"/>
          </w:tcPr>
          <w:p>
            <w:pPr>
              <w:spacing w:after="0" w:line="190" w:lineRule="exact"/>
              <w:rPr>
                <w:sz w:val="20"/>
                <w:szCs w:val="20"/>
                <w:color w:val="auto"/>
              </w:rPr>
            </w:pPr>
            <w:r>
              <w:rPr>
                <w:rFonts w:ascii="Arial" w:cs="Arial" w:eastAsia="Arial" w:hAnsi="Arial"/>
                <w:sz w:val="18"/>
                <w:szCs w:val="18"/>
                <w:color w:val="auto"/>
                <w:w w:val="86"/>
              </w:rPr>
              <w:t>Stock Purchased</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2300"/>
              <w:spacing w:after="0" w:line="190" w:lineRule="exact"/>
              <w:rPr>
                <w:sz w:val="20"/>
                <w:szCs w:val="20"/>
                <w:color w:val="auto"/>
              </w:rPr>
            </w:pPr>
            <w:r>
              <w:rPr>
                <w:rFonts w:ascii="Arial" w:cs="Arial" w:eastAsia="Arial" w:hAnsi="Arial"/>
                <w:sz w:val="18"/>
                <w:szCs w:val="18"/>
                <w:u w:val="single" w:color="auto"/>
                <w:color w:val="auto"/>
                <w:w w:val="88"/>
              </w:rPr>
              <w:t>Share($</w:t>
            </w:r>
            <w:r>
              <w:rPr>
                <w:rFonts w:ascii="Arial" w:cs="Arial" w:eastAsia="Arial" w:hAnsi="Arial"/>
                <w:sz w:val="18"/>
                <w:szCs w:val="18"/>
                <w:color w:val="auto"/>
                <w:w w:val="88"/>
              </w:rPr>
              <w:t>)</w:t>
            </w:r>
          </w:p>
        </w:tc>
        <w:tc>
          <w:tcPr>
            <w:tcW w:w="3020" w:type="dxa"/>
            <w:vAlign w:val="bottom"/>
            <w:gridSpan w:val="3"/>
          </w:tcPr>
          <w:p>
            <w:pPr>
              <w:jc w:val="center"/>
              <w:ind w:right="740"/>
              <w:spacing w:after="0" w:line="190" w:lineRule="exact"/>
              <w:rPr>
                <w:sz w:val="20"/>
                <w:szCs w:val="20"/>
                <w:color w:val="auto"/>
              </w:rPr>
            </w:pPr>
            <w:r>
              <w:rPr>
                <w:rFonts w:ascii="Arial" w:cs="Arial" w:eastAsia="Arial" w:hAnsi="Arial"/>
                <w:sz w:val="18"/>
                <w:szCs w:val="18"/>
                <w:color w:val="auto"/>
                <w:w w:val="84"/>
              </w:rPr>
              <w:t>Purchase</w:t>
            </w:r>
          </w:p>
        </w:tc>
      </w:tr>
      <w:tr>
        <w:trPr>
          <w:trHeight w:val="20"/>
        </w:trPr>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7"/>
          </w:tcPr>
          <w:p>
            <w:pPr>
              <w:jc w:val="center"/>
              <w:ind w:right="1000"/>
              <w:spacing w:after="0"/>
              <w:rPr>
                <w:sz w:val="20"/>
                <w:szCs w:val="20"/>
                <w:color w:val="auto"/>
              </w:rPr>
            </w:pPr>
            <w:r>
              <w:rPr>
                <w:rFonts w:ascii="Arial" w:cs="Arial" w:eastAsia="Arial" w:hAnsi="Arial"/>
                <w:sz w:val="18"/>
                <w:szCs w:val="18"/>
                <w:b w:val="1"/>
                <w:bCs w:val="1"/>
                <w:color w:val="auto"/>
                <w:w w:val="99"/>
              </w:rPr>
              <w:t>JCP INVESTMENT PARTNERSHIP, LP</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10,681</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16.8891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02/16/2021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2,728</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16.9573</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02/17/2021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7,840</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16.8349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02/18/2021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4,016</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16.9808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02/19/2021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16,781</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16.8553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02/22/2021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5,910</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16.7306</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02/23/2021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2,626</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16.9903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02/24/2021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3,387</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16.9668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02/25/2021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5,218</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17.3065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02/26/2021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6,913</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17.5155</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03/01/2021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6,894</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17.4021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03/02/2021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2,276</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17.4090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03/03/2021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9,571</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17.8681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03/04/2021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93"/>
              </w:rPr>
              <w:t>336</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17.9486</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03/05/2021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3,592</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17.8950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03/10/2021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3,219</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18.4201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03/11/2021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23,996</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18.4957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03/12/2021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11,998</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18.1999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03/15/2021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77,260</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15.8000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04/05/2021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8,397</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16.0112</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04/06/2021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11,689</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16.0600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04/07/2021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21,592</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16.7286</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04/08/2021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16,793</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17.5452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04/09/2021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11,520</w:t>
            </w:r>
          </w:p>
        </w:tc>
        <w:tc>
          <w:tcPr>
            <w:tcW w:w="680" w:type="dxa"/>
            <w:vAlign w:val="bottom"/>
          </w:tcPr>
          <w:p>
            <w:pPr>
              <w:spacing w:after="0"/>
              <w:rPr>
                <w:sz w:val="18"/>
                <w:szCs w:val="18"/>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17.5138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04/12/2021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4,798</w:t>
            </w:r>
          </w:p>
        </w:tc>
        <w:tc>
          <w:tcPr>
            <w:tcW w:w="68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center"/>
              <w:ind w:left="2050"/>
              <w:spacing w:after="0"/>
              <w:rPr>
                <w:sz w:val="20"/>
                <w:szCs w:val="20"/>
                <w:color w:val="auto"/>
              </w:rPr>
            </w:pPr>
            <w:r>
              <w:rPr>
                <w:rFonts w:ascii="Arial" w:cs="Arial" w:eastAsia="Arial" w:hAnsi="Arial"/>
                <w:sz w:val="18"/>
                <w:szCs w:val="18"/>
                <w:color w:val="auto"/>
                <w:w w:val="89"/>
              </w:rPr>
              <w:t>17.0321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0"/>
              </w:rPr>
              <w:t>04/13/2021</w:t>
            </w:r>
          </w:p>
        </w:tc>
      </w:tr>
      <w:tr>
        <w:trPr>
          <w:trHeight w:val="230"/>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6,669</w:t>
            </w:r>
          </w:p>
        </w:tc>
        <w:tc>
          <w:tcPr>
            <w:tcW w:w="680" w:type="dxa"/>
            <w:vAlign w:val="bottom"/>
          </w:tcPr>
          <w:p>
            <w:pPr>
              <w:spacing w:after="0"/>
              <w:rPr>
                <w:sz w:val="20"/>
                <w:szCs w:val="20"/>
                <w:color w:val="auto"/>
              </w:rPr>
            </w:pPr>
          </w:p>
        </w:tc>
        <w:tc>
          <w:tcPr>
            <w:tcW w:w="2760" w:type="dxa"/>
            <w:vAlign w:val="bottom"/>
            <w:gridSpan w:val="5"/>
          </w:tcPr>
          <w:p>
            <w:pPr>
              <w:jc w:val="center"/>
              <w:ind w:left="2050"/>
              <w:spacing w:after="0"/>
              <w:rPr>
                <w:sz w:val="20"/>
                <w:szCs w:val="20"/>
                <w:color w:val="auto"/>
              </w:rPr>
            </w:pPr>
            <w:r>
              <w:rPr>
                <w:rFonts w:ascii="Arial" w:cs="Arial" w:eastAsia="Arial" w:hAnsi="Arial"/>
                <w:sz w:val="18"/>
                <w:szCs w:val="18"/>
                <w:color w:val="auto"/>
                <w:w w:val="89"/>
              </w:rPr>
              <w:t>16.4007</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04/15/2021</w:t>
            </w:r>
          </w:p>
        </w:tc>
      </w:tr>
      <w:tr>
        <w:trPr>
          <w:trHeight w:val="445"/>
        </w:trPr>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961765104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38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96"/>
              </w:rPr>
              <w:t>JCP ASSET PARTNERSHIP VI, LP</w:t>
            </w:r>
          </w:p>
        </w:tc>
        <w:tc>
          <w:tcPr>
            <w:tcW w:w="4200" w:type="dxa"/>
            <w:vAlign w:val="bottom"/>
          </w:tcPr>
          <w:p>
            <w:pPr>
              <w:spacing w:after="0"/>
              <w:rPr>
                <w:sz w:val="17"/>
                <w:szCs w:val="17"/>
                <w:color w:val="auto"/>
              </w:rPr>
            </w:pPr>
          </w:p>
        </w:tc>
      </w:tr>
      <w:tr>
        <w:trPr>
          <w:trHeight w:val="237"/>
        </w:trPr>
        <w:tc>
          <w:tcPr>
            <w:tcW w:w="3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4200" w:type="dxa"/>
            <w:vAlign w:val="bottom"/>
          </w:tcPr>
          <w:p>
            <w:pPr>
              <w:spacing w:after="0"/>
              <w:rPr>
                <w:sz w:val="20"/>
                <w:szCs w:val="20"/>
                <w:color w:val="auto"/>
              </w:rPr>
            </w:pP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11,119</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16.8891</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02/16/2021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2,840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16.9573</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02/17/2021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8,163</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16.8349</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02/18/2021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4,182</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16.9808</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02/19/2021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17,473</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16.8553</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02/22/2021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6,154</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16.7306</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02/23/2021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2,735</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16.9903</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02/24/2021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3,527</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16.9668</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02/25/2021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5,434</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17.3065</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02/26/2021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7,200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17.5155</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03/01/2021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7,180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17.4021</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03/02/2021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2,371</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17.4090</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03/03/2021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9,970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17.8681</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03/04/2021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93"/>
              </w:rPr>
              <w:t>350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17.9486</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03/05/2021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3,742</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17.8950</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03/10/2021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3,355</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18.4201</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03/11/2021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25,000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18.4957</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03/12/2021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7"/>
              </w:rPr>
              <w:t>12,500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18.1999</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03/15/2021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80,500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15.8000</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04/05/2021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8,750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16.0112</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04/06/2021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12,181</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16.0600</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04/07/2021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7"/>
              </w:rPr>
              <w:t>22,500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16.7286</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04/08/2021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17,500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17.5452</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04/09/2021</w:t>
            </w:r>
          </w:p>
        </w:tc>
      </w:tr>
      <w:tr>
        <w:trPr>
          <w:trHeight w:val="216"/>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7"/>
              </w:rPr>
              <w:t>12,006</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17.5138</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04/12/2021</w:t>
            </w:r>
          </w:p>
        </w:tc>
      </w:tr>
      <w:tr>
        <w:trPr>
          <w:trHeight w:val="216"/>
        </w:trPr>
        <w:tc>
          <w:tcPr>
            <w:tcW w:w="3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5,000</w:t>
            </w:r>
          </w:p>
        </w:tc>
        <w:tc>
          <w:tcPr>
            <w:tcW w:w="38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17.0321</w:t>
            </w:r>
          </w:p>
        </w:tc>
        <w:tc>
          <w:tcPr>
            <w:tcW w:w="42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04/13/2021</w:t>
            </w:r>
          </w:p>
        </w:tc>
      </w:tr>
      <w:tr>
        <w:trPr>
          <w:trHeight w:val="230"/>
        </w:trPr>
        <w:tc>
          <w:tcPr>
            <w:tcW w:w="3180" w:type="dxa"/>
            <w:vAlign w:val="bottom"/>
          </w:tcPr>
          <w:p>
            <w:pPr>
              <w:jc w:val="center"/>
              <w:ind w:left="490"/>
              <w:spacing w:after="0"/>
              <w:rPr>
                <w:sz w:val="20"/>
                <w:szCs w:val="20"/>
                <w:color w:val="auto"/>
              </w:rPr>
            </w:pPr>
            <w:r>
              <w:rPr>
                <w:rFonts w:ascii="Arial" w:cs="Arial" w:eastAsia="Arial" w:hAnsi="Arial"/>
                <w:sz w:val="18"/>
                <w:szCs w:val="18"/>
                <w:color w:val="auto"/>
                <w:w w:val="88"/>
              </w:rPr>
              <w:t>6,950</w:t>
            </w:r>
          </w:p>
        </w:tc>
        <w:tc>
          <w:tcPr>
            <w:tcW w:w="386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16.4007</w:t>
            </w:r>
          </w:p>
        </w:tc>
        <w:tc>
          <w:tcPr>
            <w:tcW w:w="4200" w:type="dxa"/>
            <w:vAlign w:val="bottom"/>
          </w:tcPr>
          <w:p>
            <w:pPr>
              <w:jc w:val="right"/>
              <w:ind w:right="1370"/>
              <w:spacing w:after="0"/>
              <w:rPr>
                <w:sz w:val="20"/>
                <w:szCs w:val="20"/>
                <w:color w:val="auto"/>
              </w:rPr>
            </w:pPr>
            <w:r>
              <w:rPr>
                <w:rFonts w:ascii="Arial" w:cs="Arial" w:eastAsia="Arial" w:hAnsi="Arial"/>
                <w:sz w:val="18"/>
                <w:szCs w:val="18"/>
                <w:color w:val="auto"/>
              </w:rPr>
              <w:t>04/15/2021</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JCP INVESTMENT MANAGEMENT,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(Through the JCP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438</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16.8891</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02/16/2021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86"/>
              </w:rPr>
              <w:t>111</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16.9573</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02/17/2021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323</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16.8349</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02/18/2021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166</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16.9808</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02/19/2021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692</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16.8553</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02/22/2021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244</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16.7306</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02/23/2021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109</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16.9903</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02/24/2021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140</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16.9668</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02/25/2021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216</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17.3065</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02/26/2021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286</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17.5155</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03/01/2021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286</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17.4021</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03/02/2021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17.4090</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03/03/2021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398</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17.8681</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03/04/2021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17.9486</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03/05/2021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17.8950</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03/10/2021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18.4201</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03/11/2021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1,004</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18.4957</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03/12/2021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502</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18.1999</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03/15/2021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3,240</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15.8000</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04/05/2021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353</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16.0112</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04/06/2021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491</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16.0600</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04/07/2021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908</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16.7286</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04/08/2021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707</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17.5452</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04/09/2021</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485</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17.5138</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04/12/2021</w:t>
            </w:r>
          </w:p>
        </w:tc>
      </w:tr>
      <w:tr>
        <w:trPr>
          <w:trHeight w:val="216"/>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202</w:t>
            </w:r>
          </w:p>
        </w:tc>
        <w:tc>
          <w:tcPr>
            <w:tcW w:w="37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17.0321</w:t>
            </w:r>
          </w:p>
        </w:tc>
        <w:tc>
          <w:tcPr>
            <w:tcW w:w="38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04/13/2021</w:t>
            </w: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3"/>
              </w:rPr>
              <w:t>281</w:t>
            </w:r>
          </w:p>
        </w:tc>
        <w:tc>
          <w:tcPr>
            <w:tcW w:w="3740" w:type="dxa"/>
            <w:vAlign w:val="bottom"/>
          </w:tcPr>
          <w:p>
            <w:pPr>
              <w:jc w:val="right"/>
              <w:ind w:right="1450"/>
              <w:spacing w:after="0"/>
              <w:rPr>
                <w:sz w:val="20"/>
                <w:szCs w:val="20"/>
                <w:color w:val="auto"/>
              </w:rPr>
            </w:pPr>
            <w:r>
              <w:rPr>
                <w:rFonts w:ascii="Arial" w:cs="Arial" w:eastAsia="Arial" w:hAnsi="Arial"/>
                <w:sz w:val="18"/>
                <w:szCs w:val="18"/>
                <w:color w:val="auto"/>
              </w:rPr>
              <w:t>16.4007</w:t>
            </w:r>
          </w:p>
        </w:tc>
        <w:tc>
          <w:tcPr>
            <w:tcW w:w="3800" w:type="dxa"/>
            <w:vAlign w:val="bottom"/>
          </w:tcPr>
          <w:p>
            <w:pPr>
              <w:jc w:val="right"/>
              <w:ind w:right="1370"/>
              <w:spacing w:after="0"/>
              <w:rPr>
                <w:sz w:val="20"/>
                <w:szCs w:val="20"/>
                <w:color w:val="auto"/>
              </w:rPr>
            </w:pPr>
            <w:r>
              <w:rPr>
                <w:rFonts w:ascii="Arial" w:cs="Arial" w:eastAsia="Arial" w:hAnsi="Arial"/>
                <w:sz w:val="18"/>
                <w:szCs w:val="18"/>
                <w:color w:val="auto"/>
              </w:rPr>
              <w:t>04/15/2021</w:t>
            </w:r>
          </w:p>
        </w:tc>
      </w:tr>
    </w:tbl>
    <w:p>
      <w:pPr>
        <w:sectPr>
          <w:pgSz w:w="11900" w:h="16838" w:orient="portrait"/>
          <w:cols w:equalWidth="0" w:num="1">
            <w:col w:w="11240"/>
          </w:cols>
          <w:pgMar w:left="320" w:top="226"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$0.01 par value, of Westwood Holdings Group, Inc., a Delaware corporation. This Joint Filing Agreement shall be filed as an Exhibit to such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JCP Investment Partnership,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32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632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3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11240" w:type="dxa"/>
            <w:vAlign w:val="bottom"/>
            <w:gridSpan w:val="3"/>
          </w:tcPr>
          <w:p>
            <w:pPr>
              <w:ind w:left="5840"/>
              <w:spacing w:after="0"/>
              <w:rPr>
                <w:sz w:val="20"/>
                <w:szCs w:val="20"/>
                <w:color w:val="auto"/>
              </w:rPr>
            </w:pPr>
            <w:r>
              <w:rPr>
                <w:rFonts w:ascii="Arial" w:cs="Arial" w:eastAsia="Arial" w:hAnsi="Arial"/>
                <w:sz w:val="18"/>
                <w:szCs w:val="18"/>
                <w:color w:val="auto"/>
              </w:rPr>
              <w:t>JCP Asset Partnership VI, LP</w:t>
            </w:r>
          </w:p>
        </w:tc>
      </w:tr>
      <w:tr>
        <w:trPr>
          <w:trHeight w:val="418"/>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32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632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3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11240" w:type="dxa"/>
            <w:vAlign w:val="bottom"/>
            <w:gridSpan w:val="3"/>
          </w:tcPr>
          <w:p>
            <w:pPr>
              <w:ind w:left="5840"/>
              <w:spacing w:after="0"/>
              <w:rPr>
                <w:sz w:val="20"/>
                <w:szCs w:val="20"/>
                <w:color w:val="auto"/>
              </w:rPr>
            </w:pPr>
            <w:r>
              <w:rPr>
                <w:rFonts w:ascii="Arial" w:cs="Arial" w:eastAsia="Arial" w:hAnsi="Arial"/>
                <w:sz w:val="18"/>
                <w:szCs w:val="18"/>
                <w:color w:val="auto"/>
              </w:rPr>
              <w:t>JCP Investment Partners, LP</w:t>
            </w:r>
          </w:p>
        </w:tc>
      </w:tr>
      <w:tr>
        <w:trPr>
          <w:trHeight w:val="418"/>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Holdings, LLC</w:t>
            </w:r>
          </w:p>
        </w:tc>
      </w:tr>
      <w:tr>
        <w:trPr>
          <w:trHeight w:val="230"/>
        </w:trPr>
        <w:tc>
          <w:tcPr>
            <w:tcW w:w="632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General Partner</w:t>
            </w:r>
          </w:p>
        </w:tc>
      </w:tr>
      <w:tr>
        <w:trPr>
          <w:trHeight w:val="432"/>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632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3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11240" w:type="dxa"/>
            <w:vAlign w:val="bottom"/>
            <w:gridSpan w:val="3"/>
          </w:tcPr>
          <w:p>
            <w:pPr>
              <w:ind w:left="5840"/>
              <w:spacing w:after="0"/>
              <w:rPr>
                <w:sz w:val="20"/>
                <w:szCs w:val="20"/>
                <w:color w:val="auto"/>
              </w:rPr>
            </w:pPr>
            <w:r>
              <w:rPr>
                <w:rFonts w:ascii="Arial" w:cs="Arial" w:eastAsia="Arial" w:hAnsi="Arial"/>
                <w:sz w:val="18"/>
                <w:szCs w:val="18"/>
                <w:color w:val="auto"/>
              </w:rPr>
              <w:t>JCP Investment Holdings, LLC</w:t>
            </w:r>
          </w:p>
        </w:tc>
      </w:tr>
      <w:tr>
        <w:trPr>
          <w:trHeight w:val="432"/>
        </w:trPr>
        <w:tc>
          <w:tcPr>
            <w:tcW w:w="6320" w:type="dxa"/>
            <w:vAlign w:val="bottom"/>
          </w:tcPr>
          <w:p>
            <w:pPr>
              <w:ind w:left="58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632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3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783"/>
        </w:trPr>
        <w:tc>
          <w:tcPr>
            <w:tcW w:w="6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ind w:left="4720"/>
        <w:spacing w:after="0"/>
        <w:rPr>
          <w:sz w:val="20"/>
          <w:szCs w:val="20"/>
          <w:color w:val="auto"/>
        </w:rPr>
      </w:pPr>
      <w:r>
        <w:rPr>
          <w:rFonts w:ascii="Arial" w:cs="Arial" w:eastAsia="Arial" w:hAnsi="Arial"/>
          <w:sz w:val="18"/>
          <w:szCs w:val="18"/>
          <w:color w:val="auto"/>
        </w:rPr>
        <w:t>JCP Investment Management, LLC</w:t>
      </w:r>
    </w:p>
    <w:p>
      <w:pPr>
        <w:spacing w:after="0" w:line="225"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James C. Pappas</w:t>
      </w:r>
    </w:p>
    <w:sectPr>
      <w:pgSz w:w="11900" w:h="16838" w:orient="portrait"/>
      <w:cols w:equalWidth="0" w:num="1">
        <w:col w:w="10120"/>
      </w:cols>
      <w:pgMar w:left="14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decimal"/>
      <w:start w:val="14"/>
    </w:lvl>
  </w:abstractNum>
  <w:abstractNum w:abstractNumId="3">
    <w:nsid w:val="515F007C"/>
    <w:multiLevelType w:val="hybridMultilevel"/>
    <w:lvl w:ilvl="0">
      <w:lvlJc w:val="left"/>
      <w:lvlText w:val="6"/>
      <w:numFmt w:val="bullet"/>
      <w:start w:val="1"/>
    </w:lvl>
  </w:abstractNum>
  <w:abstractNum w:abstractNumId="4">
    <w:nsid w:val="5BD062C2"/>
    <w:multiLevelType w:val="hybridMultilevel"/>
    <w:lvl w:ilvl="0">
      <w:lvlJc w:val="left"/>
      <w:lvlText w:val="%1"/>
      <w:numFmt w:val="decimal"/>
      <w:start w:val="14"/>
    </w:lvl>
  </w:abstractNum>
  <w:abstractNum w:abstractNumId="5">
    <w:nsid w:val="12200854"/>
    <w:multiLevelType w:val="hybridMultilevel"/>
    <w:lvl w:ilvl="0">
      <w:lvlJc w:val="left"/>
      <w:lvlText w:val="(%1)"/>
      <w:numFmt w:val="lowerLetter"/>
      <w:start w:val="1"/>
    </w:lvl>
    <w:lvl w:ilvl="1">
      <w:lvlJc w:val="left"/>
      <w:lvlText w:val="(%2)"/>
      <w:numFmt w:val="lowerRoman"/>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0"/>
    </w:lvl>
  </w:abstractNum>
  <w:abstractNum w:abstractNumId="9">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66EF438D"/>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1">
    <w:nsid w:val="140E0F76"/>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2021-04-15T16:35:22Z</dcterms:created>
  <dcterms:modified xsi:type="dcterms:W3CDTF">2021-04-15T16:35:22Z</dcterms:modified>
</cp:coreProperties>
</file>