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As filed with the Securities and Exchange Commission on February 21, 2024</w:t>
      </w:r>
    </w:p>
    <w:p>
      <w:pPr>
        <w:pStyle w:val="TextBody"/>
        <w:bidi w:val="0"/>
        <w:spacing w:lineRule="auto" w:line="345"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Registration No. 333-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FORM S-8</w:t>
      </w:r>
    </w:p>
    <w:p>
      <w:pPr>
        <w:pStyle w:val="TextBody"/>
        <w:bidi w:val="0"/>
        <w:spacing w:lineRule="auto" w:line="345" w:before="120" w:after="283"/>
        <w:jc w:val="center"/>
        <w:rPr/>
      </w:pPr>
      <w:r>
        <w:rPr>
          <w:rFonts w:ascii="Times New Roman;sans-serif" w:hAnsi="Times New Roman;sans-serif"/>
          <w:b/>
          <w:color w:val="000000"/>
          <w:sz w:val="16"/>
        </w:rPr>
        <w:t>REGISTRATION STATEMENT</w:t>
      </w:r>
      <w:r>
        <w:rPr>
          <w:color w:val="000000"/>
        </w:rPr>
        <w:t xml:space="preserve"> </w:t>
      </w:r>
      <w:r>
        <w:rPr>
          <w:rFonts w:ascii="Times New Roman;sans-serif" w:hAnsi="Times New Roman;sans-serif"/>
          <w:b/>
          <w:color w:val="000000"/>
          <w:sz w:val="16"/>
        </w:rPr>
        <w:t>UNDER</w:t>
      </w:r>
      <w:r>
        <w:rPr>
          <w:color w:val="000000"/>
        </w:rPr>
        <w:t xml:space="preserve"> </w:t>
      </w:r>
      <w:r>
        <w:rPr>
          <w:rFonts w:ascii="Times New Roman;sans-serif" w:hAnsi="Times New Roman;sans-serif"/>
          <w:b/>
          <w:color w:val="000000"/>
          <w:sz w:val="16"/>
        </w:rPr>
        <w:t>THE SECURITIES ACT OF 1933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WESTWOOD HOLDINGS GROUP,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4887" w:type="dxa"/>
        <w:jc w:val="center"/>
        <w:tblInd w:w="0" w:type="dxa"/>
        <w:tblLayout w:type="fixed"/>
        <w:tblCellMar>
          <w:top w:w="28" w:type="dxa"/>
          <w:left w:w="28" w:type="dxa"/>
          <w:bottom w:w="28" w:type="dxa"/>
          <w:right w:w="28" w:type="dxa"/>
        </w:tblCellMar>
      </w:tblPr>
      <w:tblGrid>
        <w:gridCol w:w="1130"/>
        <w:gridCol w:w="992"/>
        <w:gridCol w:w="998"/>
        <w:gridCol w:w="109"/>
        <w:gridCol w:w="109"/>
        <w:gridCol w:w="109"/>
        <w:gridCol w:w="421"/>
        <w:gridCol w:w="421"/>
        <w:gridCol w:w="598"/>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Delaware</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75-2969997</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200 Crescent Court, Suite 1200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Dallas, Texas</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75201</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180" w:after="283"/>
        <w:jc w:val="center"/>
        <w:rPr>
          <w:rFonts w:ascii="Times New Roman;sans-serif" w:hAnsi="Times New Roman;sans-serif"/>
          <w:b/>
          <w:color w:val="000000"/>
          <w:sz w:val="16"/>
        </w:rPr>
      </w:pPr>
      <w:r>
        <w:rPr>
          <w:rFonts w:ascii="Times New Roman;sans-serif" w:hAnsi="Times New Roman;sans-serif"/>
          <w:b/>
          <w:color w:val="000000"/>
          <w:sz w:val="16"/>
        </w:rPr>
        <w:t>NINTH AMENDED AND RESTATED WESTWOOD HOLDINGS GROUP, INC. STOCK INCENTIVE PLAN</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 of the plan)</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Brian O. Casey</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Westwood Holdings Group, Inc.</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200 Crescent Court, Suite 1200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Dallas, Texas 75201</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and address of agent for service)</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(214) 756-6900</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(Telephone number, including area code, of agent for service)</w:t>
      </w:r>
    </w:p>
    <w:p>
      <w:pPr>
        <w:pStyle w:val="TextBody"/>
        <w:bidi w:val="0"/>
        <w:spacing w:lineRule="auto" w:line="345"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Copies to:</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Head of Corporate Section</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c/o Norton Rose Fulbright US LLP</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2200 Ross Avenue, Suite 3600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Dallas, Texas 75201</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Telephone: (214) 855-8000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Facsimile: (214) 855-8200</w:t>
      </w:r>
    </w:p>
    <w:tbl>
      <w:tblPr>
        <w:tblW w:w="10205" w:type="dxa"/>
        <w:jc w:val="left"/>
        <w:tblInd w:w="0" w:type="dxa"/>
        <w:tblLayout w:type="fixed"/>
        <w:tblCellMar>
          <w:top w:w="28" w:type="dxa"/>
          <w:left w:w="28" w:type="dxa"/>
          <w:bottom w:w="28" w:type="dxa"/>
          <w:right w:w="28" w:type="dxa"/>
        </w:tblCellMar>
      </w:tblPr>
      <w:tblGrid>
        <w:gridCol w:w="1852"/>
        <w:gridCol w:w="851"/>
        <w:gridCol w:w="851"/>
        <w:gridCol w:w="851"/>
        <w:gridCol w:w="851"/>
        <w:gridCol w:w="851"/>
        <w:gridCol w:w="2021"/>
        <w:gridCol w:w="851"/>
        <w:gridCol w:w="1226"/>
      </w:tblGrid>
      <w:tr>
        <w:trPr/>
        <w:tc>
          <w:tcPr>
            <w:tcW w:w="18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4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6"/>
              </w:rPr>
              <w:t>Non</w:t>
              <w:noBreakHyphen/>
              <w:t>accelerated filer </w:t>
            </w:r>
            <w:r>
              <w:rPr>
                <w:color w:val="000000"/>
              </w:rPr>
              <w:t>☑</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6"/>
              </w:rPr>
              <w:t>Smaller reporting company </w:t>
            </w:r>
            <w:r>
              <w:rPr>
                <w:color w:val="000000"/>
              </w:rPr>
              <w:t>☑</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EXPLANATORY NOTE</w:t>
      </w:r>
    </w:p>
    <w:p>
      <w:pPr>
        <w:pStyle w:val="TextBody"/>
        <w:bidi w:val="0"/>
        <w:spacing w:lineRule="auto" w:line="345" w:before="120" w:after="283"/>
        <w:jc w:val="both"/>
        <w:rPr>
          <w:color w:val="000000"/>
        </w:rPr>
      </w:pPr>
      <w:r>
        <w:rPr>
          <w:color w:val="000000"/>
        </w:rPr>
        <w:t>    </w:t>
      </w:r>
      <w:r>
        <w:rPr>
          <w:rFonts w:ascii="Times New Roman;sans-serif" w:hAnsi="Times New Roman;sans-serif"/>
          <w:b w:val="false"/>
          <w:color w:val="000000"/>
          <w:sz w:val="16"/>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350,000 shares of Westwood Holdings Group, Inc. (the "Registrant") common stock, par value $0.01 per share (the "Common Stock"), reserved under the Ninth Amended and Restated Westwood Holdings Group, Inc. Stock Incentive Plan (the "Plan") and 141,473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the Registration Statement on Form S-8 registering 300,348 shares of the Registrant’s Common Stock, filed on July 11, 2019 (Registration Statement 333-232595); the Registration Statement on Form S-8 registering 391,786 shares of the Registrant's Common Stock, filed on June 5, 2020 (Registration Statement 333-238965); the Registration Statement on Form S-8 registering 337,519 shares of the Registrant's Common Stock, filed on July 30, 2021 (Registration Statement 333-258305); and the Registration Statement on Form S-8 registering 260,711 shares of the Registrant's Common Stock, filed on September 28, 2022 (Registration Statement 333-267641)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II</w:t>
      </w:r>
    </w:p>
    <w:p>
      <w:pPr>
        <w:pStyle w:val="TextBody"/>
        <w:bidi w:val="0"/>
        <w:spacing w:lineRule="auto" w:line="288" w:before="140" w:after="283"/>
        <w:jc w:val="center"/>
        <w:rPr>
          <w:rFonts w:ascii="Times New Roman;sans-serif" w:hAnsi="Times New Roman;sans-serif"/>
          <w:b/>
          <w:color w:val="000000"/>
          <w:sz w:val="16"/>
        </w:rPr>
      </w:pPr>
      <w:r>
        <w:rPr>
          <w:rFonts w:ascii="Times New Roman;sans-serif" w:hAnsi="Times New Roman;sans-serif"/>
          <w:b/>
          <w:color w:val="000000"/>
          <w:sz w:val="16"/>
        </w:rPr>
        <w:t>INFORMATION REQUIRED IN THE REGISTRATION STATEMENT</w:t>
      </w:r>
    </w:p>
    <w:p>
      <w:pPr>
        <w:pStyle w:val="TextBody"/>
        <w:bidi w:val="0"/>
        <w:spacing w:lineRule="auto" w:line="288" w:before="260" w:after="283"/>
        <w:jc w:val="both"/>
        <w:rPr>
          <w:rFonts w:ascii="Times New Roman;sans-serif" w:hAnsi="Times New Roman;sans-serif"/>
          <w:b/>
          <w:color w:val="000000"/>
          <w:sz w:val="16"/>
        </w:rPr>
      </w:pPr>
      <w:r>
        <w:rPr>
          <w:rFonts w:ascii="Times New Roman;sans-serif" w:hAnsi="Times New Roman;sans-serif"/>
          <w:b/>
          <w:color w:val="000000"/>
          <w:sz w:val="16"/>
        </w:rPr>
        <w:t>Item 3. Incorporation of Documents by Reference.</w:t>
      </w:r>
    </w:p>
    <w:p>
      <w:pPr>
        <w:pStyle w:val="TextBody"/>
        <w:bidi w:val="0"/>
        <w:spacing w:lineRule="auto" w:line="288" w:before="140" w:after="283"/>
        <w:jc w:val="both"/>
        <w:rPr>
          <w:color w:val="000000"/>
        </w:rPr>
      </w:pPr>
      <w:r>
        <w:rPr>
          <w:color w:val="000000"/>
        </w:rPr>
        <w:t>    </w:t>
      </w:r>
      <w:r>
        <w:rPr>
          <w:rFonts w:ascii="Times New Roman;sans-serif" w:hAnsi="Times New Roman;sans-serif"/>
          <w:b w:val="false"/>
          <w:color w:val="000000"/>
          <w:sz w:val="16"/>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Annual report on Form 10-K for the fiscal year ended December 31, 2022, filed with the Commission on March 13, 2023;</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2.</w:t>
      </w:r>
      <w:r>
        <w:rPr>
          <w:color w:val="000000"/>
        </w:rPr>
        <w:t>    </w:t>
      </w:r>
      <w:r>
        <w:rPr>
          <w:rFonts w:ascii="Times New Roman;sans-serif" w:hAnsi="Times New Roman;sans-serif"/>
          <w:b w:val="false"/>
          <w:color w:val="000000"/>
          <w:sz w:val="16"/>
        </w:rPr>
        <w:t>Quarterly report on Form 10-Q for the quarterly period ended March 31, 2023, filed with the Commission on May 4, 2023;</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3.</w:t>
      </w:r>
      <w:r>
        <w:rPr>
          <w:color w:val="000000"/>
        </w:rPr>
        <w:t>    </w:t>
      </w:r>
      <w:r>
        <w:rPr>
          <w:rFonts w:ascii="Times New Roman;sans-serif" w:hAnsi="Times New Roman;sans-serif"/>
          <w:b w:val="false"/>
          <w:color w:val="000000"/>
          <w:sz w:val="16"/>
        </w:rPr>
        <w:t>Quarterly report on Form 10-Q for the quarterly period ended June 30, 2023, filed with the Commission on August 2, 2023;</w:t>
      </w:r>
    </w:p>
    <w:p>
      <w:pPr>
        <w:pStyle w:val="TextBody"/>
        <w:bidi w:val="0"/>
        <w:spacing w:lineRule="auto" w:line="288" w:before="140" w:after="283"/>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4.    Quarterly report on Form 10-Q for the quarterly period ended September 30, 2023, filed with the Commission on October 31, 2023;</w:t>
      </w:r>
    </w:p>
    <w:p>
      <w:pPr>
        <w:pStyle w:val="TextBody"/>
        <w:bidi w:val="0"/>
        <w:spacing w:lineRule="auto" w:line="288" w:before="140" w:after="283"/>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5.    Current reports on Form 8-K filed with the Commission on February 16, 2023 and May 2, 2023; and</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6.</w:t>
      </w:r>
      <w:r>
        <w:rPr>
          <w:color w:val="000000"/>
        </w:rPr>
        <w:t>    </w:t>
      </w:r>
      <w:r>
        <w:rPr>
          <w:rFonts w:ascii="Times New Roman;sans-serif" w:hAnsi="Times New Roman;sans-serif"/>
          <w:b w:val="false"/>
          <w:color w:val="000000"/>
          <w:sz w:val="16"/>
        </w:rPr>
        <w:t>The description of the Registrant’s Common Stock contained in the Registrant’s Registration Statement on Form 10 (Amendment No. 5) filed with the Commission on June 6, 2002.</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6"/>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6"/>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pStyle w:val="TextBody"/>
        <w:bidi w:val="0"/>
        <w:spacing w:lineRule="auto" w:line="288" w:before="120" w:after="283"/>
        <w:jc w:val="both"/>
        <w:rPr/>
      </w:pPr>
      <w:r>
        <w:rPr>
          <w:color w:val="000000"/>
        </w:rPr>
        <w:t>    </w:t>
      </w:r>
      <w:r>
        <w:rPr>
          <w:rFonts w:ascii="Times New Roman;sans-serif" w:hAnsi="Times New Roman;sans-serif"/>
          <w:b w:val="false"/>
          <w:color w:val="000000"/>
          <w:sz w:val="16"/>
        </w:rPr>
        <w:t>Nothing in this Registration Statement shall be deemed to incorporate information furnished by us but not filed with the Securities and Exchange Commission pursuant to Items 2.02, 7.01 or 9.01 of Form S-K.</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140"/>
        <w:jc w:val="both"/>
        <w:rPr>
          <w:rFonts w:ascii="Times New Roman;sans-serif" w:hAnsi="Times New Roman;sans-serif"/>
          <w:b/>
          <w:color w:val="000000"/>
          <w:sz w:val="16"/>
        </w:rPr>
      </w:pPr>
      <w:r>
        <w:rPr>
          <w:rFonts w:ascii="Times New Roman;sans-serif" w:hAnsi="Times New Roman;sans-serif"/>
          <w:b/>
          <w:color w:val="000000"/>
          <w:sz w:val="16"/>
        </w:rPr>
        <w:t>Item 8.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48"/>
        <w:gridCol w:w="2589"/>
        <w:gridCol w:w="259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Amended and Restated Certificate of Incorporation of Westwood Holdings Group, Inc. (incorporated by reference from the Form S-8 filed with the Commission on September 28, 2022)</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Amended and Restated Bylaws of Westwood Holdings Group, Inc. (incorporated by reference from the Form 8-K filed with the Commission on November 2,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Form of Certificate Evidencing Common Stock (incorporated by reference from the Form 10-12B filed with the Commission on April 30, 2002)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Ninth Amended and Restated Westwood Holdings Group, Inc. Stock Incentive Plan (incorporated by reference from the Schedule 14A filed with the Commission on March 17,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Opinion of Norton Rose Fulbright US LLP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BDO USA, P.C.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Deloitte &amp; Touche LLP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Norton Rose Fulbright US LLP (included in the opinion filed as Exhibit 5.1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Power of Attorney (included in the signature page to this Registration Statement)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Filing fee table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SIGNATURES</w:t>
      </w:r>
    </w:p>
    <w:p>
      <w:pPr>
        <w:pStyle w:val="TextBody"/>
        <w:bidi w:val="0"/>
        <w:spacing w:lineRule="auto" w:line="288" w:before="140" w:after="140"/>
        <w:jc w:val="both"/>
        <w:rPr/>
      </w:pPr>
      <w:r>
        <w:rPr>
          <w:color w:val="000000"/>
        </w:rPr>
        <w:t>    </w:t>
      </w:r>
      <w:r>
        <w:rPr>
          <w:rFonts w:ascii="Times New Roman;sans-serif" w:hAnsi="Times New Roman;sans-serif"/>
          <w:b w:val="false"/>
          <w:color w:val="000000"/>
          <w:sz w:val="16"/>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February 21, 2024.</w:t>
      </w:r>
    </w:p>
    <w:tbl>
      <w:tblPr>
        <w:tblW w:w="51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0"/>
        <w:gridCol w:w="330"/>
        <w:gridCol w:w="330"/>
        <w:gridCol w:w="330"/>
        <w:gridCol w:w="330"/>
        <w:gridCol w:w="330"/>
        <w:gridCol w:w="578"/>
        <w:gridCol w:w="578"/>
        <w:gridCol w:w="59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center"/>
        <w:rPr>
          <w:rFonts w:ascii="Times New Roman;sans-serif" w:hAnsi="Times New Roman;sans-serif"/>
          <w:b/>
          <w:color w:val="000000"/>
          <w:sz w:val="16"/>
        </w:rPr>
      </w:pPr>
      <w:r>
        <w:rPr>
          <w:rFonts w:ascii="Times New Roman;sans-serif" w:hAnsi="Times New Roman;sans-serif"/>
          <w:b/>
          <w:color w:val="000000"/>
          <w:sz w:val="16"/>
        </w:rPr>
        <w:t>POWER OF ATTORNEY</w:t>
      </w:r>
    </w:p>
    <w:p>
      <w:pPr>
        <w:pStyle w:val="TextBody"/>
        <w:bidi w:val="0"/>
        <w:spacing w:lineRule="auto" w:line="288" w:before="140" w:after="283"/>
        <w:jc w:val="both"/>
        <w:rPr>
          <w:color w:val="000000"/>
        </w:rPr>
      </w:pPr>
      <w:r>
        <w:rPr>
          <w:color w:val="000000"/>
        </w:rPr>
        <w:t>    </w:t>
      </w:r>
      <w:r>
        <w:rPr>
          <w:rFonts w:ascii="Times New Roman;sans-serif" w:hAnsi="Times New Roman;sans-serif"/>
          <w:b w:val="false"/>
          <w:color w:val="000000"/>
          <w:sz w:val="16"/>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pStyle w:val="TextBody"/>
        <w:bidi w:val="0"/>
        <w:spacing w:lineRule="auto" w:line="288" w:before="140" w:after="283"/>
        <w:jc w:val="both"/>
        <w:rPr>
          <w:color w:val="000000"/>
        </w:rPr>
      </w:pPr>
      <w:r>
        <w:rPr>
          <w:color w:val="000000"/>
        </w:rPr>
        <w:t>    </w:t>
      </w:r>
      <w:r>
        <w:rPr>
          <w:rFonts w:ascii="Times New Roman;sans-serif" w:hAnsi="Times New Roman;sans-serif"/>
          <w:b w:val="false"/>
          <w:color w:val="000000"/>
          <w:sz w:val="16"/>
        </w:rPr>
        <w:t>Pursuant to the requirements of the Securities Act, this Registration Statement has been signed by the following persons in the capacities and on the date indicated.</w:t>
      </w:r>
    </w:p>
    <w:tbl>
      <w:tblPr>
        <w:tblW w:w="8332" w:type="dxa"/>
        <w:jc w:val="center"/>
        <w:tblInd w:w="0" w:type="dxa"/>
        <w:tblLayout w:type="fixed"/>
        <w:tblCellMar>
          <w:top w:w="28" w:type="dxa"/>
          <w:left w:w="28" w:type="dxa"/>
          <w:bottom w:w="28" w:type="dxa"/>
          <w:right w:w="28" w:type="dxa"/>
        </w:tblCellMar>
      </w:tblPr>
      <w:tblGrid>
        <w:gridCol w:w="636"/>
        <w:gridCol w:w="557"/>
        <w:gridCol w:w="561"/>
        <w:gridCol w:w="109"/>
        <w:gridCol w:w="109"/>
        <w:gridCol w:w="109"/>
        <w:gridCol w:w="1482"/>
        <w:gridCol w:w="1482"/>
        <w:gridCol w:w="1505"/>
        <w:gridCol w:w="109"/>
        <w:gridCol w:w="109"/>
        <w:gridCol w:w="109"/>
        <w:gridCol w:w="423"/>
        <w:gridCol w:w="423"/>
        <w:gridCol w:w="609"/>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Date</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ans-serif" w:hAnsi="Times New Roman;sans-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Richard 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Chairman of the Board of Directors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Richard 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Susan M. Byrne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Vice Chairman of the Board of Directors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Susan M. Byrne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Randy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February 21, 2024</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Randy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16"/>
        </w:rPr>
      </w:pPr>
      <w:r>
        <w:rPr>
          <w:rFonts w:ascii="Times New Roman;sans-serif" w:hAnsi="Times New Roman;sans-serif"/>
          <w:b/>
          <w:color w:val="000000"/>
          <w:sz w:val="16"/>
        </w:rPr>
        <w:t>EXHIBIT INDEX</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48"/>
        <w:gridCol w:w="2589"/>
        <w:gridCol w:w="259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pPr>
            <w:hyperlink r:id="rId2">
              <w:r>
                <w:rPr>
                  <w:rStyle w:val="InternetLink"/>
                  <w:rFonts w:ascii="Times New Roman;sans-serif" w:hAnsi="Times New Roman;sans-serif"/>
                  <w:b w:val="false"/>
                  <w:color w:val="000080"/>
                  <w:sz w:val="16"/>
                  <w:u w:val="single"/>
                </w:rPr>
                <w:t>Amended and Restated Certificate of Incorporation of Westwood Holdings Group, Inc.</w:t>
              </w:r>
            </w:hyperlink>
            <w:hyperlink r:id="rId3">
              <w:r>
                <w:rPr>
                  <w:rStyle w:val="InternetLink"/>
                  <w:rFonts w:ascii="Times New Roman;sans-serif" w:hAnsi="Times New Roman;sans-serif"/>
                  <w:b w:val="false"/>
                  <w:color w:val="000080"/>
                  <w:sz w:val="16"/>
                  <w:u w:val="single"/>
                </w:rPr>
                <w:t xml:space="preserve"> (incorporated by reference from the Form S-8 filed with the Commission on September 28, 2022)</w:t>
              </w:r>
            </w:hyperlink>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4">
              <w:r>
                <w:rPr>
                  <w:rStyle w:val="InternetLink"/>
                  <w:rFonts w:ascii="Times New Roman;sans-serif" w:hAnsi="Times New Roman;sans-serif"/>
                  <w:b w:val="false"/>
                  <w:color w:val="0000FF"/>
                  <w:sz w:val="16"/>
                  <w:u w:val="single"/>
                </w:rPr>
                <w:t>Amended and Restated Bylaws of Westwood Holdings Group, Inc. (incorporated by reference from the Form 8-K filed with the Commission on November 2,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5">
              <w:r>
                <w:rPr>
                  <w:rStyle w:val="InternetLink"/>
                  <w:rFonts w:ascii="Times New Roman;sans-serif" w:hAnsi="Times New Roman;sans-serif"/>
                  <w:b w:val="false"/>
                  <w:color w:val="0000FF"/>
                  <w:sz w:val="16"/>
                  <w:u w:val="single"/>
                </w:rPr>
                <w:t>Form of Certificate Evidencing Common Stock (incorporated by reference from the Form 10-12B filed with the Commission on April 30,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color w:val="0000FF"/>
                  <w:u w:val="single"/>
                </w:rPr>
                <w:t> </w:t>
              </w:r>
            </w:hyperlink>
            <w:hyperlink r:id="rId7">
              <w:r>
                <w:rPr>
                  <w:rStyle w:val="InternetLink"/>
                  <w:rFonts w:ascii="Times New Roman;sans-serif" w:hAnsi="Times New Roman;sans-serif"/>
                  <w:b w:val="false"/>
                  <w:color w:val="000080"/>
                  <w:sz w:val="16"/>
                  <w:u w:val="single"/>
                </w:rPr>
                <w:t>Ninth</w:t>
              </w:r>
            </w:hyperlink>
            <w:hyperlink r:id="rId8">
              <w:r>
                <w:rPr>
                  <w:rStyle w:val="InternetLink"/>
                  <w:rFonts w:ascii="Times New Roman;sans-serif" w:hAnsi="Times New Roman;sans-serif"/>
                  <w:b w:val="false"/>
                  <w:color w:val="000080"/>
                  <w:sz w:val="16"/>
                  <w:u w:val="single"/>
                </w:rPr>
                <w:t xml:space="preserve"> Amended and Restated Westwood Holdings Group, Inc. Stock Incentive Plan</w:t>
              </w:r>
            </w:hyperlink>
            <w:hyperlink r:id="rId9">
              <w:r>
                <w:rPr>
                  <w:rStyle w:val="InternetLink"/>
                  <w:rFonts w:ascii="Times New Roman;sans-serif" w:hAnsi="Times New Roman;sans-serif"/>
                  <w:b w:val="false"/>
                  <w:color w:val="000080"/>
                  <w:sz w:val="16"/>
                  <w:u w:val="single"/>
                </w:rPr>
                <w:t xml:space="preserve"> (incorporated by reference from the Schedule 14A filed with the Commission on March </w:t>
              </w:r>
            </w:hyperlink>
            <w:hyperlink r:id="rId10">
              <w:r>
                <w:rPr>
                  <w:rStyle w:val="InternetLink"/>
                  <w:rFonts w:ascii="Times New Roman;sans-serif" w:hAnsi="Times New Roman;sans-serif"/>
                  <w:b w:val="false"/>
                  <w:color w:val="000080"/>
                  <w:sz w:val="16"/>
                  <w:u w:val="single"/>
                </w:rPr>
                <w:t>17</w:t>
              </w:r>
            </w:hyperlink>
            <w:hyperlink r:id="rId11">
              <w:r>
                <w:rPr>
                  <w:rStyle w:val="InternetLink"/>
                  <w:rFonts w:ascii="Times New Roman;sans-serif" w:hAnsi="Times New Roman;sans-serif"/>
                  <w:b w:val="false"/>
                  <w:color w:val="000080"/>
                  <w:sz w:val="16"/>
                  <w:u w:val="single"/>
                </w:rPr>
                <w:t>, 202</w:t>
              </w:r>
            </w:hyperlink>
            <w:hyperlink r:id="rId12">
              <w:r>
                <w:rPr>
                  <w:rStyle w:val="InternetLink"/>
                  <w:rFonts w:ascii="Times New Roman;sans-serif" w:hAnsi="Times New Roman;sans-serif"/>
                  <w:b w:val="false"/>
                  <w:color w:val="000080"/>
                  <w:sz w:val="16"/>
                  <w:u w:val="single"/>
                </w:rPr>
                <w:t>3</w:t>
              </w:r>
            </w:hyperlink>
            <w:hyperlink r:id="rId13">
              <w:r>
                <w:rPr>
                  <w:rStyle w:val="InternetLink"/>
                  <w:rFonts w:ascii="Times New Roman;sans-serif" w:hAnsi="Times New Roman;sans-serif"/>
                  <w:b w:val="false"/>
                  <w:color w:val="000080"/>
                  <w:sz w:val="16"/>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4.htm">
              <w:r>
                <w:rPr>
                  <w:rStyle w:val="InternetLink"/>
                  <w:rFonts w:ascii="Times New Roman;sans-serif" w:hAnsi="Times New Roman;sans-serif"/>
                  <w:b w:val="false"/>
                  <w:color w:val="0000FF"/>
                  <w:sz w:val="16"/>
                  <w:u w:val="single"/>
                </w:rPr>
                <w:t>Opinion of Norton Rose Fulbright US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bdoconsentfebruary2024.htm">
              <w:r>
                <w:rPr>
                  <w:rStyle w:val="InternetLink"/>
                  <w:rFonts w:ascii="Times New Roman;sans-serif" w:hAnsi="Times New Roman;sans-serif"/>
                  <w:b w:val="false"/>
                  <w:color w:val="000080"/>
                  <w:sz w:val="16"/>
                  <w:u w:val="single"/>
                </w:rPr>
                <w:t xml:space="preserve">Consent of </w:t>
              </w:r>
            </w:hyperlink>
            <w:hyperlink w:anchor="bdoconsentfebruary2024.htm">
              <w:r>
                <w:rPr>
                  <w:rStyle w:val="InternetLink"/>
                  <w:rFonts w:ascii="Times New Roman;sans-serif" w:hAnsi="Times New Roman;sans-serif"/>
                  <w:b w:val="false"/>
                  <w:color w:val="000080"/>
                  <w:sz w:val="16"/>
                  <w:u w:val="single"/>
                </w:rPr>
                <w:t>BDO USA</w:t>
              </w:r>
            </w:hyperlink>
            <w:hyperlink w:anchor="bdoconsentfebruary2024.htm">
              <w:r>
                <w:rPr>
                  <w:rStyle w:val="InternetLink"/>
                  <w:rFonts w:ascii="Times New Roman;sans-serif" w:hAnsi="Times New Roman;sans-serif"/>
                  <w:b w:val="false"/>
                  <w:color w:val="000080"/>
                  <w:sz w:val="16"/>
                  <w:u w:val="single"/>
                </w:rPr>
                <w:t>, P</w:t>
              </w:r>
            </w:hyperlink>
            <w:hyperlink w:anchor="bdoconsentfebruary2024.htm">
              <w:r>
                <w:rPr>
                  <w:rStyle w:val="InternetLink"/>
                  <w:rFonts w:ascii="Times New Roman;sans-serif" w:hAnsi="Times New Roman;sans-serif"/>
                  <w:b w:val="false"/>
                  <w:color w:val="000080"/>
                  <w:sz w:val="16"/>
                  <w:u w:val="single"/>
                </w:rPr>
                <w:t>.C.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bdoconsentfebruary2024.htm">
              <w:r>
                <w:rPr>
                  <w:rStyle w:val="InternetLink"/>
                  <w:rFonts w:ascii="Times New Roman;sans-serif" w:hAnsi="Times New Roman;sans-serif"/>
                  <w:b w:val="false"/>
                  <w:color w:val="0000FF"/>
                  <w:sz w:val="16"/>
                  <w:u w:val="single"/>
                </w:rPr>
                <w:t>Consent of Deloitte &amp; Touche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4.htm">
              <w:r>
                <w:rPr>
                  <w:rStyle w:val="InternetLink"/>
                  <w:rFonts w:ascii="Times New Roman;sans-serif" w:hAnsi="Times New Roman;sans-serif"/>
                  <w:b w:val="false"/>
                  <w:color w:val="0000FF"/>
                  <w:sz w:val="16"/>
                  <w:u w:val="single"/>
                </w:rPr>
                <w:t>Consent of Norton Rose Fulbright US LLP (included in the opinion filed as Exhibit 5.1 hereto)</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i3af9edd4a67a4e498c2ee05c6695f0fa_7">
              <w:r>
                <w:rPr>
                  <w:rStyle w:val="InternetLink"/>
                  <w:rFonts w:ascii="Times New Roman;sans-serif" w:hAnsi="Times New Roman;sans-serif"/>
                  <w:b w:val="false"/>
                  <w:color w:val="0000FF"/>
                  <w:sz w:val="16"/>
                  <w:u w:val="single"/>
                </w:rPr>
                <w:t>Power of Attorney (included in the signature page to this Registration Statement)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feb2024filingfeetable.htm">
              <w:r>
                <w:rPr>
                  <w:rStyle w:val="InternetLink"/>
                  <w:rFonts w:ascii="Times New Roman;sans-serif" w:hAnsi="Times New Roman;sans-serif"/>
                  <w:b w:val="false"/>
                  <w:color w:val="0000FF"/>
                  <w:sz w:val="16"/>
                  <w:u w:val="single"/>
                </w:rPr>
                <w:t>Filing fee table</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WESTWOOD HOLDINGS GROUP,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1: Newly Registered Securities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2"/>
        <w:gridCol w:w="265"/>
        <w:gridCol w:w="267"/>
        <w:gridCol w:w="489"/>
        <w:gridCol w:w="456"/>
        <w:gridCol w:w="458"/>
        <w:gridCol w:w="425"/>
        <w:gridCol w:w="425"/>
        <w:gridCol w:w="427"/>
        <w:gridCol w:w="398"/>
        <w:gridCol w:w="398"/>
        <w:gridCol w:w="399"/>
        <w:gridCol w:w="548"/>
        <w:gridCol w:w="548"/>
        <w:gridCol w:w="551"/>
        <w:gridCol w:w="660"/>
        <w:gridCol w:w="467"/>
        <w:gridCol w:w="469"/>
        <w:gridCol w:w="289"/>
        <w:gridCol w:w="289"/>
        <w:gridCol w:w="293"/>
        <w:gridCol w:w="400"/>
        <w:gridCol w:w="400"/>
        <w:gridCol w:w="582"/>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Security Type</w:t>
            </w:r>
          </w:p>
        </w:tc>
        <w:tc>
          <w:tcPr>
            <w:tcW w:w="14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Security Class Title</w:t>
            </w:r>
          </w:p>
        </w:tc>
        <w:tc>
          <w:tcPr>
            <w:tcW w:w="12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Fee Calculation Rule</w:t>
            </w:r>
          </w:p>
        </w:tc>
        <w:tc>
          <w:tcPr>
            <w:tcW w:w="1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 Registered (1) (2)</w:t>
            </w:r>
          </w:p>
        </w:tc>
        <w:tc>
          <w:tcPr>
            <w:tcW w:w="1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Proposed Maximum Offering Price Per Share (3)</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Aggregate Offering Price</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Fee Rate</w:t>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 of Registration Fee</w:t>
            </w:r>
          </w:p>
        </w:tc>
      </w:tr>
      <w:tr>
        <w:trPr/>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Equity</w:t>
            </w:r>
          </w:p>
        </w:tc>
        <w:tc>
          <w:tcPr>
            <w:tcW w:w="14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per share</w:t>
            </w:r>
          </w:p>
        </w:tc>
        <w:tc>
          <w:tcPr>
            <w:tcW w:w="12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Rule 457(c) and Rule 457(h)</w:t>
            </w:r>
          </w:p>
        </w:tc>
        <w:tc>
          <w:tcPr>
            <w:tcW w:w="1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491,473</w:t>
            </w:r>
          </w:p>
        </w:tc>
        <w:tc>
          <w:tcPr>
            <w:tcW w:w="1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12.53</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$6,158,156.69</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0.0001476</w:t>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$908.94</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Total Offering Amounts</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$6,158,156.69</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$908.94</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Total Fee Offsets</w:t>
            </w:r>
          </w:p>
        </w:tc>
        <w:tc>
          <w:tcPr>
            <w:tcW w:w="15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Net Fee Due</w:t>
            </w:r>
          </w:p>
        </w:tc>
        <w:tc>
          <w:tcPr>
            <w:tcW w:w="15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$908.94</w:t>
            </w:r>
          </w:p>
        </w:tc>
      </w:tr>
    </w:tbl>
    <w:p>
      <w:pPr>
        <w:pStyle w:val="TextBody"/>
        <w:bidi w:val="0"/>
        <w:spacing w:lineRule="auto" w:line="288" w:before="1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This Form S-8 Registration Statement (this “Registration Statement”) registers 350,000 shares of Westwood Holdings Group, Inc.'s common stock, par value $0.01 per share (the "Common Stock"), reserved under the Ninth Amended and Restated Westwood Holdings Group, Inc. Stock Incentive Plan (the "Plan") and 141,473 shares of Common Stock that were previously issued as restricted stock awards under the Plan but which were forfeited and returned to the Plan in accordance with the terms of the Plan, for an aggregate registration of 491,473 shares of Common Stock.</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Estimated in accordance with Rules 457(c) and 457(h) solely for purposes of calculating the registration fee. The maximum price per Security and the maximum aggregate offering price are based on the average of the $12.71 (high) and $12.34 (low) sale price of the Registrant’s Common Stock as reported on the New York Stock Exchange on February 16, 2024, which date is within five business days prior to filing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64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5.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6480"/>
        <w:jc w:val="left"/>
        <w:rPr/>
      </w:pPr>
      <w:r>
        <w:rPr/>
      </w:r>
    </w:p>
    <w:p>
      <w:pPr>
        <w:pStyle w:val="TextBody"/>
        <w:bidi w:val="0"/>
        <w:spacing w:before="0" w:after="0"/>
        <w:ind w:left="0" w:right="0" w:firstLine="6480"/>
        <w:jc w:val="right"/>
        <w:rPr/>
      </w:pPr>
      <w:r>
        <w:rPr/>
        <w:drawing>
          <wp:inline distT="0" distB="0" distL="0" distR="0">
            <wp:extent cx="2562225" cy="276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4"/>
                    <a:stretch>
                      <a:fillRect/>
                    </a:stretch>
                  </pic:blipFill>
                  <pic:spPr bwMode="auto">
                    <a:xfrm>
                      <a:off x="0" y="0"/>
                      <a:ext cx="2562225" cy="276225"/>
                    </a:xfrm>
                    <a:prstGeom prst="rect">
                      <a:avLst/>
                    </a:prstGeom>
                  </pic:spPr>
                </pic:pic>
              </a:graphicData>
            </a:graphic>
          </wp:inline>
        </w:drawing>
      </w:r>
    </w:p>
    <w:tbl>
      <w:tblPr>
        <w:tblW w:w="6730" w:type="dxa"/>
        <w:jc w:val="center"/>
        <w:tblInd w:w="0" w:type="dxa"/>
        <w:tblLayout w:type="fixed"/>
        <w:tblCellMar>
          <w:top w:w="28" w:type="dxa"/>
          <w:left w:w="28" w:type="dxa"/>
          <w:bottom w:w="28" w:type="dxa"/>
          <w:right w:w="28" w:type="dxa"/>
        </w:tblCellMar>
      </w:tblPr>
      <w:tblGrid>
        <w:gridCol w:w="1166"/>
        <w:gridCol w:w="1026"/>
        <w:gridCol w:w="1032"/>
        <w:gridCol w:w="109"/>
        <w:gridCol w:w="109"/>
        <w:gridCol w:w="109"/>
        <w:gridCol w:w="930"/>
        <w:gridCol w:w="930"/>
        <w:gridCol w:w="1319"/>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Norton Rose Fulbright US LLP</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2200 Ross Avenue, Suite 3600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Dallas, Texas 75201-7932</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United States</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Dallas Texas 75201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Tel +1 214 855 8000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Fax +1 214 855 8200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nortonrosefulbright.com</w:t>
            </w:r>
          </w:p>
        </w:tc>
      </w:tr>
    </w:tbl>
    <w:p>
      <w:pPr>
        <w:pStyle w:val="TextBody"/>
        <w:bidi w:val="0"/>
        <w:spacing w:lineRule="auto" w:line="288" w:before="1380" w:after="283"/>
        <w:ind w:left="0" w:right="0" w:hanging="720"/>
        <w:jc w:val="left"/>
        <w:rPr>
          <w:rFonts w:ascii="Arial;sans-serif" w:hAnsi="Arial;sans-serif"/>
          <w:b w:val="false"/>
          <w:color w:val="000000"/>
          <w:sz w:val="22"/>
        </w:rPr>
      </w:pPr>
      <w:r>
        <w:rPr>
          <w:rFonts w:ascii="Arial;sans-serif" w:hAnsi="Arial;sans-serif"/>
          <w:b w:val="false"/>
          <w:color w:val="000000"/>
          <w:sz w:val="22"/>
        </w:rPr>
        <w:t>Re:    Westwood Holdings Group, Inc., a Delaware corporation (the “Company”)</w:t>
      </w:r>
    </w:p>
    <w:p>
      <w:pPr>
        <w:pStyle w:val="TextBody"/>
        <w:bidi w:val="0"/>
        <w:spacing w:lineRule="auto" w:line="288" w:before="240" w:after="24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We have acted as special counsel for the Company in connection with the Company’s registration under the Securities Act of 1933 (the “Act”) of 491,473 shares (the “Shares”) of common stock of the Company, par value $0.01 per share, which may be issued upon the terms and subject to the conditions set forth in the Ninth Amended and Restated Westwood Holdings Group, Inc. Stock Incentive Plan (the “Plan”), under the Company’s registration statement on Form S-8 (the “Registration Statement”) filed with the Securities and Exchange Commission (the “Commission”) on February 21, 2024.</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26, 2023 approving the amendment to the Plan, including by increasing the number of shares covered by the Plan to 6,248,100 and (vi) the Plan.</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 xml:space="preserve">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 </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8"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r>
                              <w:br w:type="page"/>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1038"/>
        <w:gridCol w:w="912"/>
        <w:gridCol w:w="915"/>
        <w:gridCol w:w="109"/>
        <w:gridCol w:w="109"/>
        <w:gridCol w:w="109"/>
        <w:gridCol w:w="746"/>
        <w:gridCol w:w="746"/>
        <w:gridCol w:w="10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33525" cy="1905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15"/>
                          <a:stretch>
                            <a:fillRect/>
                          </a:stretch>
                        </pic:blipFill>
                        <pic:spPr bwMode="auto">
                          <a:xfrm>
                            <a:off x="0" y="0"/>
                            <a:ext cx="1533525" cy="190500"/>
                          </a:xfrm>
                          <a:prstGeom prst="rect">
                            <a:avLst/>
                          </a:prstGeom>
                        </pic:spPr>
                      </pic:pic>
                    </a:graphicData>
                  </a:graphic>
                </wp:inline>
              </w:drawing>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This opinion is limited in all respects to the laws of the State of Delaware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 xml:space="preserve">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 </w:t>
      </w:r>
    </w:p>
    <w:tbl>
      <w:tblPr>
        <w:tblW w:w="3762" w:type="dxa"/>
        <w:jc w:val="left"/>
        <w:tblInd w:w="0" w:type="dxa"/>
        <w:tblLayout w:type="fixed"/>
        <w:tblCellMar>
          <w:top w:w="28" w:type="dxa"/>
          <w:left w:w="28" w:type="dxa"/>
          <w:bottom w:w="28" w:type="dxa"/>
          <w:right w:w="28" w:type="dxa"/>
        </w:tblCellMar>
      </w:tblPr>
      <w:tblGrid>
        <w:gridCol w:w="124"/>
        <w:gridCol w:w="109"/>
        <w:gridCol w:w="109"/>
        <w:gridCol w:w="1001"/>
        <w:gridCol w:w="1001"/>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Very truly yours,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/s/ Norton Rose Fulbright US LLP</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Norton Rose Fulbright US LLP</w:t>
            </w:r>
          </w:p>
        </w:tc>
      </w:tr>
    </w:tbl>
    <w:p>
      <w:pPr>
        <w:pStyle w:val="TextBody"/>
        <w:bidi w:val="0"/>
        <w:spacing w:before="0" w:after="0"/>
        <w:ind w:left="0" w:right="0" w:firstLine="54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this Registration Statement on Form S-8 of our report dated March 13, 2023 relating to the consolidated financial statements of Westwood Holdings Group, Inc. and subsidiaries (the “Company”), appearing in the Annual Report on Form 10-K of the Company for the year ended December 31, 2022.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BDO USA, P.C. (formerly BDO USA,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Dallas, Texas </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February 21,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consent to the incorporation by reference in this Registration Statement on Form S-8 of our report dated March 4, 2022 relating to the consolidated financial statements of Westwood Holdings Group, Inc. and subsidiaries (the “Company”), appearing in the Annual Report on Form 10-K of the Company for the year ended December 31, 2021.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Dallas, Texas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21, 2024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6500222000098/0001165002-22-000098-index.htm" TargetMode="External"/><Relationship Id="rId3" Type="http://schemas.openxmlformats.org/officeDocument/2006/relationships/hyperlink" Target="https://www.sec.gov/Archives/edgar/data/1165002/000116500222000098/0001165002-22-000098-index.htm" TargetMode="External"/><Relationship Id="rId4" Type="http://schemas.openxmlformats.org/officeDocument/2006/relationships/hyperlink" Target="http://www.sec.gov/Archives/edgar/data/1165002/000119312512182024/d339295dex31.htm" TargetMode="External"/><Relationship Id="rId5" Type="http://schemas.openxmlformats.org/officeDocument/2006/relationships/hyperlink" Target="http://www.sec.gov/Archives/edgar/data/1165002/000093066102001393/dex41.txt" TargetMode="External"/><Relationship Id="rId6" Type="http://schemas.openxmlformats.org/officeDocument/2006/relationships/hyperlink" Target="https://www.sec.gov/Archives/edgar/data/1165002/000116500223000037/0001165002-23-000037-index.htm" TargetMode="External"/><Relationship Id="rId7" Type="http://schemas.openxmlformats.org/officeDocument/2006/relationships/hyperlink" Target="https://www.sec.gov/Archives/edgar/data/1165002/000116500223000037/0001165002-23-000037-index.htm" TargetMode="External"/><Relationship Id="rId8" Type="http://schemas.openxmlformats.org/officeDocument/2006/relationships/hyperlink" Target="https://www.sec.gov/Archives/edgar/data/1165002/000116500223000037/0001165002-23-000037-index.htm" TargetMode="External"/><Relationship Id="rId9" Type="http://schemas.openxmlformats.org/officeDocument/2006/relationships/hyperlink" Target="https://www.sec.gov/Archives/edgar/data/1165002/000116500223000037/0001165002-23-000037-index.htm" TargetMode="External"/><Relationship Id="rId10" Type="http://schemas.openxmlformats.org/officeDocument/2006/relationships/hyperlink" Target="https://www.sec.gov/Archives/edgar/data/1165002/000116500223000037/0001165002-23-000037-index.htm" TargetMode="External"/><Relationship Id="rId11" Type="http://schemas.openxmlformats.org/officeDocument/2006/relationships/hyperlink" Target="https://www.sec.gov/Archives/edgar/data/1165002/000116500223000037/0001165002-23-000037-index.htm" TargetMode="External"/><Relationship Id="rId12" Type="http://schemas.openxmlformats.org/officeDocument/2006/relationships/hyperlink" Target="https://www.sec.gov/Archives/edgar/data/1165002/000116500223000037/0001165002-23-000037-index.htm" TargetMode="External"/><Relationship Id="rId13" Type="http://schemas.openxmlformats.org/officeDocument/2006/relationships/hyperlink" Target="https://www.sec.gov/Archives/edgar/data/1165002/000116500223000037/0001165002-23-000037-index.htm" TargetMode="External"/><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3010</Words>
  <Characters>16305</Characters>
  <CharactersWithSpaces>19152</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