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SEC Form 3</w:t>
            </w: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160" w:type="dxa"/>
            <w:vAlign w:val="bottom"/>
          </w:tcPr>
          <w:p>
            <w:pPr>
              <w:ind w:left="76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FORM 3</w:t>
            </w:r>
          </w:p>
        </w:tc>
        <w:tc>
          <w:tcPr>
            <w:tcW w:w="6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INITIAL STATEMENT OF BENEFICIAL OWNERSHIP 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6930390</wp:posOffset>
            </wp:positionH>
            <wp:positionV relativeFrom="paragraph">
              <wp:posOffset>-505460</wp:posOffset>
            </wp:positionV>
            <wp:extent cx="51435" cy="51879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5614670</wp:posOffset>
            </wp:positionH>
            <wp:positionV relativeFrom="paragraph">
              <wp:posOffset>-505460</wp:posOffset>
            </wp:positionV>
            <wp:extent cx="51435" cy="518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-10160</wp:posOffset>
            </wp:positionH>
            <wp:positionV relativeFrom="paragraph">
              <wp:posOffset>19685</wp:posOffset>
            </wp:positionV>
            <wp:extent cx="7019290" cy="29006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2900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</w:sectPr>
      </w:pPr>
    </w:p>
    <w:p>
      <w:pPr>
        <w:spacing w:after="0" w:line="42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 Date of Event Requiring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4"/>
              </w:rPr>
            </w:pPr>
            <w:hyperlink r:id="rId11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4"/>
                </w:rPr>
                <w:t>Murray Katherine</w:t>
              </w:r>
            </w:hyperlink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Statement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2"/>
            <w:vMerge w:val="restart"/>
          </w:tcPr>
          <w:p>
            <w:pPr>
              <w:ind w:left="1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03/05/2025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2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3. Issuer Name </w:t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16"/>
          <w:szCs w:val="16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16"/>
            <w:szCs w:val="16"/>
            <w:u w:val="single" w:color="auto"/>
            <w:color w:val="0000EE"/>
          </w:rPr>
          <w:t>WESTWOOD HOLDINGS GROUP INC</w:t>
        </w:r>
        <w:r>
          <w:rPr>
            <w:rFonts w:ascii="Times New Roman" w:cs="Times New Roman" w:eastAsia="Times New Roman" w:hAnsi="Times New Roman"/>
            <w:sz w:val="16"/>
            <w:szCs w:val="16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[</w:t>
      </w:r>
      <w:r>
        <w:rPr>
          <w:rFonts w:ascii="Times New Roman" w:cs="Times New Roman" w:eastAsia="Times New Roman" w:hAnsi="Times New Roman"/>
          <w:sz w:val="16"/>
          <w:szCs w:val="16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FF"/>
        </w:rPr>
        <w:t>WHG</w:t>
      </w:r>
      <w:r>
        <w:rPr>
          <w:rFonts w:ascii="Times New Roman" w:cs="Times New Roman" w:eastAsia="Times New Roman" w:hAnsi="Times New Roman"/>
          <w:sz w:val="16"/>
          <w:szCs w:val="16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]</w:t>
      </w:r>
    </w:p>
    <w:p>
      <w:pPr>
        <w:spacing w:after="0" w:line="3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660" w:space="340"/>
            <w:col w:w="6020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83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4"/>
        </w:trPr>
        <w:tc>
          <w:tcPr>
            <w:tcW w:w="1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200 CRESCENT COURT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07"/>
        </w:trPr>
        <w:tc>
          <w:tcPr>
            <w:tcW w:w="9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SUITE 1200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344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84"/>
        </w:trPr>
        <w:tc>
          <w:tcPr>
            <w:tcW w:w="9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DALLAS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TX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75201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7" w:right="880" w:firstLine="7"/>
        <w:spacing w:after="0" w:line="260" w:lineRule="auto"/>
        <w:tabs>
          <w:tab w:leader="none" w:pos="108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p>
      <w:pPr>
        <w:spacing w:after="0" w:line="21" w:lineRule="exact"/>
        <w:rPr>
          <w:sz w:val="24"/>
          <w:szCs w:val="24"/>
          <w:color w:val="auto"/>
        </w:rPr>
      </w:pPr>
    </w:p>
    <w:tbl>
      <w:tblPr>
        <w:tblLayout w:type="fixed"/>
        <w:tblInd w:w="51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3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9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If Amendment, Date of Original Filed (Month/Day/Year)</w:t>
      </w:r>
    </w:p>
    <w:p>
      <w:pPr>
        <w:spacing w:after="0" w:line="268" w:lineRule="exact"/>
        <w:rPr>
          <w:rFonts w:ascii="Arial" w:cs="Arial" w:eastAsia="Arial" w:hAnsi="Arial"/>
          <w:sz w:val="10"/>
          <w:szCs w:val="10"/>
          <w:color w:val="auto"/>
        </w:rPr>
      </w:pP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Individual or Joint/Group Filing (Check Applicable Line)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One Reporting Person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More than One Reporting Person</w:t>
      </w:r>
    </w:p>
    <w:p>
      <w:pPr>
        <w:spacing w:after="0" w:line="35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87" w:space="720"/>
            <w:col w:w="3073" w:space="222"/>
            <w:col w:w="2718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(Zip)</w:t>
      </w:r>
    </w:p>
    <w:p>
      <w:pPr>
        <w:spacing w:after="0" w:line="15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3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Amount of Securities Beneficially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Ownership Form:</w:t>
            </w:r>
          </w:p>
        </w:tc>
        <w:tc>
          <w:tcPr>
            <w:tcW w:w="2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 Nature of Indirect Beneficial Ownership (Instr. 5)</w:t>
            </w:r>
          </w:p>
        </w:tc>
      </w:tr>
      <w:tr>
        <w:trPr>
          <w:trHeight w:val="114"/>
        </w:trPr>
        <w:tc>
          <w:tcPr>
            <w:tcW w:w="3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Owned (Instr. 4)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Direct (D) or Indirect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142"/>
        </w:trPr>
        <w:tc>
          <w:tcPr>
            <w:tcW w:w="3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"/>
        </w:trPr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jc w:val="right"/>
              <w:ind w:right="11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2C2C2C"/>
            </w:tcBorders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98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Title and Amount of Securities 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12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 Security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21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Date of appointment to the Board of Directors was 3/5/2025. Coordination was required to obtain access codes, which are managed by a third-party. The transition to EDGAR Next caused additional filing delays.</w:t>
      </w:r>
    </w:p>
    <w:p>
      <w:pPr>
        <w:ind w:left="6620"/>
        <w:spacing w:after="0" w:line="19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 xml:space="preserve">Jonathan Richard Nahhat, by POA from </w:t>
      </w:r>
      <w:r>
        <w:rPr>
          <w:rFonts w:ascii="Times New Roman" w:cs="Times New Roman" w:eastAsia="Times New Roman" w:hAnsi="Times New Roman"/>
          <w:sz w:val="26"/>
          <w:szCs w:val="26"/>
          <w:color w:val="0000FF"/>
          <w:vertAlign w:val="subscript"/>
        </w:rPr>
        <w:t>04/23/2025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4199255</wp:posOffset>
            </wp:positionH>
            <wp:positionV relativeFrom="paragraph">
              <wp:posOffset>-21590</wp:posOffset>
            </wp:positionV>
            <wp:extent cx="1372870" cy="63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287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Katherine Murray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4199255</wp:posOffset>
            </wp:positionH>
            <wp:positionV relativeFrom="paragraph">
              <wp:posOffset>-11430</wp:posOffset>
            </wp:positionV>
            <wp:extent cx="615315" cy="63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31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5600700</wp:posOffset>
            </wp:positionH>
            <wp:positionV relativeFrom="paragraph">
              <wp:posOffset>-64135</wp:posOffset>
            </wp:positionV>
            <wp:extent cx="389890" cy="63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89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620"/>
        <w:spacing w:after="0"/>
        <w:tabs>
          <w:tab w:leader="none" w:pos="8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Date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5 (b)(v).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5000" w:hanging="6"/>
        <w:spacing w:after="0" w:line="324" w:lineRule="auto"/>
        <w:tabs>
          <w:tab w:leader="none" w:pos="149" w:val="left"/>
        </w:tabs>
        <w:numPr>
          <w:ilvl w:val="0"/>
          <w:numId w:val="3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0272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2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417830</wp:posOffset>
            </wp:positionV>
            <wp:extent cx="6944360" cy="910907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9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1" Type="http://schemas.openxmlformats.org/officeDocument/2006/relationships/hyperlink" Target="http://www.sec.gov/cgi-bin/browse-edgar?action=getcompany&amp;CIK=0001930744" TargetMode="External"/><Relationship Id="rId12" Type="http://schemas.openxmlformats.org/officeDocument/2006/relationships/hyperlink" Target="http://www.sec.gov/cgi-bin/browse-edgar?action=getcompany&amp;CIK=00011650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2025-04-24T15:32:13Z</dcterms:created>
  <dcterms:modified xsi:type="dcterms:W3CDTF">2025-04-24T15:32:13Z</dcterms:modified>
</cp:coreProperties>
</file>