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169"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8"/>
          <w:szCs w:val="18"/>
          <w:color w:val="auto"/>
        </w:rPr>
        <w:t>(Amendment No.8)</w:t>
      </w:r>
    </w:p>
    <w:p>
      <w:pPr>
        <w:spacing w:after="0" w:line="169"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Westwood Holdings Group, Inc.</w:t>
      </w:r>
    </w:p>
    <w:p>
      <w:pPr>
        <w:spacing w:after="0" w:line="3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961765104</w:t>
      </w:r>
    </w:p>
    <w:p>
      <w:pPr>
        <w:spacing w:after="0" w:line="3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2017</w:t>
      </w:r>
    </w:p>
    <w:p>
      <w:pPr>
        <w:spacing w:after="0" w:line="201" w:lineRule="exact"/>
        <w:rPr>
          <w:sz w:val="24"/>
          <w:szCs w:val="24"/>
          <w:color w:val="auto"/>
        </w:rPr>
      </w:pPr>
    </w:p>
    <w:p>
      <w:pPr>
        <w:ind w:right="251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2" w:lineRule="exact"/>
        <w:rPr>
          <w:sz w:val="24"/>
          <w:szCs w:val="24"/>
          <w:color w:val="auto"/>
        </w:rPr>
      </w:pPr>
    </w:p>
    <w:p>
      <w:pPr>
        <w:ind w:right="209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90"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961765104</w:t>
      </w:r>
      <w:r>
        <w:rPr>
          <w:sz w:val="20"/>
          <w:szCs w:val="20"/>
          <w:color w:val="auto"/>
        </w:rPr>
        <w:tab/>
      </w:r>
      <w:r>
        <w:rPr>
          <w:rFonts w:ascii="Courier New" w:cs="Courier New" w:eastAsia="Courier New" w:hAnsi="Courier New"/>
          <w:sz w:val="16"/>
          <w:szCs w:val="16"/>
          <w:color w:val="auto"/>
        </w:rPr>
        <w:t>13G</w:t>
      </w:r>
    </w:p>
    <w:p>
      <w:pPr>
        <w:spacing w:after="0" w:line="29" w:lineRule="exact"/>
        <w:rPr>
          <w:sz w:val="24"/>
          <w:szCs w:val="24"/>
          <w:color w:val="auto"/>
        </w:rPr>
      </w:pPr>
    </w:p>
    <w:p>
      <w:pPr>
        <w:ind w:left="640" w:hanging="421"/>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220" w:right="4839"/>
        <w:spacing w:after="0" w:line="238" w:lineRule="auto"/>
        <w:rPr>
          <w:sz w:val="20"/>
          <w:szCs w:val="20"/>
          <w:color w:val="auto"/>
        </w:rPr>
      </w:pPr>
      <w:r>
        <w:rPr>
          <w:rFonts w:ascii="Courier New" w:cs="Courier New" w:eastAsia="Courier New" w:hAnsi="Courier New"/>
          <w:sz w:val="18"/>
          <w:szCs w:val="18"/>
          <w:color w:val="auto"/>
        </w:rPr>
        <w:t>S.S. OR I.R.S. IDENTIFICATION NO. OF ABOVE PERSON Royce &amp; Associates, LP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8"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171"/>
        </w:trPr>
        <w:tc>
          <w:tcPr>
            <w:tcW w:w="158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w:t>
            </w:r>
          </w:p>
        </w:tc>
        <w:tc>
          <w:tcPr>
            <w:tcW w:w="2700" w:type="dxa"/>
            <w:vAlign w:val="bottom"/>
          </w:tcPr>
          <w:p>
            <w:pPr>
              <w:ind w:left="280"/>
              <w:spacing w:after="0" w:line="170" w:lineRule="exact"/>
              <w:rPr>
                <w:sz w:val="20"/>
                <w:szCs w:val="20"/>
                <w:color w:val="auto"/>
              </w:rPr>
            </w:pPr>
            <w:r>
              <w:rPr>
                <w:rFonts w:ascii="Courier New" w:cs="Courier New" w:eastAsia="Courier New" w:hAnsi="Courier New"/>
                <w:sz w:val="18"/>
                <w:szCs w:val="18"/>
                <w:color w:val="auto"/>
              </w:rPr>
              <w:t>New York</w:t>
            </w:r>
          </w:p>
        </w:tc>
        <w:tc>
          <w:tcPr>
            <w:tcW w:w="0" w:type="dxa"/>
            <w:vAlign w:val="bottom"/>
          </w:tcPr>
          <w:p>
            <w:pPr>
              <w:spacing w:after="0"/>
              <w:rPr>
                <w:sz w:val="1"/>
                <w:szCs w:val="1"/>
                <w:color w:val="auto"/>
              </w:rPr>
            </w:pPr>
          </w:p>
        </w:tc>
      </w:tr>
      <w:tr>
        <w:trPr>
          <w:trHeight w:val="203"/>
        </w:trPr>
        <w:tc>
          <w:tcPr>
            <w:tcW w:w="158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w:t>
            </w: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405,650</w:t>
            </w:r>
          </w:p>
        </w:tc>
        <w:tc>
          <w:tcPr>
            <w:tcW w:w="0" w:type="dxa"/>
            <w:vAlign w:val="bottom"/>
          </w:tcPr>
          <w:p>
            <w:pPr>
              <w:spacing w:after="0"/>
              <w:rPr>
                <w:sz w:val="1"/>
                <w:szCs w:val="1"/>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vMerge w:val="continue"/>
          </w:tcPr>
          <w:p>
            <w:pPr>
              <w:spacing w:after="0"/>
              <w:rPr>
                <w:sz w:val="17"/>
                <w:szCs w:val="17"/>
                <w:color w:val="auto"/>
              </w:rPr>
            </w:pP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w:t>
            </w:r>
          </w:p>
        </w:tc>
        <w:tc>
          <w:tcPr>
            <w:tcW w:w="270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vMerge w:val="continue"/>
          </w:tcPr>
          <w:p>
            <w:pPr>
              <w:spacing w:after="0"/>
              <w:rPr>
                <w:sz w:val="17"/>
                <w:szCs w:val="17"/>
                <w:color w:val="auto"/>
              </w:rPr>
            </w:pPr>
          </w:p>
        </w:tc>
        <w:tc>
          <w:tcPr>
            <w:tcW w:w="2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w:t>
            </w: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405,650</w:t>
            </w:r>
          </w:p>
        </w:tc>
        <w:tc>
          <w:tcPr>
            <w:tcW w:w="0" w:type="dxa"/>
            <w:vAlign w:val="bottom"/>
          </w:tcPr>
          <w:p>
            <w:pPr>
              <w:spacing w:after="0"/>
              <w:rPr>
                <w:sz w:val="1"/>
                <w:szCs w:val="1"/>
                <w:color w:val="auto"/>
              </w:rPr>
            </w:pP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vMerge w:val="continue"/>
          </w:tcPr>
          <w:p>
            <w:pPr>
              <w:spacing w:after="0"/>
              <w:rPr>
                <w:sz w:val="17"/>
                <w:szCs w:val="17"/>
                <w:color w:val="auto"/>
              </w:rPr>
            </w:pP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c>
          <w:tcPr>
            <w:tcW w:w="0" w:type="dxa"/>
            <w:vAlign w:val="bottom"/>
          </w:tcPr>
          <w:p>
            <w:pPr>
              <w:spacing w:after="0"/>
              <w:rPr>
                <w:sz w:val="1"/>
                <w:szCs w:val="1"/>
                <w:color w:val="auto"/>
              </w:rPr>
            </w:pPr>
          </w:p>
        </w:tc>
      </w:tr>
      <w:tr>
        <w:trPr>
          <w:trHeight w:val="235"/>
        </w:trPr>
        <w:tc>
          <w:tcPr>
            <w:tcW w:w="1580" w:type="dxa"/>
            <w:vAlign w:val="bottom"/>
          </w:tcPr>
          <w:p>
            <w:pPr>
              <w:jc w:val="center"/>
              <w:ind w:right="452"/>
              <w:spacing w:after="0"/>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540" w:hanging="321"/>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spacing w:after="0" w:line="169" w:lineRule="exact"/>
        <w:rPr>
          <w:sz w:val="24"/>
          <w:szCs w:val="24"/>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spacing w:after="0" w:line="29" w:lineRule="exact"/>
        <w:rPr>
          <w:sz w:val="24"/>
          <w:szCs w:val="24"/>
          <w:color w:val="auto"/>
        </w:rPr>
      </w:pP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ind w:left="2220" w:right="4519" w:hanging="2107"/>
        <w:spacing w:after="0" w:line="238"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4.57%</w:t>
      </w:r>
    </w:p>
    <w:p>
      <w:pPr>
        <w:ind w:left="540" w:hanging="427"/>
        <w:spacing w:after="0" w:line="238"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2320"/>
        <w:spacing w:after="0"/>
        <w:rPr>
          <w:sz w:val="20"/>
          <w:szCs w:val="20"/>
          <w:color w:val="auto"/>
        </w:rPr>
      </w:pPr>
      <w:r>
        <w:rPr>
          <w:rFonts w:ascii="Courier New" w:cs="Courier New" w:eastAsia="Courier New" w:hAnsi="Courier New"/>
          <w:sz w:val="18"/>
          <w:szCs w:val="18"/>
          <w:color w:val="auto"/>
        </w:rPr>
        <w:t>IA</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961765104</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Westwood Holdings Group, Inc.</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Item 1(b)</w:t>
            </w:r>
          </w:p>
        </w:tc>
        <w:tc>
          <w:tcPr>
            <w:tcW w:w="1200" w:type="dxa"/>
            <w:vAlign w:val="bottom"/>
          </w:tcPr>
          <w:p>
            <w:pPr>
              <w:ind w:left="420"/>
              <w:spacing w:after="0"/>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of Issuer's Principal Executive Offices:</w:t>
            </w: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Vice President</w:t>
            </w:r>
          </w:p>
        </w:tc>
        <w:tc>
          <w:tcPr>
            <w:tcW w:w="5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300 Crescent Court</w:t>
            </w:r>
          </w:p>
        </w:tc>
        <w:tc>
          <w:tcPr>
            <w:tcW w:w="5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Dallas, TX   75201</w:t>
            </w:r>
          </w:p>
        </w:tc>
        <w:tc>
          <w:tcPr>
            <w:tcW w:w="564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Persons Filing:</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vMerge w:val="restart"/>
          </w:tcPr>
          <w:p>
            <w:pPr>
              <w:spacing w:after="0"/>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LP</w:t>
            </w:r>
          </w:p>
        </w:tc>
        <w:tc>
          <w:tcPr>
            <w:tcW w:w="0" w:type="dxa"/>
            <w:vAlign w:val="bottom"/>
          </w:tcPr>
          <w:p>
            <w:pPr>
              <w:spacing w:after="0"/>
              <w:rPr>
                <w:sz w:val="1"/>
                <w:szCs w:val="1"/>
                <w:color w:val="auto"/>
              </w:rPr>
            </w:pPr>
          </w:p>
        </w:tc>
      </w:tr>
      <w:tr>
        <w:trPr>
          <w:trHeight w:val="203"/>
        </w:trPr>
        <w:tc>
          <w:tcPr>
            <w:tcW w:w="960" w:type="dxa"/>
            <w:vAlign w:val="bottom"/>
            <w:vMerge w:val="continue"/>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c>
          <w:tcPr>
            <w:tcW w:w="0" w:type="dxa"/>
            <w:vAlign w:val="bottom"/>
          </w:tcPr>
          <w:p>
            <w:pPr>
              <w:spacing w:after="0"/>
              <w:rPr>
                <w:sz w:val="1"/>
                <w:szCs w:val="1"/>
                <w:color w:val="auto"/>
              </w:rPr>
            </w:pPr>
          </w:p>
        </w:tc>
      </w:tr>
      <w:tr>
        <w:trPr>
          <w:trHeight w:val="203"/>
        </w:trPr>
        <w:tc>
          <w:tcPr>
            <w:tcW w:w="780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745 Fifth Avenue, New York, NY  10151</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c>
          <w:tcPr>
            <w:tcW w:w="0" w:type="dxa"/>
            <w:vAlign w:val="bottom"/>
          </w:tcPr>
          <w:p>
            <w:pPr>
              <w:spacing w:after="0"/>
              <w:rPr>
                <w:sz w:val="1"/>
                <w:szCs w:val="1"/>
                <w:color w:val="auto"/>
              </w:rPr>
            </w:pPr>
          </w:p>
        </w:tc>
      </w:tr>
      <w:tr>
        <w:trPr>
          <w:trHeight w:val="203"/>
        </w:trPr>
        <w:tc>
          <w:tcPr>
            <w:tcW w:w="960" w:type="dxa"/>
            <w:vAlign w:val="bottom"/>
            <w:vMerge w:val="restart"/>
          </w:tcPr>
          <w:p>
            <w:pPr>
              <w:spacing w:after="0"/>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c>
          <w:tcPr>
            <w:tcW w:w="0" w:type="dxa"/>
            <w:vAlign w:val="bottom"/>
          </w:tcPr>
          <w:p>
            <w:pPr>
              <w:spacing w:after="0"/>
              <w:rPr>
                <w:sz w:val="1"/>
                <w:szCs w:val="1"/>
                <w:color w:val="auto"/>
              </w:rPr>
            </w:pPr>
          </w:p>
        </w:tc>
      </w:tr>
      <w:tr>
        <w:trPr>
          <w:trHeight w:val="203"/>
        </w:trPr>
        <w:tc>
          <w:tcPr>
            <w:tcW w:w="960" w:type="dxa"/>
            <w:vAlign w:val="bottom"/>
            <w:vMerge w:val="continue"/>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c>
          <w:tcPr>
            <w:tcW w:w="0" w:type="dxa"/>
            <w:vAlign w:val="bottom"/>
          </w:tcPr>
          <w:p>
            <w:pPr>
              <w:spacing w:after="0"/>
              <w:rPr>
                <w:sz w:val="1"/>
                <w:szCs w:val="1"/>
                <w:color w:val="auto"/>
              </w:rPr>
            </w:pPr>
          </w:p>
        </w:tc>
      </w:tr>
      <w:tr>
        <w:trPr>
          <w:trHeight w:val="203"/>
        </w:trPr>
        <w:tc>
          <w:tcPr>
            <w:tcW w:w="960" w:type="dxa"/>
            <w:vAlign w:val="bottom"/>
            <w:vMerge w:val="restart"/>
          </w:tcPr>
          <w:p>
            <w:pPr>
              <w:spacing w:after="0"/>
              <w:rPr>
                <w:sz w:val="20"/>
                <w:szCs w:val="20"/>
                <w:color w:val="auto"/>
              </w:rPr>
            </w:pPr>
            <w:r>
              <w:rPr>
                <w:rFonts w:ascii="Courier New" w:cs="Courier New" w:eastAsia="Courier New" w:hAnsi="Courier New"/>
                <w:sz w:val="18"/>
                <w:szCs w:val="18"/>
                <w:color w:val="auto"/>
                <w:w w:val="96"/>
              </w:rPr>
              <w:t>Item 2(e)</w:t>
            </w: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c>
          <w:tcPr>
            <w:tcW w:w="0" w:type="dxa"/>
            <w:vAlign w:val="bottom"/>
          </w:tcPr>
          <w:p>
            <w:pPr>
              <w:spacing w:after="0"/>
              <w:rPr>
                <w:sz w:val="1"/>
                <w:szCs w:val="1"/>
                <w:color w:val="auto"/>
              </w:rPr>
            </w:pPr>
          </w:p>
        </w:tc>
      </w:tr>
      <w:tr>
        <w:trPr>
          <w:trHeight w:val="203"/>
        </w:trPr>
        <w:tc>
          <w:tcPr>
            <w:tcW w:w="960" w:type="dxa"/>
            <w:vAlign w:val="bottom"/>
            <w:vMerge w:val="continue"/>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961765104</w:t>
            </w:r>
          </w:p>
        </w:tc>
        <w:tc>
          <w:tcPr>
            <w:tcW w:w="684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If this statement is filed pursuant to rules 13d-1(b), or 13d-</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whether the person filing is a:</w:t>
            </w:r>
          </w:p>
        </w:tc>
        <w:tc>
          <w:tcPr>
            <w:tcW w:w="0" w:type="dxa"/>
            <w:vAlign w:val="bottom"/>
          </w:tcPr>
          <w:p>
            <w:pPr>
              <w:spacing w:after="0"/>
              <w:rPr>
                <w:sz w:val="1"/>
                <w:szCs w:val="1"/>
                <w:color w:val="auto"/>
              </w:rPr>
            </w:pP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ectPr>
          <w:pgSz w:w="11900" w:h="16861" w:orient="portrait"/>
          <w:cols w:equalWidth="0" w:num="1">
            <w:col w:w="10219"/>
          </w:cols>
          <w:pgMar w:left="240" w:top="218" w:right="1440" w:bottom="0" w:gutter="0" w:footer="0" w:header="0"/>
        </w:sectPr>
      </w:pPr>
    </w:p>
    <w:bookmarkStart w:id="1" w:name="page2"/>
    <w:bookmarkEnd w:id="1"/>
    <w:p>
      <w:pPr>
        <w:ind w:left="1380" w:right="3779" w:hanging="845"/>
        <w:spacing w:after="0" w:line="257" w:lineRule="auto"/>
        <w:tabs>
          <w:tab w:leader="none" w:pos="9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ind w:left="1380" w:right="3579" w:hanging="845"/>
        <w:spacing w:after="0" w:line="238" w:lineRule="auto"/>
        <w:tabs>
          <w:tab w:leader="none" w:pos="9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ind w:left="1380" w:right="4199" w:hanging="845"/>
        <w:spacing w:after="0" w:line="268" w:lineRule="auto"/>
        <w:tabs>
          <w:tab w:leader="none" w:pos="95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ind w:left="960" w:hanging="425"/>
        <w:spacing w:after="0"/>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21"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961765104</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ind w:left="2740" w:right="6519" w:hanging="2205"/>
        <w:spacing w:after="0" w:line="268" w:lineRule="auto"/>
        <w:tabs>
          <w:tab w:leader="none" w:pos="94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405,650</w:t>
      </w: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4.57%</w:t>
      </w:r>
    </w:p>
    <w:p>
      <w:pPr>
        <w:ind w:left="1380" w:hanging="845"/>
        <w:spacing w:after="0"/>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169" w:lineRule="exact"/>
        <w:rPr>
          <w:rFonts w:ascii="Courier New" w:cs="Courier New" w:eastAsia="Courier New" w:hAnsi="Courier New"/>
          <w:sz w:val="18"/>
          <w:szCs w:val="18"/>
          <w:color w:val="auto"/>
        </w:rPr>
      </w:pPr>
    </w:p>
    <w:p>
      <w:pPr>
        <w:jc w:val="right"/>
        <w:ind w:left="4860" w:right="4619" w:hanging="3904"/>
        <w:spacing w:after="0" w:line="402" w:lineRule="auto"/>
        <w:tabs>
          <w:tab w:leader="none" w:pos="1384" w:val="left"/>
        </w:tabs>
        <w:numPr>
          <w:ilvl w:val="2"/>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405,650</w:t>
      </w:r>
    </w:p>
    <w:p>
      <w:pPr>
        <w:ind w:left="1800" w:hanging="844"/>
        <w:spacing w:after="0"/>
        <w:tabs>
          <w:tab w:leader="none" w:pos="1800"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30" w:lineRule="exact"/>
        <w:rPr>
          <w:rFonts w:ascii="Courier New" w:cs="Courier New" w:eastAsia="Courier New" w:hAnsi="Courier New"/>
          <w:sz w:val="18"/>
          <w:szCs w:val="18"/>
          <w:color w:val="auto"/>
        </w:rPr>
      </w:pP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line="238" w:lineRule="auto"/>
        <w:tabs>
          <w:tab w:leader="none" w:pos="18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3"/>
        </w:trPr>
        <w:tc>
          <w:tcPr>
            <w:tcW w:w="1780" w:type="dxa"/>
            <w:vAlign w:val="bottom"/>
          </w:tcPr>
          <w:p>
            <w:pPr>
              <w:spacing w:after="0"/>
              <w:rPr>
                <w:sz w:val="20"/>
                <w:szCs w:val="20"/>
                <w:color w:val="auto"/>
              </w:rPr>
            </w:pPr>
            <w:r>
              <w:rPr>
                <w:rFonts w:ascii="Courier New" w:cs="Courier New" w:eastAsia="Courier New" w:hAnsi="Courier New"/>
                <w:sz w:val="18"/>
                <w:szCs w:val="18"/>
                <w:color w:val="auto"/>
              </w:rPr>
              <w:t>of</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405,650</w:t>
            </w:r>
          </w:p>
        </w:tc>
      </w:tr>
    </w:tbl>
    <w:p>
      <w:pPr>
        <w:ind w:left="1800" w:hanging="844"/>
        <w:spacing w:after="0" w:line="238" w:lineRule="auto"/>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171"/>
        </w:trPr>
        <w:tc>
          <w:tcPr>
            <w:tcW w:w="480" w:type="dxa"/>
            <w:vAlign w:val="bottom"/>
            <w:vMerge w:val="restart"/>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5</w:t>
            </w:r>
          </w:p>
        </w:tc>
        <w:tc>
          <w:tcPr>
            <w:tcW w:w="4260" w:type="dxa"/>
            <w:vAlign w:val="bottom"/>
            <w:gridSpan w:val="2"/>
          </w:tcPr>
          <w:p>
            <w:pPr>
              <w:ind w:left="940"/>
              <w:spacing w:after="0" w:line="171" w:lineRule="exact"/>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line="171" w:lineRule="exact"/>
              <w:rPr>
                <w:sz w:val="20"/>
                <w:szCs w:val="20"/>
                <w:color w:val="auto"/>
              </w:rPr>
            </w:pPr>
            <w:r>
              <w:rPr>
                <w:rFonts w:ascii="Courier New" w:cs="Courier New" w:eastAsia="Courier New" w:hAnsi="Courier New"/>
                <w:sz w:val="18"/>
                <w:szCs w:val="18"/>
                <w:color w:val="auto"/>
              </w:rPr>
              <w:t>__________</w:t>
            </w:r>
          </w:p>
        </w:tc>
        <w:tc>
          <w:tcPr>
            <w:tcW w:w="1580" w:type="dxa"/>
            <w:vAlign w:val="bottom"/>
            <w:vMerge w:val="restart"/>
          </w:tcPr>
          <w:p>
            <w:pPr>
              <w:jc w:val="right"/>
              <w:ind w:right="129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8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   X</w:t>
            </w: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c>
          <w:tcPr>
            <w:tcW w:w="0" w:type="dxa"/>
            <w:vAlign w:val="bottom"/>
          </w:tcPr>
          <w:p>
            <w:pPr>
              <w:spacing w:after="0"/>
              <w:rPr>
                <w:sz w:val="1"/>
                <w:szCs w:val="1"/>
                <w:color w:val="auto"/>
              </w:rPr>
            </w:pPr>
          </w:p>
        </w:tc>
      </w:tr>
      <w:tr>
        <w:trPr>
          <w:trHeight w:val="203"/>
        </w:trPr>
        <w:tc>
          <w:tcPr>
            <w:tcW w:w="480" w:type="dxa"/>
            <w:vAlign w:val="bottom"/>
            <w:vMerge w:val="restart"/>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NONE</w:t>
            </w:r>
          </w:p>
        </w:tc>
        <w:tc>
          <w:tcPr>
            <w:tcW w:w="5220" w:type="dxa"/>
            <w:vAlign w:val="bottom"/>
            <w:gridSpan w:val="3"/>
            <w:vMerge w:val="restart"/>
          </w:tcPr>
          <w:p>
            <w:pPr>
              <w:ind w:left="60"/>
              <w:spacing w:after="0"/>
              <w:rPr>
                <w:sz w:val="20"/>
                <w:szCs w:val="20"/>
                <w:color w:val="auto"/>
              </w:rPr>
            </w:pPr>
            <w:r>
              <w:rPr>
                <w:rFonts w:ascii="Courier New" w:cs="Courier New" w:eastAsia="Courier New" w:hAnsi="Courier New"/>
                <w:sz w:val="18"/>
                <w:szCs w:val="18"/>
                <w:color w:val="auto"/>
              </w:rPr>
              <w:t>Classification of the Subsidiary Which Acquired</w:t>
            </w:r>
          </w:p>
        </w:tc>
        <w:tc>
          <w:tcPr>
            <w:tcW w:w="0" w:type="dxa"/>
            <w:vAlign w:val="bottom"/>
          </w:tcPr>
          <w:p>
            <w:pPr>
              <w:spacing w:after="0"/>
              <w:rPr>
                <w:sz w:val="1"/>
                <w:szCs w:val="1"/>
                <w:color w:val="auto"/>
              </w:rPr>
            </w:pPr>
          </w:p>
        </w:tc>
      </w:tr>
      <w:tr>
        <w:trPr>
          <w:trHeight w:val="203"/>
        </w:trPr>
        <w:tc>
          <w:tcPr>
            <w:tcW w:w="48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 w:type="dxa"/>
            <w:vAlign w:val="bottom"/>
            <w:vMerge w:val="restart"/>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5220" w:type="dxa"/>
            <w:vAlign w:val="bottom"/>
            <w:gridSpan w:val="3"/>
            <w:vMerge w:val="restart"/>
          </w:tcPr>
          <w:p>
            <w:pPr>
              <w:ind w:left="60"/>
              <w:spacing w:after="0"/>
              <w:rPr>
                <w:sz w:val="20"/>
                <w:szCs w:val="20"/>
                <w:color w:val="auto"/>
              </w:rPr>
            </w:pPr>
            <w:r>
              <w:rPr>
                <w:rFonts w:ascii="Courier New" w:cs="Courier New" w:eastAsia="Courier New" w:hAnsi="Courier New"/>
                <w:sz w:val="18"/>
                <w:szCs w:val="18"/>
                <w:color w:val="auto"/>
              </w:rPr>
              <w:t>Classification of Members of the Group.</w:t>
            </w:r>
          </w:p>
        </w:tc>
        <w:tc>
          <w:tcPr>
            <w:tcW w:w="0" w:type="dxa"/>
            <w:vAlign w:val="bottom"/>
          </w:tcPr>
          <w:p>
            <w:pPr>
              <w:spacing w:after="0"/>
              <w:rPr>
                <w:sz w:val="1"/>
                <w:szCs w:val="1"/>
                <w:color w:val="auto"/>
              </w:rPr>
            </w:pPr>
          </w:p>
        </w:tc>
      </w:tr>
      <w:tr>
        <w:trPr>
          <w:trHeight w:val="203"/>
        </w:trPr>
        <w:tc>
          <w:tcPr>
            <w:tcW w:w="48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 w:type="dxa"/>
            <w:vAlign w:val="bottom"/>
            <w:vMerge w:val="restart"/>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9</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CUSIP No. 961765104   13G</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c>
          <w:tcPr>
            <w:tcW w:w="0" w:type="dxa"/>
            <w:vAlign w:val="bottom"/>
          </w:tcPr>
          <w:p>
            <w:pPr>
              <w:spacing w:after="0"/>
              <w:rPr>
                <w:sz w:val="1"/>
                <w:szCs w:val="1"/>
                <w:color w:val="auto"/>
              </w:rPr>
            </w:pPr>
          </w:p>
        </w:tc>
      </w:tr>
      <w:tr>
        <w:trPr>
          <w:trHeight w:val="235"/>
        </w:trPr>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and are held in the ordinary</w:t>
            </w:r>
          </w:p>
        </w:tc>
        <w:tc>
          <w:tcPr>
            <w:tcW w:w="0" w:type="dxa"/>
            <w:vAlign w:val="bottom"/>
          </w:tcPr>
          <w:p>
            <w:pPr>
              <w:spacing w:after="0"/>
              <w:rPr>
                <w:sz w:val="1"/>
                <w:szCs w:val="1"/>
                <w:color w:val="auto"/>
              </w:rPr>
            </w:pPr>
          </w:p>
        </w:tc>
      </w:tr>
    </w:tbl>
    <w:p>
      <w:pPr>
        <w:ind w:left="120" w:right="2099"/>
        <w:spacing w:after="0" w:line="262"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31" w:lineRule="exact"/>
        <w:rPr>
          <w:sz w:val="20"/>
          <w:szCs w:val="20"/>
          <w:color w:val="auto"/>
        </w:rPr>
      </w:pPr>
    </w:p>
    <w:p>
      <w:pPr>
        <w:ind w:left="120" w:right="2619"/>
        <w:spacing w:after="0" w:line="309"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5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24,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bullet"/>
      <w:start w:val="1"/>
    </w:lvl>
  </w:abstractNum>
  <w:abstractNum w:abstractNumId="1">
    <w:nsid w:val="2EB141F2"/>
    <w:multiLevelType w:val="hybridMultilevel"/>
    <w:lvl w:ilvl="0">
      <w:lvlJc w:val="left"/>
      <w:lvlText w:val="2"/>
      <w:numFmt w:val="bullet"/>
      <w:start w:val="1"/>
    </w:lvl>
    <w:lvl w:ilvl="1">
      <w:lvlJc w:val="left"/>
      <w:lvlText w:val="(%2)"/>
      <w:numFmt w:val="lowerLetter"/>
      <w:start w:val="1"/>
    </w:lvl>
  </w:abstractNum>
  <w:abstractNum w:abstractNumId="2">
    <w:nsid w:val="41B71EFB"/>
    <w:multiLevelType w:val="hybridMultilevel"/>
    <w:lvl w:ilvl="0">
      <w:lvlJc w:val="left"/>
      <w:lvlText w:val="3"/>
      <w:numFmt w:val="bullet"/>
      <w:start w:val="1"/>
    </w:lvl>
  </w:abstractNum>
  <w:abstractNum w:abstractNumId="3">
    <w:nsid w:val="79E2A9E3"/>
    <w:multiLevelType w:val="hybridMultilevel"/>
    <w:lvl w:ilvl="0">
      <w:lvlJc w:val="left"/>
      <w:lvlText w:val="4"/>
      <w:numFmt w:val="bullet"/>
      <w:start w:val="1"/>
    </w:lvl>
  </w:abstractNum>
  <w:abstractNum w:abstractNumId="4">
    <w:nsid w:val="7545E146"/>
    <w:multiLevelType w:val="hybridMultilevel"/>
    <w:lvl w:ilvl="0">
      <w:lvlJc w:val="left"/>
      <w:lvlText w:val="9"/>
      <w:numFmt w:val="bullet"/>
      <w:start w:val="1"/>
    </w:lvl>
  </w:abstractNum>
  <w:abstractNum w:abstractNumId="5">
    <w:nsid w:val="515F007C"/>
    <w:multiLevelType w:val="hybridMultilevel"/>
    <w:lvl w:ilvl="0">
      <w:lvlJc w:val="left"/>
      <w:lvlText w:val="%1"/>
      <w:numFmt w:val="decimal"/>
      <w:start w:val="1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4"/>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3"/>
    </w:lvl>
    <w:lvl w:ilvl="1">
      <w:lvlJc w:val="left"/>
      <w:lvlText w:val="(%2)"/>
      <w:numFmt w:val="lowerRoman"/>
      <w:start w:val="2"/>
    </w:lvl>
    <w:lvl w:ilvl="2">
      <w:lvlJc w:val="left"/>
      <w:lvlText w:val="(%3)"/>
      <w:numFmt w:val="lowerRoman"/>
      <w:start w:val="1"/>
    </w:lvl>
  </w:abstractNum>
  <w:abstractNum w:abstractNumId="10">
    <w:nsid w:val="1F16E9E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2019-12-06T19:47:18Z</dcterms:created>
  <dcterms:modified xsi:type="dcterms:W3CDTF">2019-12-06T19:47:18Z</dcterms:modified>
</cp:coreProperties>
</file>