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273143.xml.htm"/>
      <w:bookmarkStart w:id="1" w:name="kswkform4_17782731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BYRNE SUSAN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CRESCENT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WESTWOOD HOLDINGS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Director Emerita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5"/>
        <w:gridCol w:w="903"/>
        <w:gridCol w:w="773"/>
        <w:gridCol w:w="600"/>
        <w:gridCol w:w="346"/>
        <w:gridCol w:w="881"/>
        <w:gridCol w:w="448"/>
        <w:gridCol w:w="925"/>
        <w:gridCol w:w="1152"/>
        <w:gridCol w:w="989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16.0071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289,727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16.0923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289,467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16.062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288,467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16.1733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287,867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price reflects the weighted average sale price for shares sold in multiple transactions at prices ranging from $16.00 to $16.02.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price reflects the weighted average sale price for shares sold in multiple transactions at prices ranging from $16.00 to $16.24.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reported price reflects the weighted average sale price for shares sold in multiple transactions at prices ranging from $16.00 to $16.10.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reported price reflects the weighted average sale price for shares sold in multiple transactions at prices ranging from $16.00 to $16.32. The reporting person will provide detailed information regarding such transactions upon request.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reported transactions were effected pursuant to a Rule 10b5-1 trading plan adopted by the reporting person on 4/1/2026.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Jonathan Richard Nahhat,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171441" TargetMode="External"/><Relationship Id="rId5" Type="http://schemas.openxmlformats.org/officeDocument/2006/relationships/hyperlink" Target="http://www.sec.gov/cgi-bin/browse-edgar?action=getcompany&amp;CIK=00011650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749</Words>
  <Characters>4140</Characters>
  <CharactersWithSpaces>4806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