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April 30, 2025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April 30, 2025, Westwood Holdings Group, Inc. (“Westwood”) announced its financial results for the quarter ended March 31, 2025,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7.01:    REGULATION FD DISCLOSURE</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Westwood announced today that its Board of Directors has approved the payment of a quarterly cash dividend of $0.15 per common share, payable on July 1, 2025 to stockholders of record on June 2,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ans-serif" w:hAnsi="Times New Roman;sans-serif"/>
          <w:b w:val="false"/>
          <w:color w:val="000000"/>
          <w:sz w:val="22"/>
        </w:rPr>
        <w:t>99.1    </w:t>
      </w:r>
      <w:hyperlink w:anchor="a1q25earningsrelease.htm">
        <w:r>
          <w:rPr>
            <w:rStyle w:val="InternetLink"/>
          </w:rPr>
          <w:t xml:space="preserve">Press Release Dated </w:t>
        </w:r>
      </w:hyperlink>
      <w:hyperlink w:anchor="a1q25earningsrelease.htm">
        <w:r>
          <w:rPr>
            <w:rStyle w:val="InternetLink"/>
          </w:rPr>
          <w:t>Ap</w:t>
        </w:r>
      </w:hyperlink>
      <w:hyperlink w:anchor="a1q25earningsrelease.htm">
        <w:r>
          <w:rPr>
            <w:rStyle w:val="InternetLink"/>
          </w:rPr>
          <w:t>ril</w:t>
        </w:r>
      </w:hyperlink>
      <w:hyperlink w:anchor="a1q25earningsrelease.htm">
        <w:r>
          <w:rPr>
            <w:rStyle w:val="InternetLink"/>
          </w:rPr>
          <w:t xml:space="preserve"> 30, 202</w:t>
        </w:r>
      </w:hyperlink>
      <w:hyperlink w:anchor="a1q25earningsrelease.htm">
        <w:r>
          <w:rPr>
            <w:rStyle w:val="InternetLink"/>
          </w:rPr>
          <w:t>5</w:t>
        </w:r>
      </w:hyperlink>
    </w:p>
    <w:p>
      <w:pPr>
        <w:pStyle w:val="TextBody"/>
        <w:bidi w:val="0"/>
        <w:spacing w:lineRule="auto" w:line="288" w:before="0" w:after="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April 30,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Westwood Holdings Group, Inc. Reports First Quarter 2025 Results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Exceptional sales performance drives positive flows in Institutional and Intermediary channels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Strategic ETF platform expansion continues with launch of LBRTY Global Equity ETF (NYSE:BFRE)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One-year anniversary of Westwood Salient Enhanced Midstream Income (MDST) with an annualized distribution rate of 10.5%</w:t>
      </w:r>
    </w:p>
    <w:p>
      <w:pPr>
        <w:pStyle w:val="TextBody"/>
        <w:bidi w:val="0"/>
        <w:spacing w:before="0" w:after="0"/>
        <w:jc w:val="center"/>
        <w:rPr/>
      </w:pPr>
      <w:r>
        <w:rPr/>
      </w:r>
    </w:p>
    <w:p>
      <w:pPr>
        <w:pStyle w:val="TextBody"/>
        <w:bidi w:val="0"/>
        <w:spacing w:lineRule="auto" w:line="288" w:before="120" w:after="220"/>
        <w:jc w:val="left"/>
        <w:rPr>
          <w:rFonts w:ascii="Times New Roman;sans-serif" w:hAnsi="Times New Roman;sans-serif"/>
          <w:b w:val="false"/>
          <w:color w:val="000000"/>
          <w:sz w:val="24"/>
        </w:rPr>
      </w:pPr>
      <w:r>
        <w:rPr>
          <w:rFonts w:ascii="Times New Roman;sans-serif" w:hAnsi="Times New Roman;sans-serif"/>
          <w:b w:val="false"/>
          <w:color w:val="000000"/>
          <w:sz w:val="24"/>
        </w:rPr>
        <w:t>Dallas, TX, April 30, 2025 – Westwood Holdings Group, Inc. (NYSE: WHG) today reported first quarter 2025 earnings. Significant items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Investment strategies beating their primary benchmarks included SMidCap, SmallCap Value, Select Equity, Dividend Select, Enhanced Balanced, Income Opportunity, Alternative Income and Balanced.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SMidcap and Select Equity posted top third rankings in their peer universe, Dividend Select posted a top quarter ranking in its peer universe.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Quarterly revenues totaled $23.3 million, down from the fourth quarter's $25.6 million and up from $22.7 million a year ago. Income of $0.5 million compared with $2.1 million in the fourth quarter $2.3 million in 2024's first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Non-GAAP Economic Earnings of $2.5 million compared with $3.4 million in the fourth quarter and $3.0 million in the first quarter of 2024.</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Westwood held $26.9 million in cash and liquid investments as of March 31, 2025, down $17.7 million from the fourth quarter following contingent consideration and compensation and benefits payments. Stockholders' equity totaled $119.3 million and we have no debt.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 declared a cash dividend of $0.15 per common share, payable on July 1, 2025 to stockholders of record on June 2, 2025.</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Brian Casey, Westwood’s CEO, commented, "We are extremely pleased with our strong start to 2025, delivering exceptional results across our business. Our Institutional channel achieved remarkable success, highlighted by winning a significant nearly $1 billion sub-advisory mandate in our Small Cap Value strategy. Our Intermediary channel recorded its best sales quarter since 2022, with particular strength in our energy offerings. Our ETF business continues to gain momentum, with our flagship MDST ETF reaching its one-year anniversary with a 10.5% annualized distribution rate, while we successfully launched our innovative Westwood LBRTY Global Equity ETF. With our diverse product lineup, robust pipeline, and continued focus on high-quality investments, we are well-positioned to navigate market uncertainties and deliver long-term value to our clients and shareholders."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Revenues decreased from the fourth quarter due to lower performance-based fees and increased from last year's first quarter due to higher average assets under management ("AUM").</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Firmwide assets under management and advisement totaled $18.0 billion, consisting of AUM of $17.0 billion and assets under advisement ("AUA") of $1.0 billion.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First quarter income of $0.5 million compared to the fourth quarter's $2.1 million on lower revenues and higher operating expenses, offset by lower income taxes and changes in the fair value of contingent consideration. Diluted earnings per share ("EPS") of $0.05 compared to $0.24 for the fourth quarter. Non-</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GAAP Economic Earnings of $2.5 million, or $0.29 per share, compared with $3.4 million, or $0.39 per share, in the fourth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First quarter income of $0.5 million compared to last year's first quarter of $2.3 million due to changes in the fair value of contingent consideration in 2024 offset by higher revenues and lower income taxes. Diluted EPS of $0.05 compared with $0.27 per share for 2024's first quarter. Non-GAAP Economic Earnings were $2.5 million, or $0.29 per share, compared with $3.0 million, or $0.36 per share, in the first quarter of 2024.</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Economic Earnings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Westwood will host a conference call to discuss first quarter 2025 results and other business matters at 4:30 p.m. Eastern time today. To join the conference call, please register here:</w:t>
      </w:r>
    </w:p>
    <w:p>
      <w:pPr>
        <w:pStyle w:val="TextBody"/>
        <w:bidi w:val="0"/>
        <w:spacing w:lineRule="auto" w:line="288" w:before="12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https://register-conf.media-server.com/register/BI848844d99e514a3ba97ad4fbad4288af</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registering, you will be provided with a dial-in number containing a personalized PIN.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view the webcast, please register here:</w:t>
      </w:r>
    </w:p>
    <w:p>
      <w:pPr>
        <w:pStyle w:val="TextBody"/>
        <w:bidi w:val="0"/>
        <w:spacing w:lineRule="auto" w:line="288" w:before="12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https://edge.media-server.com/mmc/p/i4pd6rdr</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Once registered, an email will be sent with important details for this conference call, as well as a unique Registrant ID.</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ABOUT WESTWOOD HOLDINGS GROUP</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 </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more information on Westwood, please visit westwoodgroup.com.</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2024 and its quarterly report on Form 10-Q for the quarter ended March 31, 2025.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Terry Forbes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9457" w:type="dxa"/>
        <w:jc w:val="left"/>
        <w:tblInd w:w="0" w:type="dxa"/>
        <w:tblLayout w:type="fixed"/>
        <w:tblCellMar>
          <w:top w:w="28" w:type="dxa"/>
          <w:left w:w="28" w:type="dxa"/>
          <w:bottom w:w="28" w:type="dxa"/>
          <w:right w:w="28" w:type="dxa"/>
        </w:tblCellMar>
      </w:tblPr>
      <w:tblGrid>
        <w:gridCol w:w="1675"/>
        <w:gridCol w:w="1474"/>
        <w:gridCol w:w="1486"/>
        <w:gridCol w:w="266"/>
        <w:gridCol w:w="876"/>
        <w:gridCol w:w="147"/>
        <w:gridCol w:w="109"/>
        <w:gridCol w:w="109"/>
        <w:gridCol w:w="109"/>
        <w:gridCol w:w="318"/>
        <w:gridCol w:w="1050"/>
        <w:gridCol w:w="177"/>
        <w:gridCol w:w="109"/>
        <w:gridCol w:w="109"/>
        <w:gridCol w:w="109"/>
        <w:gridCol w:w="262"/>
        <w:gridCol w:w="866"/>
        <w:gridCol w:w="206"/>
      </w:tblGrid>
      <w:tr>
        <w:trPr/>
        <w:tc>
          <w:tcPr>
            <w:tcW w:w="167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performance-based fees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before income taxes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income (loss) attributable to noncontrolling interest</w:t>
            </w:r>
          </w:p>
        </w:tc>
        <w:tc>
          <w:tcPr>
            <w:tcW w:w="11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attributable to Westwood Holdings Group, Inc.</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per Westwood Holdings Group, Inc. share:</w:t>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8,253,912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8,099,028</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8,781,743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8,756,976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8,392,496</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par value and share amounts)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53"/>
        <w:gridCol w:w="2184"/>
        <w:gridCol w:w="2198"/>
        <w:gridCol w:w="221"/>
        <w:gridCol w:w="830"/>
        <w:gridCol w:w="123"/>
        <w:gridCol w:w="109"/>
        <w:gridCol w:w="109"/>
        <w:gridCol w:w="109"/>
        <w:gridCol w:w="247"/>
        <w:gridCol w:w="928"/>
        <w:gridCol w:w="137"/>
        <w:gridCol w:w="157"/>
      </w:tblGrid>
      <w:tr>
        <w:trPr/>
        <w:tc>
          <w:tcPr>
            <w:tcW w:w="285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 (amortized cost of $18,216 and $26,788)</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under measurement alternative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$8,556 and $8,424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134,988 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25,000,000 shares, issued 12,363,367 and 12,137,080, respectively and outstanding 9,379,675 and 9,234,575, respectively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2,983,692 and 2,902,505, respectively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Westwood Holdings Group, Inc. stockholders’ equity</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 in consolidated subsidiary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equity</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134,988 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9087" w:type="dxa"/>
        <w:jc w:val="center"/>
        <w:tblInd w:w="0" w:type="dxa"/>
        <w:tblLayout w:type="fixed"/>
        <w:tblCellMar>
          <w:top w:w="28" w:type="dxa"/>
          <w:left w:w="28" w:type="dxa"/>
          <w:bottom w:w="28" w:type="dxa"/>
          <w:right w:w="28" w:type="dxa"/>
        </w:tblCellMar>
      </w:tblPr>
      <w:tblGrid>
        <w:gridCol w:w="2339"/>
        <w:gridCol w:w="2057"/>
        <w:gridCol w:w="2068"/>
        <w:gridCol w:w="235"/>
        <w:gridCol w:w="668"/>
        <w:gridCol w:w="131"/>
        <w:gridCol w:w="131"/>
        <w:gridCol w:w="131"/>
        <w:gridCol w:w="131"/>
        <w:gridCol w:w="235"/>
        <w:gridCol w:w="776"/>
        <w:gridCol w:w="185"/>
      </w:tblGrid>
      <w:tr>
        <w:trPr/>
        <w:tc>
          <w:tcPr>
            <w:tcW w:w="233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investments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change of contingent consideration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(purchases) sales of trading securities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internally developed software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 in acquisition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operating lease right-of-use assets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WESTWOOD HOLDINGS GROUP, INC. AND SUBSIDIARIES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Reconciliation of Income Attributable to Westwood Holdings Group, Inc. to Economic Earnings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(in thousands, except per share and share amounts)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supplemental information, we are providing non-GAAP performance measures that we refer to as Economic Earnings and Economic EPS. We provide these measures in addition to, not as a substitute for,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before="120" w:after="283"/>
        <w:jc w:val="left"/>
        <w:rPr/>
      </w:pPr>
      <w:r>
        <w:rPr/>
      </w:r>
    </w:p>
    <w:tbl>
      <w:tblPr>
        <w:tblW w:w="8842" w:type="dxa"/>
        <w:jc w:val="center"/>
        <w:tblInd w:w="0" w:type="dxa"/>
        <w:tblLayout w:type="fixed"/>
        <w:tblCellMar>
          <w:top w:w="28" w:type="dxa"/>
          <w:left w:w="28" w:type="dxa"/>
          <w:bottom w:w="28" w:type="dxa"/>
          <w:right w:w="28" w:type="dxa"/>
        </w:tblCellMar>
      </w:tblPr>
      <w:tblGrid>
        <w:gridCol w:w="1494"/>
        <w:gridCol w:w="1311"/>
        <w:gridCol w:w="1319"/>
        <w:gridCol w:w="287"/>
        <w:gridCol w:w="814"/>
        <w:gridCol w:w="159"/>
        <w:gridCol w:w="109"/>
        <w:gridCol w:w="109"/>
        <w:gridCol w:w="109"/>
        <w:gridCol w:w="341"/>
        <w:gridCol w:w="969"/>
        <w:gridCol w:w="190"/>
        <w:gridCol w:w="109"/>
        <w:gridCol w:w="109"/>
        <w:gridCol w:w="109"/>
        <w:gridCol w:w="282"/>
        <w:gridCol w:w="801"/>
        <w:gridCol w:w="221"/>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attributable to Westwood Holdings Group, Inc.</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per share</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0.05 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0.23 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0.27 </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8,781,743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8,756,976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8,392,496</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1" w:type="dxa"/>
            <w:gridSpan w:val="6"/>
            <w:tcBorders/>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3032</Words>
  <Characters>17724</Characters>
  <CharactersWithSpaces>20524</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