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31619756.xml.htm"/>
      <w:bookmarkStart w:id="1" w:name="kswkform4a_17316197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CASEY BRIAN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02/27/2024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6"/>
        <w:gridCol w:w="906"/>
        <w:gridCol w:w="775"/>
        <w:gridCol w:w="602"/>
        <w:gridCol w:w="351"/>
        <w:gridCol w:w="979"/>
        <w:gridCol w:w="459"/>
        <w:gridCol w:w="622"/>
        <w:gridCol w:w="1204"/>
        <w:gridCol w:w="1004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48,230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480,214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amendment is intended to correct the original filing dated February 27, 2024, which reflected a grant/acquisition of 52,083 shares. The correct amount of shares granted was 48,230 of WHG stock, which was properly reflected on WHG's proxy statement.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closing price of WHG stock on February 23, 2024, was $12.00.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total amount of securities beneficially owned following this amendment is 480,214, inclusive of 700 shares held indirectly for children, which reflects a reduction of 3,153 shares from the previously reported 483,367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1437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3543</Characters>
  <CharactersWithSpaces>4130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