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(Mark One)</w:t>
      </w:r>
    </w:p>
    <w:p>
      <w:pPr>
        <w:spacing w:after="0" w:line="23" w:lineRule="exact"/>
        <w:rPr>
          <w:sz w:val="24"/>
          <w:szCs w:val="24"/>
          <w:color w:val="auto"/>
        </w:rPr>
      </w:pPr>
    </w:p>
    <w:p>
      <w:pPr>
        <w:ind w:left="20"/>
        <w:spacing w:after="0" w:line="101" w:lineRule="exact"/>
        <w:rPr>
          <w:sz w:val="20"/>
          <w:szCs w:val="20"/>
          <w:color w:val="auto"/>
        </w:rPr>
      </w:pPr>
      <w:r>
        <w:rPr>
          <w:rFonts w:ascii="MS PGothic" w:cs="MS PGothic" w:eastAsia="MS PGothic" w:hAnsi="MS PGothic"/>
          <w:sz w:val="10"/>
          <w:szCs w:val="10"/>
          <w:color w:val="auto"/>
        </w:rPr>
        <w:t>☒</w:t>
      </w:r>
    </w:p>
    <w:p>
      <w:pPr>
        <w:spacing w:after="0" w:line="200" w:lineRule="exact"/>
        <w:rPr>
          <w:sz w:val="24"/>
          <w:szCs w:val="24"/>
          <w:color w:val="auto"/>
        </w:rPr>
      </w:pPr>
    </w:p>
    <w:p>
      <w:pPr>
        <w:spacing w:after="0" w:line="249" w:lineRule="exact"/>
        <w:rPr>
          <w:sz w:val="24"/>
          <w:szCs w:val="24"/>
          <w:color w:val="auto"/>
        </w:rPr>
      </w:pPr>
    </w:p>
    <w:p>
      <w:pPr>
        <w:ind w:left="40"/>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-407035</wp:posOffset>
            </wp:positionH>
            <wp:positionV relativeFrom="paragraph">
              <wp:posOffset>-171450</wp:posOffset>
            </wp:positionV>
            <wp:extent cx="71266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635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-196215</wp:posOffset>
            </wp:positionV>
            <wp:extent cx="71266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6350"/>
                    </a:xfrm>
                    <a:prstGeom prst="rect">
                      <a:avLst/>
                    </a:prstGeom>
                    <a:noFill/>
                  </pic:spPr>
                </pic:pic>
              </a:graphicData>
            </a:graphic>
          </wp:anchor>
        </w:drawing>
      </w:r>
    </w:p>
    <w:p>
      <w:pPr>
        <w:jc w:val="center"/>
        <w:ind w:right="640"/>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640"/>
        <w:spacing w:after="0"/>
        <w:rPr>
          <w:sz w:val="20"/>
          <w:szCs w:val="20"/>
          <w:color w:val="auto"/>
        </w:rPr>
      </w:pPr>
      <w:r>
        <w:rPr>
          <w:rFonts w:ascii="Arial" w:cs="Arial" w:eastAsia="Arial" w:hAnsi="Arial"/>
          <w:sz w:val="10"/>
          <w:szCs w:val="10"/>
          <w:b w:val="1"/>
          <w:bCs w:val="1"/>
          <w:color w:val="auto"/>
        </w:rPr>
        <w:t>Washington, D.C. 20549</w:t>
      </w:r>
    </w:p>
    <w:p>
      <w:pPr>
        <w:spacing w:after="0" w:line="6" w:lineRule="exact"/>
        <w:rPr>
          <w:sz w:val="24"/>
          <w:szCs w:val="24"/>
          <w:color w:val="auto"/>
        </w:rPr>
      </w:pPr>
    </w:p>
    <w:p>
      <w:pPr>
        <w:ind w:left="3480"/>
        <w:spacing w:after="0"/>
        <w:rPr>
          <w:sz w:val="20"/>
          <w:szCs w:val="20"/>
          <w:color w:val="auto"/>
        </w:rPr>
      </w:pPr>
      <w:r>
        <w:rPr>
          <w:rFonts w:ascii="Arial" w:cs="Arial" w:eastAsia="Arial" w:hAnsi="Arial"/>
          <w:sz w:val="8"/>
          <w:szCs w:val="8"/>
          <w:b w:val="1"/>
          <w:bCs w:val="1"/>
          <w:color w:val="auto"/>
        </w:rPr>
        <w:t>____________________________________________________________________________</w:t>
      </w:r>
    </w:p>
    <w:p>
      <w:pPr>
        <w:spacing w:after="0" w:line="26"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Form 10-K</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8"/>
          <w:szCs w:val="8"/>
          <w:b w:val="1"/>
          <w:bCs w:val="1"/>
          <w:color w:val="auto"/>
        </w:rPr>
        <w:t>____________________________________________________________________________</w:t>
      </w:r>
    </w:p>
    <w:p>
      <w:pPr>
        <w:spacing w:after="0" w:line="13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ANNUAL REPORT PURSUANT TO SECTION 13 OR 15(d) OF THE SECURITIES EXCHANGE ACT OF 1934</w:t>
      </w:r>
    </w:p>
    <w:p>
      <w:pPr>
        <w:spacing w:after="0" w:line="130" w:lineRule="exact"/>
        <w:rPr>
          <w:sz w:val="24"/>
          <w:szCs w:val="24"/>
          <w:color w:val="auto"/>
        </w:rPr>
      </w:pPr>
    </w:p>
    <w:p>
      <w:pPr>
        <w:jc w:val="center"/>
        <w:ind w:right="640"/>
        <w:spacing w:after="0"/>
        <w:rPr>
          <w:sz w:val="20"/>
          <w:szCs w:val="20"/>
          <w:color w:val="auto"/>
        </w:rPr>
      </w:pPr>
      <w:r>
        <w:rPr>
          <w:rFonts w:ascii="Arial" w:cs="Arial" w:eastAsia="Arial" w:hAnsi="Arial"/>
          <w:sz w:val="10"/>
          <w:szCs w:val="10"/>
          <w:b w:val="1"/>
          <w:bCs w:val="1"/>
          <w:color w:val="auto"/>
        </w:rPr>
        <w:t>For the fiscal year ended December 31, 2021</w:t>
      </w:r>
    </w:p>
    <w:p>
      <w:pPr>
        <w:spacing w:after="0" w:line="55" w:lineRule="exact"/>
        <w:rPr>
          <w:sz w:val="24"/>
          <w:szCs w:val="24"/>
          <w:color w:val="auto"/>
        </w:rPr>
      </w:pPr>
    </w:p>
    <w:p>
      <w:pPr>
        <w:jc w:val="center"/>
        <w:ind w:right="640"/>
        <w:spacing w:after="0"/>
        <w:rPr>
          <w:sz w:val="20"/>
          <w:szCs w:val="20"/>
          <w:color w:val="auto"/>
        </w:rPr>
      </w:pPr>
      <w:r>
        <w:rPr>
          <w:rFonts w:ascii="Arial" w:cs="Arial" w:eastAsia="Arial" w:hAnsi="Arial"/>
          <w:sz w:val="9"/>
          <w:szCs w:val="9"/>
          <w:b w:val="1"/>
          <w:bCs w:val="1"/>
          <w:color w:val="auto"/>
        </w:rPr>
        <w:t>OR</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134" w:lineRule="exact"/>
        <w:rPr>
          <w:sz w:val="24"/>
          <w:szCs w:val="24"/>
          <w:color w:val="auto"/>
        </w:rPr>
      </w:pPr>
    </w:p>
    <w:p>
      <w:pPr>
        <w:ind w:left="3760"/>
        <w:spacing w:after="0"/>
        <w:tabs>
          <w:tab w:leader="none" w:pos="5480" w:val="left"/>
        </w:tabs>
        <w:rPr>
          <w:sz w:val="20"/>
          <w:szCs w:val="20"/>
          <w:color w:val="auto"/>
        </w:rPr>
      </w:pPr>
      <w:r>
        <w:rPr>
          <w:rFonts w:ascii="Arial" w:cs="Arial" w:eastAsia="Arial" w:hAnsi="Arial"/>
          <w:sz w:val="9"/>
          <w:szCs w:val="9"/>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3154680</wp:posOffset>
            </wp:positionH>
            <wp:positionV relativeFrom="paragraph">
              <wp:posOffset>-635</wp:posOffset>
            </wp:positionV>
            <wp:extent cx="7594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9460" cy="6350"/>
                    </a:xfrm>
                    <a:prstGeom prst="rect">
                      <a:avLst/>
                    </a:prstGeom>
                    <a:noFill/>
                  </pic:spPr>
                </pic:pic>
              </a:graphicData>
            </a:graphic>
          </wp:anchor>
        </w:drawing>
      </w:r>
    </w:p>
    <w:p>
      <w:pPr>
        <w:spacing w:after="0" w:line="43" w:lineRule="exact"/>
        <w:rPr>
          <w:sz w:val="24"/>
          <w:szCs w:val="24"/>
          <w:color w:val="auto"/>
        </w:rPr>
      </w:pPr>
    </w:p>
    <w:p>
      <w:pPr>
        <w:jc w:val="center"/>
        <w:ind w:right="640"/>
        <w:spacing w:after="0"/>
        <w:rPr>
          <w:sz w:val="20"/>
          <w:szCs w:val="20"/>
          <w:color w:val="auto"/>
        </w:rPr>
      </w:pPr>
      <w:r>
        <w:rPr>
          <w:rFonts w:ascii="Arial" w:cs="Arial" w:eastAsia="Arial" w:hAnsi="Arial"/>
          <w:sz w:val="9"/>
          <w:szCs w:val="9"/>
          <w:b w:val="1"/>
          <w:bCs w:val="1"/>
          <w:color w:val="auto"/>
        </w:rPr>
        <w:t>Commission file number 1-31234</w:t>
      </w:r>
    </w:p>
    <w:p>
      <w:pPr>
        <w:spacing w:after="0" w:line="57" w:lineRule="exact"/>
        <w:rPr>
          <w:sz w:val="24"/>
          <w:szCs w:val="24"/>
          <w:color w:val="auto"/>
        </w:rPr>
      </w:pPr>
    </w:p>
    <w:p>
      <w:pPr>
        <w:ind w:left="3480"/>
        <w:spacing w:after="0"/>
        <w:rPr>
          <w:sz w:val="20"/>
          <w:szCs w:val="20"/>
          <w:color w:val="auto"/>
        </w:rPr>
      </w:pPr>
      <w:r>
        <w:rPr>
          <w:rFonts w:ascii="Arial" w:cs="Arial" w:eastAsia="Arial" w:hAnsi="Arial"/>
          <w:sz w:val="8"/>
          <w:szCs w:val="8"/>
          <w:b w:val="1"/>
          <w:bCs w:val="1"/>
          <w:color w:val="auto"/>
        </w:rPr>
        <w:t>____________________________________________________________________________</w:t>
      </w:r>
    </w:p>
    <w:p>
      <w:pPr>
        <w:spacing w:after="0" w:line="34"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WESTWOOD HOLDINGS GROUP, INC.</w:t>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9"/>
          <w:szCs w:val="9"/>
          <w:color w:val="auto"/>
        </w:rPr>
        <w:t>(Exact name of registrant as specified in its charter)</w:t>
      </w:r>
    </w:p>
    <w:p>
      <w:pPr>
        <w:spacing w:after="0" w:line="4" w:lineRule="exact"/>
        <w:rPr>
          <w:sz w:val="24"/>
          <w:szCs w:val="24"/>
          <w:color w:val="auto"/>
        </w:rPr>
      </w:pPr>
    </w:p>
    <w:p>
      <w:pPr>
        <w:ind w:left="3480"/>
        <w:spacing w:after="0"/>
        <w:rPr>
          <w:sz w:val="20"/>
          <w:szCs w:val="20"/>
          <w:color w:val="auto"/>
        </w:rPr>
      </w:pPr>
      <w:r>
        <w:rPr>
          <w:rFonts w:ascii="Arial" w:cs="Arial" w:eastAsia="Arial" w:hAnsi="Arial"/>
          <w:sz w:val="8"/>
          <w:szCs w:val="8"/>
          <w:b w:val="1"/>
          <w:bCs w:val="1"/>
          <w:color w:val="auto"/>
        </w:rPr>
        <w:t>____________________________________________________________________________</w:t>
      </w:r>
    </w:p>
    <w:p>
      <w:pPr>
        <w:spacing w:after="0" w:line="12" w:lineRule="exact"/>
        <w:rPr>
          <w:sz w:val="24"/>
          <w:szCs w:val="24"/>
          <w:color w:val="auto"/>
        </w:rPr>
      </w:pPr>
    </w:p>
    <w:p>
      <w:pPr>
        <w:ind w:left="1800"/>
        <w:spacing w:after="0"/>
        <w:tabs>
          <w:tab w:leader="none" w:pos="7640" w:val="left"/>
        </w:tabs>
        <w:rPr>
          <w:sz w:val="20"/>
          <w:szCs w:val="20"/>
          <w:color w:val="auto"/>
        </w:rPr>
      </w:pPr>
      <w:r>
        <w:rPr>
          <w:rFonts w:ascii="Arial" w:cs="Arial" w:eastAsia="Arial" w:hAnsi="Arial"/>
          <w:sz w:val="10"/>
          <w:szCs w:val="10"/>
          <w:b w:val="1"/>
          <w:bCs w:val="1"/>
          <w:color w:val="auto"/>
        </w:rPr>
        <w:t>Delaware</w:t>
      </w:r>
      <w:r>
        <w:rPr>
          <w:sz w:val="20"/>
          <w:szCs w:val="20"/>
          <w:color w:val="auto"/>
        </w:rPr>
        <w:tab/>
      </w:r>
      <w:r>
        <w:rPr>
          <w:rFonts w:ascii="Arial" w:cs="Arial" w:eastAsia="Arial" w:hAnsi="Arial"/>
          <w:sz w:val="10"/>
          <w:szCs w:val="10"/>
          <w:b w:val="1"/>
          <w:bCs w:val="1"/>
          <w:color w:val="auto"/>
        </w:rPr>
        <w:t>75-2969997</w:t>
      </w:r>
    </w:p>
    <w:p>
      <w:pPr>
        <w:spacing w:after="0" w:line="21" w:lineRule="exact"/>
        <w:rPr>
          <w:sz w:val="24"/>
          <w:szCs w:val="24"/>
          <w:color w:val="auto"/>
        </w:rPr>
      </w:pPr>
    </w:p>
    <w:p>
      <w:pPr>
        <w:ind w:left="1480"/>
        <w:spacing w:after="0"/>
        <w:tabs>
          <w:tab w:leader="none" w:pos="7580" w:val="left"/>
        </w:tabs>
        <w:rPr>
          <w:sz w:val="20"/>
          <w:szCs w:val="20"/>
          <w:color w:val="auto"/>
        </w:rPr>
      </w:pPr>
      <w:r>
        <w:rPr>
          <w:rFonts w:ascii="Arial" w:cs="Arial" w:eastAsia="Arial" w:hAnsi="Arial"/>
          <w:sz w:val="9"/>
          <w:szCs w:val="9"/>
          <w:color w:val="auto"/>
        </w:rPr>
        <w:t>(State or other jurisdiction of</w:t>
      </w:r>
      <w:r>
        <w:rPr>
          <w:sz w:val="20"/>
          <w:szCs w:val="20"/>
          <w:color w:val="auto"/>
        </w:rPr>
        <w:tab/>
      </w:r>
      <w:r>
        <w:rPr>
          <w:rFonts w:ascii="Arial" w:cs="Arial" w:eastAsia="Arial" w:hAnsi="Arial"/>
          <w:sz w:val="8"/>
          <w:szCs w:val="8"/>
          <w:color w:val="auto"/>
        </w:rPr>
        <w:t>(I.R.S. Employer</w:t>
      </w:r>
    </w:p>
    <w:p>
      <w:pPr>
        <w:jc w:val="right"/>
        <w:ind w:right="2300"/>
        <w:spacing w:after="0"/>
        <w:tabs>
          <w:tab w:leader="none" w:pos="660" w:val="left"/>
        </w:tabs>
        <w:rPr>
          <w:sz w:val="20"/>
          <w:szCs w:val="20"/>
          <w:color w:val="auto"/>
        </w:rPr>
      </w:pPr>
      <w:r>
        <w:rPr>
          <w:rFonts w:ascii="Arial" w:cs="Arial" w:eastAsia="Arial" w:hAnsi="Arial"/>
          <w:sz w:val="9"/>
          <w:szCs w:val="9"/>
          <w:color w:val="auto"/>
        </w:rPr>
        <w:t>incorporation or organization)</w:t>
      </w:r>
      <w:r>
        <w:rPr>
          <w:sz w:val="20"/>
          <w:szCs w:val="20"/>
          <w:color w:val="auto"/>
        </w:rPr>
        <w:tab/>
      </w:r>
      <w:r>
        <w:rPr>
          <w:rFonts w:ascii="Arial" w:cs="Arial" w:eastAsia="Arial" w:hAnsi="Arial"/>
          <w:sz w:val="8"/>
          <w:szCs w:val="8"/>
          <w:color w:val="auto"/>
        </w:rPr>
        <w:t>Identification No.)</w:t>
      </w:r>
    </w:p>
    <w:p>
      <w:pPr>
        <w:spacing w:after="0" w:line="10" w:lineRule="exact"/>
        <w:rPr>
          <w:sz w:val="24"/>
          <w:szCs w:val="24"/>
          <w:color w:val="auto"/>
        </w:rPr>
      </w:pPr>
    </w:p>
    <w:p>
      <w:pPr>
        <w:sectPr>
          <w:pgSz w:w="11900" w:h="16838" w:orient="portrait"/>
          <w:cols w:equalWidth="0" w:num="2">
            <w:col w:w="400" w:space="280"/>
            <w:col w:w="10560"/>
          </w:cols>
          <w:pgMar w:left="300" w:top="952" w:right="359" w:bottom="1440" w:gutter="0" w:footer="0" w:header="0"/>
        </w:sectPr>
      </w:pPr>
    </w:p>
    <w:tbl>
      <w:tblPr>
        <w:tblLayout w:type="fixed"/>
        <w:tblInd w:w="0" w:type="dxa"/>
        <w:tblCellMar>
          <w:top w:w="0" w:type="dxa"/>
          <w:left w:w="0" w:type="dxa"/>
          <w:bottom w:w="0" w:type="dxa"/>
          <w:right w:w="0" w:type="dxa"/>
        </w:tblCellMar>
      </w:tblPr>
      <w:tr>
        <w:trPr>
          <w:trHeight w:val="135"/>
        </w:trPr>
        <w:tc>
          <w:tcPr>
            <w:tcW w:w="1820" w:type="dxa"/>
            <w:vAlign w:val="bottom"/>
          </w:tcPr>
          <w:p>
            <w:pPr>
              <w:spacing w:after="0"/>
              <w:rPr>
                <w:sz w:val="11"/>
                <w:szCs w:val="11"/>
                <w:color w:val="auto"/>
              </w:rPr>
            </w:pPr>
          </w:p>
        </w:tc>
        <w:tc>
          <w:tcPr>
            <w:tcW w:w="2340" w:type="dxa"/>
            <w:vAlign w:val="bottom"/>
            <w:gridSpan w:val="2"/>
          </w:tcPr>
          <w:p>
            <w:pPr>
              <w:jc w:val="center"/>
              <w:ind w:right="548"/>
              <w:spacing w:after="0"/>
              <w:rPr>
                <w:sz w:val="20"/>
                <w:szCs w:val="20"/>
                <w:color w:val="auto"/>
              </w:rPr>
            </w:pPr>
            <w:r>
              <w:rPr>
                <w:rFonts w:ascii="Arial" w:cs="Arial" w:eastAsia="Arial" w:hAnsi="Arial"/>
                <w:sz w:val="10"/>
                <w:szCs w:val="10"/>
                <w:b w:val="1"/>
                <w:bCs w:val="1"/>
                <w:color w:val="auto"/>
                <w:w w:val="94"/>
              </w:rPr>
              <w:t>200 Crescent Court, Suite 1200</w:t>
            </w: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80" w:type="dxa"/>
            <w:vAlign w:val="bottom"/>
          </w:tcPr>
          <w:p>
            <w:pPr>
              <w:spacing w:after="0"/>
              <w:rPr>
                <w:sz w:val="11"/>
                <w:szCs w:val="11"/>
                <w:color w:val="auto"/>
              </w:rPr>
            </w:pPr>
          </w:p>
        </w:tc>
      </w:tr>
      <w:tr>
        <w:trPr>
          <w:trHeight w:val="137"/>
        </w:trPr>
        <w:tc>
          <w:tcPr>
            <w:tcW w:w="1820" w:type="dxa"/>
            <w:vAlign w:val="bottom"/>
          </w:tcPr>
          <w:p>
            <w:pPr>
              <w:spacing w:after="0"/>
              <w:rPr>
                <w:sz w:val="11"/>
                <w:szCs w:val="11"/>
                <w:color w:val="auto"/>
              </w:rPr>
            </w:pPr>
          </w:p>
        </w:tc>
        <w:tc>
          <w:tcPr>
            <w:tcW w:w="2340" w:type="dxa"/>
            <w:vAlign w:val="bottom"/>
            <w:gridSpan w:val="2"/>
          </w:tcPr>
          <w:p>
            <w:pPr>
              <w:ind w:left="560"/>
              <w:spacing w:after="0"/>
              <w:rPr>
                <w:sz w:val="20"/>
                <w:szCs w:val="20"/>
                <w:color w:val="auto"/>
              </w:rPr>
            </w:pPr>
            <w:r>
              <w:rPr>
                <w:rFonts w:ascii="Arial" w:cs="Arial" w:eastAsia="Arial" w:hAnsi="Arial"/>
                <w:sz w:val="10"/>
                <w:szCs w:val="10"/>
                <w:b w:val="1"/>
                <w:bCs w:val="1"/>
                <w:color w:val="auto"/>
              </w:rPr>
              <w:t>Dallas, Texas</w:t>
            </w: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80" w:type="dxa"/>
            <w:vAlign w:val="bottom"/>
          </w:tcPr>
          <w:p>
            <w:pPr>
              <w:ind w:left="320"/>
              <w:spacing w:after="0"/>
              <w:rPr>
                <w:sz w:val="20"/>
                <w:szCs w:val="20"/>
                <w:color w:val="auto"/>
              </w:rPr>
            </w:pPr>
            <w:r>
              <w:rPr>
                <w:rFonts w:ascii="Arial" w:cs="Arial" w:eastAsia="Arial" w:hAnsi="Arial"/>
                <w:sz w:val="10"/>
                <w:szCs w:val="10"/>
                <w:b w:val="1"/>
                <w:bCs w:val="1"/>
                <w:color w:val="auto"/>
              </w:rPr>
              <w:t>75201</w:t>
            </w:r>
          </w:p>
        </w:tc>
      </w:tr>
      <w:tr>
        <w:trPr>
          <w:trHeight w:val="123"/>
        </w:trPr>
        <w:tc>
          <w:tcPr>
            <w:tcW w:w="1820" w:type="dxa"/>
            <w:vAlign w:val="bottom"/>
          </w:tcPr>
          <w:p>
            <w:pPr>
              <w:spacing w:after="0"/>
              <w:rPr>
                <w:sz w:val="10"/>
                <w:szCs w:val="10"/>
                <w:color w:val="auto"/>
              </w:rPr>
            </w:pPr>
          </w:p>
        </w:tc>
        <w:tc>
          <w:tcPr>
            <w:tcW w:w="2340" w:type="dxa"/>
            <w:vAlign w:val="bottom"/>
            <w:gridSpan w:val="2"/>
          </w:tcPr>
          <w:p>
            <w:pPr>
              <w:jc w:val="center"/>
              <w:ind w:right="548"/>
              <w:spacing w:after="0"/>
              <w:rPr>
                <w:sz w:val="20"/>
                <w:szCs w:val="20"/>
                <w:color w:val="auto"/>
              </w:rPr>
            </w:pPr>
            <w:r>
              <w:rPr>
                <w:rFonts w:ascii="Arial" w:cs="Arial" w:eastAsia="Arial" w:hAnsi="Arial"/>
                <w:sz w:val="9"/>
                <w:szCs w:val="9"/>
                <w:color w:val="auto"/>
                <w:w w:val="94"/>
              </w:rPr>
              <w:t>(Address of principal executive offices)</w:t>
            </w: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80" w:type="dxa"/>
            <w:vAlign w:val="bottom"/>
          </w:tcPr>
          <w:p>
            <w:pPr>
              <w:ind w:left="260"/>
              <w:spacing w:after="0"/>
              <w:rPr>
                <w:sz w:val="20"/>
                <w:szCs w:val="20"/>
                <w:color w:val="auto"/>
              </w:rPr>
            </w:pPr>
            <w:r>
              <w:rPr>
                <w:rFonts w:ascii="Arial" w:cs="Arial" w:eastAsia="Arial" w:hAnsi="Arial"/>
                <w:sz w:val="9"/>
                <w:szCs w:val="9"/>
                <w:color w:val="auto"/>
              </w:rPr>
              <w:t>(Zip Code)</w:t>
            </w:r>
          </w:p>
        </w:tc>
      </w:tr>
      <w:tr>
        <w:trPr>
          <w:trHeight w:val="259"/>
        </w:trPr>
        <w:tc>
          <w:tcPr>
            <w:tcW w:w="1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540" w:type="dxa"/>
            <w:vAlign w:val="bottom"/>
            <w:gridSpan w:val="4"/>
          </w:tcPr>
          <w:p>
            <w:pPr>
              <w:jc w:val="center"/>
              <w:ind w:left="488"/>
              <w:spacing w:after="0"/>
              <w:rPr>
                <w:sz w:val="20"/>
                <w:szCs w:val="20"/>
                <w:color w:val="auto"/>
              </w:rPr>
            </w:pPr>
            <w:r>
              <w:rPr>
                <w:rFonts w:ascii="Arial" w:cs="Arial" w:eastAsia="Arial" w:hAnsi="Arial"/>
                <w:sz w:val="10"/>
                <w:szCs w:val="10"/>
                <w:b w:val="1"/>
                <w:bCs w:val="1"/>
                <w:color w:val="auto"/>
                <w:w w:val="93"/>
              </w:rPr>
              <w:t>Registrant’s telephone number, including area code: (214) 756-6900</w:t>
            </w:r>
          </w:p>
        </w:tc>
        <w:tc>
          <w:tcPr>
            <w:tcW w:w="1880" w:type="dxa"/>
            <w:vAlign w:val="bottom"/>
          </w:tcPr>
          <w:p>
            <w:pPr>
              <w:spacing w:after="0"/>
              <w:rPr>
                <w:sz w:val="22"/>
                <w:szCs w:val="22"/>
                <w:color w:val="auto"/>
              </w:rPr>
            </w:pPr>
          </w:p>
        </w:tc>
      </w:tr>
      <w:tr>
        <w:trPr>
          <w:trHeight w:val="167"/>
        </w:trPr>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540" w:type="dxa"/>
            <w:vAlign w:val="bottom"/>
            <w:gridSpan w:val="4"/>
          </w:tcPr>
          <w:p>
            <w:pPr>
              <w:jc w:val="center"/>
              <w:ind w:left="488"/>
              <w:spacing w:after="0"/>
              <w:rPr>
                <w:sz w:val="20"/>
                <w:szCs w:val="20"/>
                <w:color w:val="auto"/>
              </w:rPr>
            </w:pPr>
            <w:r>
              <w:rPr>
                <w:rFonts w:ascii="Arial" w:cs="Arial" w:eastAsia="Arial" w:hAnsi="Arial"/>
                <w:sz w:val="10"/>
                <w:szCs w:val="10"/>
                <w:b w:val="1"/>
                <w:bCs w:val="1"/>
                <w:color w:val="auto"/>
              </w:rPr>
              <w:t>SECURITIES REGISTERED PURSUANT TO SECTION 12(b) OF THE ACT:</w:t>
            </w:r>
          </w:p>
        </w:tc>
        <w:tc>
          <w:tcPr>
            <w:tcW w:w="1880" w:type="dxa"/>
            <w:vAlign w:val="bottom"/>
          </w:tcPr>
          <w:p>
            <w:pPr>
              <w:spacing w:after="0"/>
              <w:rPr>
                <w:sz w:val="14"/>
                <w:szCs w:val="14"/>
                <w:color w:val="auto"/>
              </w:rPr>
            </w:pPr>
          </w:p>
        </w:tc>
      </w:tr>
      <w:tr>
        <w:trPr>
          <w:trHeight w:val="127"/>
        </w:trPr>
        <w:tc>
          <w:tcPr>
            <w:tcW w:w="1820" w:type="dxa"/>
            <w:vAlign w:val="bottom"/>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Title of each class:</w:t>
            </w: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Trading Symbol:</w:t>
            </w:r>
          </w:p>
        </w:tc>
        <w:tc>
          <w:tcPr>
            <w:tcW w:w="2140" w:type="dxa"/>
            <w:vAlign w:val="bottom"/>
          </w:tcPr>
          <w:p>
            <w:pPr>
              <w:spacing w:after="0"/>
              <w:rPr>
                <w:sz w:val="11"/>
                <w:szCs w:val="1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2"/>
              </w:rPr>
              <w:t>Name of each exchange on which registered:</w:t>
            </w:r>
          </w:p>
        </w:tc>
      </w:tr>
      <w:tr>
        <w:trPr>
          <w:trHeight w:val="137"/>
        </w:trPr>
        <w:tc>
          <w:tcPr>
            <w:tcW w:w="4160" w:type="dxa"/>
            <w:vAlign w:val="bottom"/>
            <w:gridSpan w:val="3"/>
          </w:tcPr>
          <w:p>
            <w:pPr>
              <w:jc w:val="center"/>
              <w:ind w:left="212"/>
              <w:spacing w:after="0"/>
              <w:rPr>
                <w:sz w:val="20"/>
                <w:szCs w:val="20"/>
                <w:color w:val="auto"/>
              </w:rPr>
            </w:pPr>
            <w:r>
              <w:rPr>
                <w:rFonts w:ascii="Arial" w:cs="Arial" w:eastAsia="Arial" w:hAnsi="Arial"/>
                <w:sz w:val="10"/>
                <w:szCs w:val="10"/>
                <w:b w:val="1"/>
                <w:bCs w:val="1"/>
                <w:color w:val="auto"/>
                <w:w w:val="93"/>
              </w:rPr>
              <w:t>Common Stock, par value $0.01 per share</w:t>
            </w:r>
          </w:p>
        </w:tc>
        <w:tc>
          <w:tcPr>
            <w:tcW w:w="1120" w:type="dxa"/>
            <w:vAlign w:val="bottom"/>
          </w:tcPr>
          <w:p>
            <w:pPr>
              <w:spacing w:after="0"/>
              <w:rPr>
                <w:sz w:val="11"/>
                <w:szCs w:val="11"/>
                <w:color w:val="auto"/>
              </w:rPr>
            </w:pPr>
          </w:p>
        </w:tc>
        <w:tc>
          <w:tcPr>
            <w:tcW w:w="2860" w:type="dxa"/>
            <w:vAlign w:val="bottom"/>
            <w:gridSpan w:val="2"/>
          </w:tcPr>
          <w:p>
            <w:pPr>
              <w:jc w:val="center"/>
              <w:ind w:right="2140"/>
              <w:spacing w:after="0"/>
              <w:rPr>
                <w:sz w:val="20"/>
                <w:szCs w:val="20"/>
                <w:color w:val="auto"/>
              </w:rPr>
            </w:pPr>
            <w:r>
              <w:rPr>
                <w:rFonts w:ascii="Arial" w:cs="Arial" w:eastAsia="Arial" w:hAnsi="Arial"/>
                <w:sz w:val="10"/>
                <w:szCs w:val="10"/>
                <w:b w:val="1"/>
                <w:bCs w:val="1"/>
                <w:color w:val="auto"/>
              </w:rPr>
              <w:t>WHG</w:t>
            </w:r>
          </w:p>
        </w:tc>
        <w:tc>
          <w:tcPr>
            <w:tcW w:w="1880" w:type="dxa"/>
            <w:vAlign w:val="bottom"/>
          </w:tcPr>
          <w:p>
            <w:pPr>
              <w:ind w:left="340"/>
              <w:spacing w:after="0"/>
              <w:rPr>
                <w:sz w:val="20"/>
                <w:szCs w:val="20"/>
                <w:color w:val="auto"/>
              </w:rPr>
            </w:pPr>
            <w:r>
              <w:rPr>
                <w:rFonts w:ascii="Arial" w:cs="Arial" w:eastAsia="Arial" w:hAnsi="Arial"/>
                <w:sz w:val="10"/>
                <w:szCs w:val="10"/>
                <w:b w:val="1"/>
                <w:bCs w:val="1"/>
                <w:color w:val="auto"/>
              </w:rPr>
              <w:t>New York Stock Exchange</w:t>
            </w:r>
          </w:p>
        </w:tc>
      </w:tr>
      <w:tr>
        <w:trPr>
          <w:trHeight w:val="228"/>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40" w:type="dxa"/>
            <w:vAlign w:val="bottom"/>
            <w:gridSpan w:val="4"/>
          </w:tcPr>
          <w:p>
            <w:pPr>
              <w:jc w:val="center"/>
              <w:ind w:left="488"/>
              <w:spacing w:after="0"/>
              <w:rPr>
                <w:sz w:val="20"/>
                <w:szCs w:val="20"/>
                <w:color w:val="auto"/>
              </w:rPr>
            </w:pPr>
            <w:r>
              <w:rPr>
                <w:rFonts w:ascii="Arial" w:cs="Arial" w:eastAsia="Arial" w:hAnsi="Arial"/>
                <w:sz w:val="10"/>
                <w:szCs w:val="10"/>
                <w:b w:val="1"/>
                <w:bCs w:val="1"/>
                <w:color w:val="auto"/>
              </w:rPr>
              <w:t>SECURITIES REGISTERED PURSUANT TO SECTION 12(g) OF THE ACT:</w:t>
            </w:r>
          </w:p>
        </w:tc>
        <w:tc>
          <w:tcPr>
            <w:tcW w:w="1880" w:type="dxa"/>
            <w:vAlign w:val="bottom"/>
          </w:tcPr>
          <w:p>
            <w:pPr>
              <w:spacing w:after="0"/>
              <w:rPr>
                <w:sz w:val="19"/>
                <w:szCs w:val="19"/>
                <w:color w:val="auto"/>
              </w:rPr>
            </w:pPr>
          </w:p>
        </w:tc>
      </w:tr>
      <w:tr>
        <w:trPr>
          <w:trHeight w:val="125"/>
        </w:trPr>
        <w:tc>
          <w:tcPr>
            <w:tcW w:w="1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gridSpan w:val="2"/>
          </w:tcPr>
          <w:p>
            <w:pPr>
              <w:jc w:val="center"/>
              <w:ind w:right="2140"/>
              <w:spacing w:after="0"/>
              <w:rPr>
                <w:sz w:val="20"/>
                <w:szCs w:val="20"/>
                <w:color w:val="auto"/>
              </w:rPr>
            </w:pPr>
            <w:r>
              <w:rPr>
                <w:rFonts w:ascii="Arial" w:cs="Arial" w:eastAsia="Arial" w:hAnsi="Arial"/>
                <w:sz w:val="10"/>
                <w:szCs w:val="10"/>
                <w:b w:val="1"/>
                <w:bCs w:val="1"/>
                <w:color w:val="auto"/>
                <w:w w:val="95"/>
              </w:rPr>
              <w:t>None</w:t>
            </w:r>
          </w:p>
        </w:tc>
        <w:tc>
          <w:tcPr>
            <w:tcW w:w="1880" w:type="dxa"/>
            <w:vAlign w:val="bottom"/>
          </w:tcPr>
          <w:p>
            <w:pPr>
              <w:spacing w:after="0"/>
              <w:rPr>
                <w:sz w:val="10"/>
                <w:szCs w:val="10"/>
                <w:color w:val="auto"/>
              </w:rPr>
            </w:pPr>
          </w:p>
        </w:tc>
      </w:tr>
      <w:tr>
        <w:trPr>
          <w:trHeight w:val="100"/>
        </w:trPr>
        <w:tc>
          <w:tcPr>
            <w:tcW w:w="1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980" w:type="dxa"/>
            <w:vAlign w:val="bottom"/>
            <w:gridSpan w:val="3"/>
          </w:tcPr>
          <w:p>
            <w:pPr>
              <w:jc w:val="center"/>
              <w:ind w:right="1000"/>
              <w:spacing w:after="0"/>
              <w:rPr>
                <w:sz w:val="20"/>
                <w:szCs w:val="20"/>
                <w:color w:val="auto"/>
              </w:rPr>
            </w:pPr>
            <w:r>
              <w:rPr>
                <w:rFonts w:ascii="Arial" w:cs="Arial" w:eastAsia="Arial" w:hAnsi="Arial"/>
                <w:sz w:val="8"/>
                <w:szCs w:val="8"/>
                <w:b w:val="1"/>
                <w:bCs w:val="1"/>
                <w:color w:val="auto"/>
                <w:w w:val="88"/>
              </w:rPr>
              <w:t>____________________________________________________________________________</w:t>
            </w:r>
          </w:p>
        </w:tc>
        <w:tc>
          <w:tcPr>
            <w:tcW w:w="1880" w:type="dxa"/>
            <w:vAlign w:val="bottom"/>
          </w:tcPr>
          <w:p>
            <w:pPr>
              <w:spacing w:after="0"/>
              <w:rPr>
                <w:sz w:val="8"/>
                <w:szCs w:val="8"/>
                <w:color w:val="auto"/>
              </w:rPr>
            </w:pPr>
          </w:p>
        </w:tc>
      </w:tr>
      <w:tr>
        <w:trPr>
          <w:trHeight w:val="151"/>
        </w:trPr>
        <w:tc>
          <w:tcPr>
            <w:tcW w:w="4160" w:type="dxa"/>
            <w:vAlign w:val="bottom"/>
            <w:gridSpan w:val="3"/>
          </w:tcPr>
          <w:p>
            <w:pPr>
              <w:spacing w:after="0"/>
              <w:rPr>
                <w:sz w:val="20"/>
                <w:szCs w:val="20"/>
                <w:color w:val="auto"/>
              </w:rPr>
            </w:pPr>
            <w:r>
              <w:rPr>
                <w:rFonts w:ascii="Arial" w:cs="Arial" w:eastAsia="Arial" w:hAnsi="Arial"/>
                <w:sz w:val="9"/>
                <w:szCs w:val="9"/>
                <w:color w:val="auto"/>
                <w:w w:val="91"/>
              </w:rPr>
              <w:t>Indicate by check mark if registrant is a well-known seasoned issuer, as defined in Rule 405 of the Securities Act.</w:t>
            </w:r>
          </w:p>
        </w:tc>
        <w:tc>
          <w:tcPr>
            <w:tcW w:w="3980" w:type="dxa"/>
            <w:vAlign w:val="bottom"/>
            <w:gridSpan w:val="3"/>
          </w:tcPr>
          <w:p>
            <w:pPr>
              <w:ind w:left="80"/>
              <w:spacing w:after="0" w:line="104" w:lineRule="exact"/>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tc>
        <w:tc>
          <w:tcPr>
            <w:tcW w:w="1880" w:type="dxa"/>
            <w:vAlign w:val="bottom"/>
          </w:tcPr>
          <w:p>
            <w:pPr>
              <w:spacing w:after="0"/>
              <w:rPr>
                <w:sz w:val="13"/>
                <w:szCs w:val="13"/>
                <w:color w:val="auto"/>
              </w:rPr>
            </w:pPr>
          </w:p>
        </w:tc>
      </w:tr>
      <w:tr>
        <w:trPr>
          <w:trHeight w:val="167"/>
        </w:trPr>
        <w:tc>
          <w:tcPr>
            <w:tcW w:w="8140" w:type="dxa"/>
            <w:vAlign w:val="bottom"/>
            <w:gridSpan w:val="6"/>
          </w:tcPr>
          <w:p>
            <w:pPr>
              <w:spacing w:after="0" w:line="104" w:lineRule="exact"/>
              <w:rPr>
                <w:sz w:val="20"/>
                <w:szCs w:val="20"/>
                <w:color w:val="auto"/>
              </w:rPr>
            </w:pPr>
            <w:r>
              <w:rPr>
                <w:rFonts w:ascii="Arial" w:cs="Arial" w:eastAsia="Arial" w:hAnsi="Arial"/>
                <w:sz w:val="9"/>
                <w:szCs w:val="9"/>
                <w:color w:val="auto"/>
              </w:rPr>
              <w:t xml:space="preserve">Indicate by check mark if the registrant is not required to file reports pursuant to Section 13 or Section 15(d) of the Exchange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tc>
        <w:tc>
          <w:tcPr>
            <w:tcW w:w="1880" w:type="dxa"/>
            <w:vAlign w:val="bottom"/>
          </w:tcPr>
          <w:p>
            <w:pPr>
              <w:spacing w:after="0"/>
              <w:rPr>
                <w:sz w:val="14"/>
                <w:szCs w:val="14"/>
                <w:color w:val="auto"/>
              </w:rPr>
            </w:pPr>
          </w:p>
        </w:tc>
      </w:tr>
    </w:tbl>
    <w:p>
      <w:pPr>
        <w:spacing w:after="0" w:line="31" w:lineRule="exact"/>
        <w:rPr>
          <w:sz w:val="24"/>
          <w:szCs w:val="24"/>
          <w:color w:val="auto"/>
        </w:rPr>
      </w:pPr>
    </w:p>
    <w:p>
      <w:pPr>
        <w:ind w:right="180"/>
        <w:spacing w:after="0" w:line="117" w:lineRule="exact"/>
        <w:rPr>
          <w:sz w:val="20"/>
          <w:szCs w:val="20"/>
          <w:color w:val="auto"/>
        </w:rPr>
      </w:pPr>
      <w:r>
        <w:rPr>
          <w:rFonts w:ascii="Arial" w:cs="Arial" w:eastAsia="Arial" w:hAnsi="Arial"/>
          <w:sz w:val="9"/>
          <w:szCs w:val="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16" w:lineRule="exact"/>
        <w:rPr>
          <w:sz w:val="24"/>
          <w:szCs w:val="24"/>
          <w:color w:val="auto"/>
        </w:rPr>
      </w:pPr>
    </w:p>
    <w:p>
      <w:pPr>
        <w:spacing w:after="0" w:line="104" w:lineRule="exact"/>
        <w:tabs>
          <w:tab w:leader="none" w:pos="10620" w:val="left"/>
          <w:tab w:leader="none" w:pos="10960" w:val="left"/>
        </w:tabs>
        <w:rPr>
          <w:sz w:val="20"/>
          <w:szCs w:val="20"/>
          <w:color w:val="auto"/>
        </w:rPr>
      </w:pPr>
      <w:r>
        <w:rPr>
          <w:rFonts w:ascii="Arial" w:cs="Arial" w:eastAsia="Arial" w:hAnsi="Arial"/>
          <w:sz w:val="8"/>
          <w:szCs w:val="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w:t>
      </w:r>
      <w:r>
        <w:rPr>
          <w:sz w:val="20"/>
          <w:szCs w:val="20"/>
          <w:color w:val="auto"/>
        </w:rPr>
        <w:tab/>
      </w: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rFonts w:ascii="Arial" w:cs="Arial" w:eastAsia="Arial" w:hAnsi="Arial"/>
          <w:sz w:val="9"/>
          <w:szCs w:val="9"/>
          <w:color w:val="auto"/>
        </w:rPr>
        <w:tab/>
        <w:t xml:space="preserve">No </w:t>
      </w:r>
      <w:r>
        <w:rPr>
          <w:rFonts w:ascii="MS PGothic" w:cs="MS PGothic" w:eastAsia="MS PGothic" w:hAnsi="MS PGothic"/>
          <w:sz w:val="9"/>
          <w:szCs w:val="9"/>
          <w:color w:val="auto"/>
        </w:rPr>
        <w:t>☐</w:t>
      </w:r>
    </w:p>
    <w:p>
      <w:pPr>
        <w:spacing w:after="0" w:line="79" w:lineRule="exact"/>
        <w:rPr>
          <w:sz w:val="24"/>
          <w:szCs w:val="24"/>
          <w:color w:val="auto"/>
        </w:rPr>
      </w:pPr>
    </w:p>
    <w:p>
      <w:pPr>
        <w:spacing w:after="0" w:line="266" w:lineRule="auto"/>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41"/>
        </w:trPr>
        <w:tc>
          <w:tcPr>
            <w:tcW w:w="1960" w:type="dxa"/>
            <w:vAlign w:val="bottom"/>
          </w:tcPr>
          <w:p>
            <w:pPr>
              <w:spacing w:after="0"/>
              <w:rPr>
                <w:sz w:val="20"/>
                <w:szCs w:val="20"/>
                <w:color w:val="auto"/>
              </w:rPr>
            </w:pPr>
            <w:r>
              <w:rPr>
                <w:rFonts w:ascii="Arial" w:cs="Arial" w:eastAsia="Arial" w:hAnsi="Arial"/>
                <w:sz w:val="9"/>
                <w:szCs w:val="9"/>
                <w:color w:val="auto"/>
              </w:rPr>
              <w:t>Large accelerated filer</w:t>
            </w:r>
          </w:p>
        </w:tc>
        <w:tc>
          <w:tcPr>
            <w:tcW w:w="3480" w:type="dxa"/>
            <w:vAlign w:val="bottom"/>
          </w:tcPr>
          <w:p>
            <w:pPr>
              <w:ind w:left="1160"/>
              <w:spacing w:after="0" w:line="91" w:lineRule="exact"/>
              <w:rPr>
                <w:sz w:val="20"/>
                <w:szCs w:val="20"/>
                <w:color w:val="auto"/>
              </w:rPr>
            </w:pPr>
            <w:r>
              <w:rPr>
                <w:rFonts w:ascii="MS PGothic" w:cs="MS PGothic" w:eastAsia="MS PGothic" w:hAnsi="MS PGothic"/>
                <w:sz w:val="9"/>
                <w:szCs w:val="9"/>
                <w:color w:val="auto"/>
              </w:rPr>
              <w:t>☐</w:t>
            </w:r>
          </w:p>
        </w:tc>
        <w:tc>
          <w:tcPr>
            <w:tcW w:w="4260" w:type="dxa"/>
            <w:vAlign w:val="bottom"/>
          </w:tcPr>
          <w:p>
            <w:pPr>
              <w:ind w:left="2240"/>
              <w:spacing w:after="0"/>
              <w:rPr>
                <w:sz w:val="20"/>
                <w:szCs w:val="20"/>
                <w:color w:val="auto"/>
              </w:rPr>
            </w:pPr>
            <w:r>
              <w:rPr>
                <w:rFonts w:ascii="Arial" w:cs="Arial" w:eastAsia="Arial" w:hAnsi="Arial"/>
                <w:sz w:val="9"/>
                <w:szCs w:val="9"/>
                <w:color w:val="auto"/>
              </w:rPr>
              <w:t>Accelerated filer</w:t>
            </w:r>
          </w:p>
        </w:tc>
        <w:tc>
          <w:tcPr>
            <w:tcW w:w="1100" w:type="dxa"/>
            <w:vAlign w:val="bottom"/>
          </w:tcPr>
          <w:p>
            <w:pPr>
              <w:ind w:left="1020"/>
              <w:spacing w:after="0" w:line="81" w:lineRule="exact"/>
              <w:rPr>
                <w:sz w:val="20"/>
                <w:szCs w:val="20"/>
                <w:color w:val="auto"/>
              </w:rPr>
            </w:pPr>
            <w:r>
              <w:rPr>
                <w:rFonts w:ascii="MS PGothic" w:cs="MS PGothic" w:eastAsia="MS PGothic" w:hAnsi="MS PGothic"/>
                <w:sz w:val="8"/>
                <w:szCs w:val="8"/>
                <w:color w:val="auto"/>
                <w:w w:val="74"/>
              </w:rPr>
              <w:t>☐</w:t>
            </w:r>
          </w:p>
        </w:tc>
      </w:tr>
      <w:tr>
        <w:trPr>
          <w:trHeight w:val="255"/>
        </w:trPr>
        <w:tc>
          <w:tcPr>
            <w:tcW w:w="1960" w:type="dxa"/>
            <w:vAlign w:val="bottom"/>
          </w:tcPr>
          <w:p>
            <w:pPr>
              <w:spacing w:after="0"/>
              <w:rPr>
                <w:sz w:val="20"/>
                <w:szCs w:val="20"/>
                <w:color w:val="auto"/>
              </w:rPr>
            </w:pPr>
            <w:r>
              <w:rPr>
                <w:rFonts w:ascii="Arial" w:cs="Arial" w:eastAsia="Arial" w:hAnsi="Arial"/>
                <w:sz w:val="9"/>
                <w:szCs w:val="9"/>
                <w:color w:val="auto"/>
              </w:rPr>
              <w:t>Non-accelerated filer</w:t>
            </w:r>
          </w:p>
        </w:tc>
        <w:tc>
          <w:tcPr>
            <w:tcW w:w="3480" w:type="dxa"/>
            <w:vAlign w:val="bottom"/>
          </w:tcPr>
          <w:p>
            <w:pPr>
              <w:ind w:left="1160"/>
              <w:spacing w:after="0" w:line="91" w:lineRule="exact"/>
              <w:rPr>
                <w:sz w:val="20"/>
                <w:szCs w:val="20"/>
                <w:color w:val="auto"/>
              </w:rPr>
            </w:pPr>
            <w:r>
              <w:rPr>
                <w:rFonts w:ascii="MS PGothic" w:cs="MS PGothic" w:eastAsia="MS PGothic" w:hAnsi="MS PGothic"/>
                <w:sz w:val="9"/>
                <w:szCs w:val="9"/>
                <w:color w:val="auto"/>
              </w:rPr>
              <w:t>☒</w:t>
            </w:r>
          </w:p>
        </w:tc>
        <w:tc>
          <w:tcPr>
            <w:tcW w:w="4260" w:type="dxa"/>
            <w:vAlign w:val="bottom"/>
          </w:tcPr>
          <w:p>
            <w:pPr>
              <w:ind w:left="2240"/>
              <w:spacing w:after="0"/>
              <w:rPr>
                <w:sz w:val="20"/>
                <w:szCs w:val="20"/>
                <w:color w:val="auto"/>
              </w:rPr>
            </w:pPr>
            <w:r>
              <w:rPr>
                <w:rFonts w:ascii="Arial" w:cs="Arial" w:eastAsia="Arial" w:hAnsi="Arial"/>
                <w:sz w:val="9"/>
                <w:szCs w:val="9"/>
                <w:color w:val="auto"/>
              </w:rPr>
              <w:t>Smaller reporting company</w:t>
            </w:r>
          </w:p>
        </w:tc>
        <w:tc>
          <w:tcPr>
            <w:tcW w:w="1100" w:type="dxa"/>
            <w:vAlign w:val="bottom"/>
          </w:tcPr>
          <w:p>
            <w:pPr>
              <w:ind w:left="1020"/>
              <w:spacing w:after="0" w:line="81" w:lineRule="exact"/>
              <w:rPr>
                <w:sz w:val="20"/>
                <w:szCs w:val="20"/>
                <w:color w:val="auto"/>
              </w:rPr>
            </w:pPr>
            <w:r>
              <w:rPr>
                <w:rFonts w:ascii="MS PGothic" w:cs="MS PGothic" w:eastAsia="MS PGothic" w:hAnsi="MS PGothic"/>
                <w:sz w:val="8"/>
                <w:szCs w:val="8"/>
                <w:color w:val="auto"/>
                <w:w w:val="74"/>
              </w:rPr>
              <w:t>☒</w:t>
            </w:r>
          </w:p>
        </w:tc>
      </w:tr>
      <w:tr>
        <w:trPr>
          <w:trHeight w:val="167"/>
        </w:trPr>
        <w:tc>
          <w:tcPr>
            <w:tcW w:w="19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60" w:type="dxa"/>
            <w:vAlign w:val="bottom"/>
          </w:tcPr>
          <w:p>
            <w:pPr>
              <w:ind w:left="2240"/>
              <w:spacing w:after="0"/>
              <w:rPr>
                <w:sz w:val="20"/>
                <w:szCs w:val="20"/>
                <w:color w:val="auto"/>
              </w:rPr>
            </w:pPr>
            <w:r>
              <w:rPr>
                <w:rFonts w:ascii="Arial" w:cs="Arial" w:eastAsia="Arial" w:hAnsi="Arial"/>
                <w:sz w:val="9"/>
                <w:szCs w:val="9"/>
                <w:color w:val="auto"/>
              </w:rPr>
              <w:t>Emerging growth company</w:t>
            </w:r>
          </w:p>
        </w:tc>
        <w:tc>
          <w:tcPr>
            <w:tcW w:w="1100" w:type="dxa"/>
            <w:vAlign w:val="bottom"/>
          </w:tcPr>
          <w:p>
            <w:pPr>
              <w:ind w:left="102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94"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69" w:lineRule="exact"/>
        <w:rPr>
          <w:sz w:val="24"/>
          <w:szCs w:val="24"/>
          <w:color w:val="auto"/>
        </w:rPr>
      </w:pPr>
    </w:p>
    <w:p>
      <w:pPr>
        <w:ind w:right="20"/>
        <w:spacing w:after="0" w:line="117" w:lineRule="exact"/>
        <w:rPr>
          <w:sz w:val="20"/>
          <w:szCs w:val="20"/>
          <w:color w:val="auto"/>
        </w:rPr>
      </w:pPr>
      <w:r>
        <w:rPr>
          <w:rFonts w:ascii="Arial" w:cs="Arial" w:eastAsia="Arial" w:hAnsi="Arial"/>
          <w:sz w:val="9"/>
          <w:szCs w:val="9"/>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9"/>
          <w:szCs w:val="9"/>
          <w:color w:val="auto"/>
        </w:rPr>
        <w:t>☐</w:t>
      </w:r>
    </w:p>
    <w:p>
      <w:pPr>
        <w:spacing w:after="0" w:line="16" w:lineRule="exact"/>
        <w:rPr>
          <w:sz w:val="24"/>
          <w:szCs w:val="24"/>
          <w:color w:val="auto"/>
        </w:rPr>
      </w:pPr>
    </w:p>
    <w:p>
      <w:pPr>
        <w:spacing w:after="0" w:line="104" w:lineRule="exact"/>
        <w:tabs>
          <w:tab w:leader="none" w:pos="4220" w:val="left"/>
          <w:tab w:leader="none" w:pos="4560" w:val="left"/>
        </w:tabs>
        <w:rPr>
          <w:sz w:val="20"/>
          <w:szCs w:val="20"/>
          <w:color w:val="auto"/>
        </w:rPr>
      </w:pPr>
      <w:r>
        <w:rPr>
          <w:rFonts w:ascii="Arial" w:cs="Arial" w:eastAsia="Arial" w:hAnsi="Arial"/>
          <w:sz w:val="9"/>
          <w:szCs w:val="9"/>
          <w:color w:val="auto"/>
        </w:rPr>
        <w:t>Indicate by check mark whether the registrant is a shell company (as defined in Rule 12b-2 of the Exchange Act).</w:t>
        <w:tab/>
        <w:t xml:space="preserve">Yes </w:t>
      </w:r>
      <w:r>
        <w:rPr>
          <w:rFonts w:ascii="MS PGothic" w:cs="MS PGothic" w:eastAsia="MS PGothic" w:hAnsi="MS PGothic"/>
          <w:sz w:val="9"/>
          <w:szCs w:val="9"/>
          <w:color w:val="auto"/>
        </w:rPr>
        <w:t>☐</w:t>
      </w:r>
      <w:r>
        <w:rPr>
          <w:rFonts w:ascii="Arial" w:cs="Arial" w:eastAsia="Arial" w:hAnsi="Arial"/>
          <w:sz w:val="9"/>
          <w:szCs w:val="9"/>
          <w:color w:val="auto"/>
        </w:rPr>
        <w:tab/>
        <w:t xml:space="preserve">No </w:t>
      </w:r>
      <w:r>
        <w:rPr>
          <w:rFonts w:ascii="MS PGothic" w:cs="MS PGothic" w:eastAsia="MS PGothic" w:hAnsi="MS PGothic"/>
          <w:sz w:val="9"/>
          <w:szCs w:val="9"/>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8"/>
          <w:szCs w:val="8"/>
          <w:color w:val="auto"/>
        </w:rPr>
        <w:t>The aggregate market value on June 30, 2021 of the voting and non-voting common equity held by non-affiliates of the registrant was . For purposes of this calculation, the registrant has assumed that stockholders that are not officers or directors of the registrant are not affiliates of the registrant.</w:t>
      </w:r>
    </w:p>
    <w:p>
      <w:pPr>
        <w:spacing w:after="0" w:line="65" w:lineRule="exact"/>
        <w:rPr>
          <w:sz w:val="24"/>
          <w:szCs w:val="24"/>
          <w:color w:val="auto"/>
        </w:rPr>
      </w:pPr>
    </w:p>
    <w:p>
      <w:pPr>
        <w:spacing w:after="0"/>
        <w:rPr>
          <w:sz w:val="20"/>
          <w:szCs w:val="20"/>
          <w:color w:val="auto"/>
        </w:rPr>
      </w:pPr>
      <w:r>
        <w:rPr>
          <w:rFonts w:ascii="Arial" w:cs="Arial" w:eastAsia="Arial" w:hAnsi="Arial"/>
          <w:sz w:val="9"/>
          <w:szCs w:val="9"/>
          <w:color w:val="auto"/>
        </w:rPr>
        <w:t>The number of shares of registrant’s Common Stock, par value $0.01 per share, outstanding as of February 24, 2022: 8,250,236.</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Arial" w:cs="Arial" w:eastAsia="Arial" w:hAnsi="Arial"/>
          <w:sz w:val="8"/>
          <w:szCs w:val="8"/>
          <w:color w:val="auto"/>
        </w:rPr>
        <w:t>Selected portions of the registrant’s definitive Proxy Statement for the 2022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626745</wp:posOffset>
            </wp:positionV>
            <wp:extent cx="719518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518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wp:posOffset>
            </wp:positionV>
            <wp:extent cx="71266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29210</wp:posOffset>
            </wp:positionV>
            <wp:extent cx="71266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6350"/>
                    </a:xfrm>
                    <a:prstGeom prst="rect">
                      <a:avLst/>
                    </a:prstGeom>
                    <a:noFill/>
                  </pic:spPr>
                </pic:pic>
              </a:graphicData>
            </a:graphic>
          </wp:anchor>
        </w:drawing>
      </w:r>
    </w:p>
    <w:p>
      <w:pPr>
        <w:sectPr>
          <w:pgSz w:w="11900" w:h="16838" w:orient="portrait"/>
          <w:cols w:equalWidth="0" w:num="1">
            <w:col w:w="11240"/>
          </w:cols>
          <w:pgMar w:left="300" w:top="95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40" w:type="dxa"/>
            <w:vAlign w:val="bottom"/>
            <w:gridSpan w:val="6"/>
          </w:tcPr>
          <w:p>
            <w:pPr>
              <w:jc w:val="center"/>
              <w:ind w:right="3280"/>
              <w:spacing w:after="0"/>
              <w:rPr>
                <w:sz w:val="20"/>
                <w:szCs w:val="20"/>
                <w:color w:val="auto"/>
              </w:rPr>
            </w:pPr>
            <w:r>
              <w:rPr>
                <w:rFonts w:ascii="Arial" w:cs="Arial" w:eastAsia="Arial" w:hAnsi="Arial"/>
                <w:sz w:val="13"/>
                <w:szCs w:val="13"/>
                <w:b w:val="1"/>
                <w:bCs w:val="1"/>
                <w:color w:val="auto"/>
              </w:rPr>
              <w:t>WESTWOOD HOLDINGS GROUP, INC.</w:t>
            </w:r>
          </w:p>
        </w:tc>
        <w:tc>
          <w:tcPr>
            <w:tcW w:w="900" w:type="dxa"/>
            <w:vAlign w:val="bottom"/>
          </w:tcPr>
          <w:p>
            <w:pPr>
              <w:spacing w:after="0"/>
              <w:rPr>
                <w:sz w:val="14"/>
                <w:szCs w:val="14"/>
                <w:color w:val="auto"/>
              </w:rPr>
            </w:pPr>
          </w:p>
        </w:tc>
      </w:tr>
      <w:tr>
        <w:trPr>
          <w:trHeight w:val="235"/>
        </w:trPr>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80" w:type="dxa"/>
            <w:vAlign w:val="bottom"/>
            <w:gridSpan w:val="5"/>
          </w:tcPr>
          <w:p>
            <w:pPr>
              <w:jc w:val="center"/>
              <w:ind w:right="4160"/>
              <w:spacing w:after="0"/>
              <w:rPr>
                <w:sz w:val="20"/>
                <w:szCs w:val="20"/>
                <w:color w:val="auto"/>
              </w:rPr>
            </w:pPr>
            <w:r>
              <w:rPr>
                <w:rFonts w:ascii="Arial" w:cs="Arial" w:eastAsia="Arial" w:hAnsi="Arial"/>
                <w:sz w:val="13"/>
                <w:szCs w:val="13"/>
                <w:b w:val="1"/>
                <w:bCs w:val="1"/>
                <w:color w:val="auto"/>
                <w:w w:val="94"/>
              </w:rPr>
              <w:t>Index</w:t>
            </w:r>
          </w:p>
        </w:tc>
        <w:tc>
          <w:tcPr>
            <w:tcW w:w="900" w:type="dxa"/>
            <w:vAlign w:val="bottom"/>
          </w:tcPr>
          <w:p>
            <w:pPr>
              <w:spacing w:after="0"/>
              <w:rPr>
                <w:sz w:val="20"/>
                <w:szCs w:val="20"/>
                <w:color w:val="auto"/>
              </w:rPr>
            </w:pPr>
          </w:p>
        </w:tc>
      </w:tr>
      <w:tr>
        <w:trPr>
          <w:trHeight w:val="335"/>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PAGE</w:t>
            </w:r>
          </w:p>
        </w:tc>
      </w:tr>
      <w:tr>
        <w:trPr>
          <w:trHeight w:val="136"/>
        </w:trPr>
        <w:tc>
          <w:tcPr>
            <w:tcW w:w="460" w:type="dxa"/>
            <w:vAlign w:val="bottom"/>
            <w:tcBorders>
              <w:bottom w:val="single" w:sz="8" w:color="0000FF"/>
            </w:tcBorders>
            <w:gridSpan w:val="2"/>
          </w:tcPr>
          <w:p>
            <w:pPr>
              <w:spacing w:after="0" w:line="136" w:lineRule="exact"/>
              <w:rPr>
                <w:rFonts w:ascii="Arial" w:cs="Arial" w:eastAsia="Arial" w:hAnsi="Arial"/>
                <w:sz w:val="13"/>
                <w:szCs w:val="13"/>
                <w:b w:val="1"/>
                <w:bCs w:val="1"/>
                <w:color w:val="0000FF"/>
                <w:w w:val="93"/>
              </w:rPr>
            </w:pPr>
            <w:hyperlink w:anchor="page2">
              <w:r>
                <w:rPr>
                  <w:rFonts w:ascii="Arial" w:cs="Arial" w:eastAsia="Arial" w:hAnsi="Arial"/>
                  <w:sz w:val="13"/>
                  <w:szCs w:val="13"/>
                  <w:b w:val="1"/>
                  <w:bCs w:val="1"/>
                  <w:color w:val="0000FF"/>
                  <w:w w:val="93"/>
                </w:rPr>
                <w:t>PART I:</w:t>
              </w:r>
            </w:hyperlink>
          </w:p>
        </w:tc>
        <w:tc>
          <w:tcPr>
            <w:tcW w:w="14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3">
              <w:r>
                <w:rPr>
                  <w:rFonts w:ascii="Arial" w:cs="Arial" w:eastAsia="Arial" w:hAnsi="Arial"/>
                  <w:sz w:val="13"/>
                  <w:szCs w:val="13"/>
                  <w:b w:val="1"/>
                  <w:bCs w:val="1"/>
                  <w:color w:val="0000FF"/>
                  <w:w w:val="89"/>
                </w:rPr>
                <w:t>Item</w:t>
              </w:r>
            </w:hyperlink>
          </w:p>
        </w:tc>
        <w:tc>
          <w:tcPr>
            <w:tcW w:w="120" w:type="dxa"/>
            <w:vAlign w:val="bottom"/>
            <w:tcBorders>
              <w:bottom w:val="single" w:sz="8" w:color="0000FF"/>
            </w:tcBorders>
          </w:tcPr>
          <w:p>
            <w:pPr>
              <w:spacing w:after="0" w:line="147" w:lineRule="exact"/>
              <w:rPr>
                <w:rFonts w:ascii="Arial" w:cs="Arial" w:eastAsia="Arial" w:hAnsi="Arial"/>
                <w:sz w:val="13"/>
                <w:szCs w:val="13"/>
                <w:b w:val="1"/>
                <w:bCs w:val="1"/>
                <w:color w:val="0000FF"/>
                <w:w w:val="91"/>
              </w:rPr>
            </w:pPr>
            <w:hyperlink w:anchor="page3">
              <w:r>
                <w:rPr>
                  <w:rFonts w:ascii="Arial" w:cs="Arial" w:eastAsia="Arial" w:hAnsi="Arial"/>
                  <w:sz w:val="13"/>
                  <w:szCs w:val="13"/>
                  <w:b w:val="1"/>
                  <w:bCs w:val="1"/>
                  <w:color w:val="0000FF"/>
                  <w:w w:val="91"/>
                </w:rPr>
                <w:t>1.</w:t>
              </w:r>
            </w:hyperlink>
          </w:p>
        </w:tc>
        <w:tc>
          <w:tcPr>
            <w:tcW w:w="500" w:type="dxa"/>
            <w:vAlign w:val="bottom"/>
            <w:tcBorders>
              <w:bottom w:val="single" w:sz="8" w:color="0000FF"/>
            </w:tcBorders>
          </w:tcPr>
          <w:p>
            <w:pPr>
              <w:ind w:left="20"/>
              <w:spacing w:after="0" w:line="147" w:lineRule="exact"/>
              <w:rPr>
                <w:rFonts w:ascii="Arial" w:cs="Arial" w:eastAsia="Arial" w:hAnsi="Arial"/>
                <w:sz w:val="13"/>
                <w:szCs w:val="13"/>
                <w:b w:val="1"/>
                <w:bCs w:val="1"/>
                <w:color w:val="0000FF"/>
                <w:w w:val="79"/>
              </w:rPr>
            </w:pPr>
            <w:hyperlink w:anchor="page3">
              <w:r>
                <w:rPr>
                  <w:rFonts w:ascii="Arial" w:cs="Arial" w:eastAsia="Arial" w:hAnsi="Arial"/>
                  <w:sz w:val="13"/>
                  <w:szCs w:val="13"/>
                  <w:b w:val="1"/>
                  <w:bCs w:val="1"/>
                  <w:color w:val="0000FF"/>
                  <w:w w:val="79"/>
                </w:rPr>
                <w:t>Business</w:t>
              </w:r>
            </w:hyperlink>
          </w:p>
        </w:tc>
        <w:tc>
          <w:tcPr>
            <w:tcW w:w="9120" w:type="dxa"/>
            <w:vAlign w:val="bottom"/>
            <w:gridSpan w:val="19"/>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3">
              <w:r>
                <w:rPr>
                  <w:rFonts w:ascii="Arial" w:cs="Arial" w:eastAsia="Arial" w:hAnsi="Arial"/>
                  <w:sz w:val="13"/>
                  <w:szCs w:val="13"/>
                  <w:b w:val="1"/>
                  <w:bCs w:val="1"/>
                  <w:color w:val="auto"/>
                </w:rPr>
                <w:t>1</w:t>
              </w:r>
            </w:hyperlink>
          </w:p>
        </w:tc>
      </w:tr>
      <w:tr>
        <w:trPr>
          <w:trHeight w:val="147"/>
        </w:trPr>
        <w:tc>
          <w:tcPr>
            <w:tcW w:w="320" w:type="dxa"/>
            <w:vAlign w:val="bottom"/>
          </w:tcPr>
          <w:p>
            <w:pPr>
              <w:spacing w:after="0"/>
              <w:rPr>
                <w:sz w:val="12"/>
                <w:szCs w:val="12"/>
                <w:color w:val="auto"/>
              </w:rPr>
            </w:pPr>
          </w:p>
        </w:tc>
        <w:tc>
          <w:tcPr>
            <w:tcW w:w="280" w:type="dxa"/>
            <w:vAlign w:val="bottom"/>
            <w:gridSpan w:val="5"/>
          </w:tcPr>
          <w:p>
            <w:pPr>
              <w:jc w:val="right"/>
              <w:ind w:right="20"/>
              <w:spacing w:after="0" w:line="147" w:lineRule="exact"/>
              <w:rPr>
                <w:rFonts w:ascii="Arial" w:cs="Arial" w:eastAsia="Arial" w:hAnsi="Arial"/>
                <w:sz w:val="13"/>
                <w:szCs w:val="13"/>
                <w:b w:val="1"/>
                <w:bCs w:val="1"/>
                <w:color w:val="0000FF"/>
                <w:w w:val="89"/>
              </w:rPr>
            </w:pPr>
            <w:hyperlink w:anchor="page12">
              <w:r>
                <w:rPr>
                  <w:rFonts w:ascii="Arial" w:cs="Arial" w:eastAsia="Arial" w:hAnsi="Arial"/>
                  <w:sz w:val="13"/>
                  <w:szCs w:val="13"/>
                  <w:b w:val="1"/>
                  <w:bCs w:val="1"/>
                  <w:color w:val="0000FF"/>
                  <w:w w:val="89"/>
                </w:rPr>
                <w:t>Item</w:t>
              </w:r>
            </w:hyperlink>
          </w:p>
        </w:tc>
        <w:tc>
          <w:tcPr>
            <w:tcW w:w="9740" w:type="dxa"/>
            <w:vAlign w:val="bottom"/>
            <w:gridSpan w:val="21"/>
          </w:tcPr>
          <w:p>
            <w:pPr>
              <w:spacing w:after="0" w:line="147" w:lineRule="exact"/>
              <w:rPr>
                <w:rFonts w:ascii="Arial" w:cs="Arial" w:eastAsia="Arial" w:hAnsi="Arial"/>
                <w:sz w:val="13"/>
                <w:szCs w:val="13"/>
                <w:b w:val="1"/>
                <w:bCs w:val="1"/>
                <w:color w:val="0000FF"/>
              </w:rPr>
            </w:pPr>
            <w:hyperlink w:anchor="page12">
              <w:r>
                <w:rPr>
                  <w:rFonts w:ascii="Arial" w:cs="Arial" w:eastAsia="Arial" w:hAnsi="Arial"/>
                  <w:sz w:val="13"/>
                  <w:szCs w:val="13"/>
                  <w:b w:val="1"/>
                  <w:bCs w:val="1"/>
                  <w:color w:val="0000FF"/>
                </w:rPr>
                <w:t>1A. Risk Factors</w:t>
              </w:r>
            </w:hyperlink>
          </w:p>
        </w:tc>
        <w:tc>
          <w:tcPr>
            <w:tcW w:w="900" w:type="dxa"/>
            <w:vAlign w:val="bottom"/>
          </w:tcPr>
          <w:p>
            <w:pPr>
              <w:jc w:val="right"/>
              <w:spacing w:after="0" w:line="147" w:lineRule="exact"/>
              <w:rPr>
                <w:rFonts w:ascii="Arial" w:cs="Arial" w:eastAsia="Arial" w:hAnsi="Arial"/>
                <w:sz w:val="13"/>
                <w:szCs w:val="13"/>
                <w:b w:val="1"/>
                <w:bCs w:val="1"/>
                <w:color w:val="auto"/>
              </w:rPr>
            </w:pPr>
            <w:hyperlink w:anchor="page12">
              <w:r>
                <w:rPr>
                  <w:rFonts w:ascii="Arial" w:cs="Arial" w:eastAsia="Arial" w:hAnsi="Arial"/>
                  <w:sz w:val="13"/>
                  <w:szCs w:val="13"/>
                  <w:b w:val="1"/>
                  <w:bCs w:val="1"/>
                  <w:color w:val="auto"/>
                </w:rPr>
                <w:t>10</w:t>
              </w:r>
            </w:hyperlink>
          </w:p>
        </w:tc>
      </w:tr>
      <w:tr>
        <w:trPr>
          <w:trHeight w:val="20"/>
        </w:trPr>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20">
              <w:r>
                <w:rPr>
                  <w:rFonts w:ascii="Arial" w:cs="Arial" w:eastAsia="Arial" w:hAnsi="Arial"/>
                  <w:sz w:val="13"/>
                  <w:szCs w:val="13"/>
                  <w:b w:val="1"/>
                  <w:bCs w:val="1"/>
                  <w:color w:val="0000FF"/>
                  <w:w w:val="89"/>
                </w:rPr>
                <w:t>Item</w:t>
              </w:r>
            </w:hyperlink>
          </w:p>
        </w:tc>
        <w:tc>
          <w:tcPr>
            <w:tcW w:w="1800" w:type="dxa"/>
            <w:vAlign w:val="bottom"/>
            <w:tcBorders>
              <w:bottom w:val="single" w:sz="8" w:color="0000FF"/>
            </w:tcBorders>
            <w:gridSpan w:val="11"/>
          </w:tcPr>
          <w:p>
            <w:pPr>
              <w:spacing w:after="0" w:line="147" w:lineRule="exact"/>
              <w:rPr>
                <w:rFonts w:ascii="Arial" w:cs="Arial" w:eastAsia="Arial" w:hAnsi="Arial"/>
                <w:sz w:val="13"/>
                <w:szCs w:val="13"/>
                <w:b w:val="1"/>
                <w:bCs w:val="1"/>
                <w:color w:val="0000FF"/>
                <w:w w:val="89"/>
              </w:rPr>
            </w:pPr>
            <w:hyperlink w:anchor="page20">
              <w:r>
                <w:rPr>
                  <w:rFonts w:ascii="Arial" w:cs="Arial" w:eastAsia="Arial" w:hAnsi="Arial"/>
                  <w:sz w:val="13"/>
                  <w:szCs w:val="13"/>
                  <w:b w:val="1"/>
                  <w:bCs w:val="1"/>
                  <w:color w:val="0000FF"/>
                  <w:w w:val="89"/>
                </w:rPr>
                <w:t>1B. Unresolved Staff Comments</w:t>
              </w:r>
            </w:hyperlink>
          </w:p>
        </w:tc>
        <w:tc>
          <w:tcPr>
            <w:tcW w:w="7940" w:type="dxa"/>
            <w:vAlign w:val="bottom"/>
            <w:gridSpan w:val="10"/>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20">
              <w:r>
                <w:rPr>
                  <w:rFonts w:ascii="Arial" w:cs="Arial" w:eastAsia="Arial" w:hAnsi="Arial"/>
                  <w:sz w:val="13"/>
                  <w:szCs w:val="13"/>
                  <w:b w:val="1"/>
                  <w:bCs w:val="1"/>
                  <w:color w:val="auto"/>
                </w:rPr>
                <w:t>18</w:t>
              </w:r>
            </w:hyperlink>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20">
              <w:r>
                <w:rPr>
                  <w:rFonts w:ascii="Arial" w:cs="Arial" w:eastAsia="Arial" w:hAnsi="Arial"/>
                  <w:sz w:val="13"/>
                  <w:szCs w:val="13"/>
                  <w:b w:val="1"/>
                  <w:bCs w:val="1"/>
                  <w:color w:val="0000FF"/>
                  <w:w w:val="89"/>
                </w:rPr>
                <w:t>Item</w:t>
              </w:r>
            </w:hyperlink>
          </w:p>
        </w:tc>
        <w:tc>
          <w:tcPr>
            <w:tcW w:w="120" w:type="dxa"/>
            <w:vAlign w:val="bottom"/>
            <w:tcBorders>
              <w:bottom w:val="single" w:sz="8" w:color="0000FF"/>
            </w:tcBorders>
          </w:tcPr>
          <w:p>
            <w:pPr>
              <w:spacing w:after="0" w:line="147" w:lineRule="exact"/>
              <w:rPr>
                <w:rFonts w:ascii="Arial" w:cs="Arial" w:eastAsia="Arial" w:hAnsi="Arial"/>
                <w:sz w:val="13"/>
                <w:szCs w:val="13"/>
                <w:b w:val="1"/>
                <w:bCs w:val="1"/>
                <w:color w:val="0000FF"/>
                <w:w w:val="91"/>
              </w:rPr>
            </w:pPr>
            <w:hyperlink w:anchor="page20">
              <w:r>
                <w:rPr>
                  <w:rFonts w:ascii="Arial" w:cs="Arial" w:eastAsia="Arial" w:hAnsi="Arial"/>
                  <w:sz w:val="13"/>
                  <w:szCs w:val="13"/>
                  <w:b w:val="1"/>
                  <w:bCs w:val="1"/>
                  <w:color w:val="0000FF"/>
                  <w:w w:val="91"/>
                </w:rPr>
                <w:t>2.</w:t>
              </w:r>
            </w:hyperlink>
          </w:p>
        </w:tc>
        <w:tc>
          <w:tcPr>
            <w:tcW w:w="600" w:type="dxa"/>
            <w:vAlign w:val="bottom"/>
            <w:tcBorders>
              <w:bottom w:val="single" w:sz="8" w:color="0000FF"/>
            </w:tcBorders>
            <w:gridSpan w:val="2"/>
          </w:tcPr>
          <w:p>
            <w:pPr>
              <w:ind w:left="20"/>
              <w:spacing w:after="0" w:line="147" w:lineRule="exact"/>
              <w:rPr>
                <w:rFonts w:ascii="Arial" w:cs="Arial" w:eastAsia="Arial" w:hAnsi="Arial"/>
                <w:sz w:val="13"/>
                <w:szCs w:val="13"/>
                <w:b w:val="1"/>
                <w:bCs w:val="1"/>
                <w:color w:val="0000FF"/>
                <w:w w:val="87"/>
              </w:rPr>
            </w:pPr>
            <w:hyperlink w:anchor="page20">
              <w:r>
                <w:rPr>
                  <w:rFonts w:ascii="Arial" w:cs="Arial" w:eastAsia="Arial" w:hAnsi="Arial"/>
                  <w:sz w:val="13"/>
                  <w:szCs w:val="13"/>
                  <w:b w:val="1"/>
                  <w:bCs w:val="1"/>
                  <w:color w:val="0000FF"/>
                  <w:w w:val="87"/>
                </w:rPr>
                <w:t>Properties</w:t>
              </w:r>
            </w:hyperlink>
          </w:p>
        </w:tc>
        <w:tc>
          <w:tcPr>
            <w:tcW w:w="9020" w:type="dxa"/>
            <w:vAlign w:val="bottom"/>
            <w:gridSpan w:val="18"/>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20">
              <w:r>
                <w:rPr>
                  <w:rFonts w:ascii="Arial" w:cs="Arial" w:eastAsia="Arial" w:hAnsi="Arial"/>
                  <w:sz w:val="13"/>
                  <w:szCs w:val="13"/>
                  <w:b w:val="1"/>
                  <w:bCs w:val="1"/>
                  <w:color w:val="auto"/>
                </w:rPr>
                <w:t>18</w:t>
              </w:r>
            </w:hyperlink>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20">
              <w:r>
                <w:rPr>
                  <w:rFonts w:ascii="Arial" w:cs="Arial" w:eastAsia="Arial" w:hAnsi="Arial"/>
                  <w:sz w:val="13"/>
                  <w:szCs w:val="13"/>
                  <w:b w:val="1"/>
                  <w:bCs w:val="1"/>
                  <w:color w:val="0000FF"/>
                  <w:w w:val="89"/>
                </w:rPr>
                <w:t>Item</w:t>
              </w:r>
            </w:hyperlink>
          </w:p>
        </w:tc>
        <w:tc>
          <w:tcPr>
            <w:tcW w:w="120" w:type="dxa"/>
            <w:vAlign w:val="bottom"/>
            <w:tcBorders>
              <w:bottom w:val="single" w:sz="8" w:color="0000FF"/>
            </w:tcBorders>
          </w:tcPr>
          <w:p>
            <w:pPr>
              <w:spacing w:after="0" w:line="147" w:lineRule="exact"/>
              <w:rPr>
                <w:rFonts w:ascii="Arial" w:cs="Arial" w:eastAsia="Arial" w:hAnsi="Arial"/>
                <w:sz w:val="13"/>
                <w:szCs w:val="13"/>
                <w:b w:val="1"/>
                <w:bCs w:val="1"/>
                <w:color w:val="0000FF"/>
                <w:w w:val="91"/>
              </w:rPr>
            </w:pPr>
            <w:hyperlink w:anchor="page20">
              <w:r>
                <w:rPr>
                  <w:rFonts w:ascii="Arial" w:cs="Arial" w:eastAsia="Arial" w:hAnsi="Arial"/>
                  <w:sz w:val="13"/>
                  <w:szCs w:val="13"/>
                  <w:b w:val="1"/>
                  <w:bCs w:val="1"/>
                  <w:color w:val="0000FF"/>
                  <w:w w:val="91"/>
                </w:rPr>
                <w:t>3.</w:t>
              </w:r>
            </w:hyperlink>
          </w:p>
        </w:tc>
        <w:tc>
          <w:tcPr>
            <w:tcW w:w="1040" w:type="dxa"/>
            <w:vAlign w:val="bottom"/>
            <w:tcBorders>
              <w:bottom w:val="single" w:sz="8" w:color="0000FF"/>
            </w:tcBorders>
            <w:gridSpan w:val="4"/>
          </w:tcPr>
          <w:p>
            <w:pPr>
              <w:ind w:left="20"/>
              <w:spacing w:after="0" w:line="147" w:lineRule="exact"/>
              <w:rPr>
                <w:rFonts w:ascii="Arial" w:cs="Arial" w:eastAsia="Arial" w:hAnsi="Arial"/>
                <w:sz w:val="13"/>
                <w:szCs w:val="13"/>
                <w:b w:val="1"/>
                <w:bCs w:val="1"/>
                <w:color w:val="0000FF"/>
                <w:w w:val="86"/>
              </w:rPr>
            </w:pPr>
            <w:hyperlink w:anchor="page20">
              <w:r>
                <w:rPr>
                  <w:rFonts w:ascii="Arial" w:cs="Arial" w:eastAsia="Arial" w:hAnsi="Arial"/>
                  <w:sz w:val="13"/>
                  <w:szCs w:val="13"/>
                  <w:b w:val="1"/>
                  <w:bCs w:val="1"/>
                  <w:color w:val="0000FF"/>
                  <w:w w:val="86"/>
                </w:rPr>
                <w:t>Legal Proceedings</w:t>
              </w:r>
            </w:hyperlink>
          </w:p>
        </w:tc>
        <w:tc>
          <w:tcPr>
            <w:tcW w:w="8580" w:type="dxa"/>
            <w:vAlign w:val="bottom"/>
            <w:gridSpan w:val="16"/>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20">
              <w:r>
                <w:rPr>
                  <w:rFonts w:ascii="Arial" w:cs="Arial" w:eastAsia="Arial" w:hAnsi="Arial"/>
                  <w:sz w:val="13"/>
                  <w:szCs w:val="13"/>
                  <w:b w:val="1"/>
                  <w:bCs w:val="1"/>
                  <w:color w:val="auto"/>
                </w:rPr>
                <w:t>18</w:t>
              </w:r>
            </w:hyperlink>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20">
              <w:r>
                <w:rPr>
                  <w:rFonts w:ascii="Arial" w:cs="Arial" w:eastAsia="Arial" w:hAnsi="Arial"/>
                  <w:sz w:val="13"/>
                  <w:szCs w:val="13"/>
                  <w:b w:val="1"/>
                  <w:bCs w:val="1"/>
                  <w:color w:val="0000FF"/>
                  <w:w w:val="89"/>
                </w:rPr>
                <w:t>Item</w:t>
              </w:r>
            </w:hyperlink>
          </w:p>
        </w:tc>
        <w:tc>
          <w:tcPr>
            <w:tcW w:w="120" w:type="dxa"/>
            <w:vAlign w:val="bottom"/>
            <w:tcBorders>
              <w:bottom w:val="single" w:sz="8" w:color="0000FF"/>
            </w:tcBorders>
          </w:tcPr>
          <w:p>
            <w:pPr>
              <w:spacing w:after="0" w:line="147" w:lineRule="exact"/>
              <w:rPr>
                <w:rFonts w:ascii="Arial" w:cs="Arial" w:eastAsia="Arial" w:hAnsi="Arial"/>
                <w:sz w:val="13"/>
                <w:szCs w:val="13"/>
                <w:b w:val="1"/>
                <w:bCs w:val="1"/>
                <w:color w:val="0000FF"/>
                <w:w w:val="91"/>
              </w:rPr>
            </w:pPr>
            <w:hyperlink w:anchor="page20">
              <w:r>
                <w:rPr>
                  <w:rFonts w:ascii="Arial" w:cs="Arial" w:eastAsia="Arial" w:hAnsi="Arial"/>
                  <w:sz w:val="13"/>
                  <w:szCs w:val="13"/>
                  <w:b w:val="1"/>
                  <w:bCs w:val="1"/>
                  <w:color w:val="0000FF"/>
                  <w:w w:val="91"/>
                </w:rPr>
                <w:t>4.</w:t>
              </w:r>
            </w:hyperlink>
          </w:p>
        </w:tc>
        <w:tc>
          <w:tcPr>
            <w:tcW w:w="1360" w:type="dxa"/>
            <w:vAlign w:val="bottom"/>
            <w:tcBorders>
              <w:bottom w:val="single" w:sz="8" w:color="0000FF"/>
            </w:tcBorders>
            <w:gridSpan w:val="7"/>
          </w:tcPr>
          <w:p>
            <w:pPr>
              <w:ind w:left="20"/>
              <w:spacing w:after="0" w:line="147" w:lineRule="exact"/>
              <w:rPr>
                <w:rFonts w:ascii="Arial" w:cs="Arial" w:eastAsia="Arial" w:hAnsi="Arial"/>
                <w:sz w:val="13"/>
                <w:szCs w:val="13"/>
                <w:b w:val="1"/>
                <w:bCs w:val="1"/>
                <w:color w:val="0000FF"/>
                <w:w w:val="88"/>
              </w:rPr>
            </w:pPr>
            <w:hyperlink w:anchor="page20">
              <w:r>
                <w:rPr>
                  <w:rFonts w:ascii="Arial" w:cs="Arial" w:eastAsia="Arial" w:hAnsi="Arial"/>
                  <w:sz w:val="13"/>
                  <w:szCs w:val="13"/>
                  <w:b w:val="1"/>
                  <w:bCs w:val="1"/>
                  <w:color w:val="0000FF"/>
                  <w:w w:val="88"/>
                </w:rPr>
                <w:t>Mine Safety Disclosures</w:t>
              </w:r>
            </w:hyperlink>
          </w:p>
        </w:tc>
        <w:tc>
          <w:tcPr>
            <w:tcW w:w="8260" w:type="dxa"/>
            <w:vAlign w:val="bottom"/>
            <w:gridSpan w:val="13"/>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20">
              <w:r>
                <w:rPr>
                  <w:rFonts w:ascii="Arial" w:cs="Arial" w:eastAsia="Arial" w:hAnsi="Arial"/>
                  <w:sz w:val="13"/>
                  <w:szCs w:val="13"/>
                  <w:b w:val="1"/>
                  <w:bCs w:val="1"/>
                  <w:color w:val="auto"/>
                </w:rPr>
                <w:t>18</w:t>
              </w:r>
            </w:hyperlink>
          </w:p>
        </w:tc>
      </w:tr>
      <w:tr>
        <w:trPr>
          <w:trHeight w:val="225"/>
        </w:trPr>
        <w:tc>
          <w:tcPr>
            <w:tcW w:w="520" w:type="dxa"/>
            <w:vAlign w:val="bottom"/>
            <w:tcBorders>
              <w:bottom w:val="single" w:sz="8" w:color="0000FF"/>
            </w:tcBorders>
            <w:gridSpan w:val="3"/>
          </w:tcPr>
          <w:p>
            <w:pPr>
              <w:spacing w:after="0"/>
              <w:rPr>
                <w:rFonts w:ascii="Arial" w:cs="Arial" w:eastAsia="Arial" w:hAnsi="Arial"/>
                <w:sz w:val="13"/>
                <w:szCs w:val="13"/>
                <w:b w:val="1"/>
                <w:bCs w:val="1"/>
                <w:color w:val="0000FF"/>
                <w:w w:val="98"/>
              </w:rPr>
            </w:pPr>
            <w:hyperlink w:anchor="page20">
              <w:r>
                <w:rPr>
                  <w:rFonts w:ascii="Arial" w:cs="Arial" w:eastAsia="Arial" w:hAnsi="Arial"/>
                  <w:sz w:val="13"/>
                  <w:szCs w:val="13"/>
                  <w:b w:val="1"/>
                  <w:bCs w:val="1"/>
                  <w:color w:val="0000FF"/>
                  <w:w w:val="98"/>
                </w:rPr>
                <w:t>PART II:</w:t>
              </w:r>
            </w:hyperlink>
          </w:p>
        </w:tc>
        <w:tc>
          <w:tcPr>
            <w:tcW w:w="8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21">
              <w:r>
                <w:rPr>
                  <w:rFonts w:ascii="Arial" w:cs="Arial" w:eastAsia="Arial" w:hAnsi="Arial"/>
                  <w:sz w:val="13"/>
                  <w:szCs w:val="13"/>
                  <w:b w:val="1"/>
                  <w:bCs w:val="1"/>
                  <w:color w:val="0000FF"/>
                  <w:w w:val="89"/>
                </w:rPr>
                <w:t>Item</w:t>
              </w:r>
            </w:hyperlink>
          </w:p>
        </w:tc>
        <w:tc>
          <w:tcPr>
            <w:tcW w:w="120" w:type="dxa"/>
            <w:vAlign w:val="bottom"/>
            <w:tcBorders>
              <w:bottom w:val="single" w:sz="8" w:color="0000FF"/>
            </w:tcBorders>
          </w:tcPr>
          <w:p>
            <w:pPr>
              <w:spacing w:after="0" w:line="147" w:lineRule="exact"/>
              <w:rPr>
                <w:rFonts w:ascii="Arial" w:cs="Arial" w:eastAsia="Arial" w:hAnsi="Arial"/>
                <w:sz w:val="13"/>
                <w:szCs w:val="13"/>
                <w:b w:val="1"/>
                <w:bCs w:val="1"/>
                <w:color w:val="0000FF"/>
                <w:w w:val="91"/>
              </w:rPr>
            </w:pPr>
            <w:hyperlink w:anchor="page21">
              <w:r>
                <w:rPr>
                  <w:rFonts w:ascii="Arial" w:cs="Arial" w:eastAsia="Arial" w:hAnsi="Arial"/>
                  <w:sz w:val="13"/>
                  <w:szCs w:val="13"/>
                  <w:b w:val="1"/>
                  <w:bCs w:val="1"/>
                  <w:color w:val="0000FF"/>
                  <w:w w:val="91"/>
                </w:rPr>
                <w:t>5.</w:t>
              </w:r>
            </w:hyperlink>
          </w:p>
        </w:tc>
        <w:tc>
          <w:tcPr>
            <w:tcW w:w="6320" w:type="dxa"/>
            <w:vAlign w:val="bottom"/>
            <w:tcBorders>
              <w:bottom w:val="single" w:sz="8" w:color="0000FF"/>
            </w:tcBorders>
            <w:gridSpan w:val="19"/>
          </w:tcPr>
          <w:p>
            <w:pPr>
              <w:ind w:left="20"/>
              <w:spacing w:after="0" w:line="147" w:lineRule="exact"/>
              <w:rPr>
                <w:rFonts w:ascii="Arial" w:cs="Arial" w:eastAsia="Arial" w:hAnsi="Arial"/>
                <w:sz w:val="13"/>
                <w:szCs w:val="13"/>
                <w:b w:val="1"/>
                <w:bCs w:val="1"/>
                <w:color w:val="0000FF"/>
                <w:w w:val="90"/>
              </w:rPr>
            </w:pPr>
            <w:hyperlink w:anchor="page21">
              <w:r>
                <w:rPr>
                  <w:rFonts w:ascii="Arial" w:cs="Arial" w:eastAsia="Arial" w:hAnsi="Arial"/>
                  <w:sz w:val="13"/>
                  <w:szCs w:val="13"/>
                  <w:b w:val="1"/>
                  <w:bCs w:val="1"/>
                  <w:color w:val="0000FF"/>
                  <w:w w:val="90"/>
                </w:rPr>
                <w:t>Market for Registrant’s Common Equity, Related Stockholder Matters and Issuer Purchases of Equity Securities</w:t>
              </w:r>
            </w:hyperlink>
          </w:p>
        </w:tc>
        <w:tc>
          <w:tcPr>
            <w:tcW w:w="3300" w:type="dxa"/>
            <w:vAlign w:val="bottom"/>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21">
              <w:r>
                <w:rPr>
                  <w:rFonts w:ascii="Arial" w:cs="Arial" w:eastAsia="Arial" w:hAnsi="Arial"/>
                  <w:sz w:val="13"/>
                  <w:szCs w:val="13"/>
                  <w:b w:val="1"/>
                  <w:bCs w:val="1"/>
                  <w:color w:val="auto"/>
                </w:rPr>
                <w:t>19</w:t>
              </w:r>
            </w:hyperlink>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22">
              <w:r>
                <w:rPr>
                  <w:rFonts w:ascii="Arial" w:cs="Arial" w:eastAsia="Arial" w:hAnsi="Arial"/>
                  <w:sz w:val="13"/>
                  <w:szCs w:val="13"/>
                  <w:b w:val="1"/>
                  <w:bCs w:val="1"/>
                  <w:color w:val="0000FF"/>
                  <w:w w:val="89"/>
                </w:rPr>
                <w:t>Item</w:t>
              </w:r>
            </w:hyperlink>
          </w:p>
        </w:tc>
        <w:tc>
          <w:tcPr>
            <w:tcW w:w="120" w:type="dxa"/>
            <w:vAlign w:val="bottom"/>
            <w:tcBorders>
              <w:bottom w:val="single" w:sz="8" w:color="0000FF"/>
            </w:tcBorders>
          </w:tcPr>
          <w:p>
            <w:pPr>
              <w:spacing w:after="0" w:line="147" w:lineRule="exact"/>
              <w:rPr>
                <w:rFonts w:ascii="Arial" w:cs="Arial" w:eastAsia="Arial" w:hAnsi="Arial"/>
                <w:sz w:val="13"/>
                <w:szCs w:val="13"/>
                <w:b w:val="1"/>
                <w:bCs w:val="1"/>
                <w:color w:val="0000FF"/>
                <w:w w:val="91"/>
              </w:rPr>
            </w:pPr>
            <w:hyperlink w:anchor="page22">
              <w:r>
                <w:rPr>
                  <w:rFonts w:ascii="Arial" w:cs="Arial" w:eastAsia="Arial" w:hAnsi="Arial"/>
                  <w:sz w:val="13"/>
                  <w:szCs w:val="13"/>
                  <w:b w:val="1"/>
                  <w:bCs w:val="1"/>
                  <w:color w:val="0000FF"/>
                  <w:w w:val="91"/>
                </w:rPr>
                <w:t>6.</w:t>
              </w:r>
            </w:hyperlink>
          </w:p>
        </w:tc>
        <w:tc>
          <w:tcPr>
            <w:tcW w:w="1340" w:type="dxa"/>
            <w:vAlign w:val="bottom"/>
            <w:tcBorders>
              <w:bottom w:val="single" w:sz="8" w:color="0000FF"/>
            </w:tcBorders>
            <w:gridSpan w:val="6"/>
          </w:tcPr>
          <w:p>
            <w:pPr>
              <w:ind w:left="20"/>
              <w:spacing w:after="0" w:line="147" w:lineRule="exact"/>
              <w:rPr>
                <w:rFonts w:ascii="Arial" w:cs="Arial" w:eastAsia="Arial" w:hAnsi="Arial"/>
                <w:sz w:val="13"/>
                <w:szCs w:val="13"/>
                <w:b w:val="1"/>
                <w:bCs w:val="1"/>
                <w:color w:val="0000FF"/>
                <w:w w:val="89"/>
              </w:rPr>
            </w:pPr>
            <w:hyperlink w:anchor="page22">
              <w:r>
                <w:rPr>
                  <w:rFonts w:ascii="Arial" w:cs="Arial" w:eastAsia="Arial" w:hAnsi="Arial"/>
                  <w:sz w:val="13"/>
                  <w:szCs w:val="13"/>
                  <w:b w:val="1"/>
                  <w:bCs w:val="1"/>
                  <w:color w:val="0000FF"/>
                  <w:w w:val="89"/>
                </w:rPr>
                <w:t>Selected Financial Data</w:t>
              </w:r>
            </w:hyperlink>
          </w:p>
        </w:tc>
        <w:tc>
          <w:tcPr>
            <w:tcW w:w="8280" w:type="dxa"/>
            <w:vAlign w:val="bottom"/>
            <w:gridSpan w:val="14"/>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22">
              <w:r>
                <w:rPr>
                  <w:rFonts w:ascii="Arial" w:cs="Arial" w:eastAsia="Arial" w:hAnsi="Arial"/>
                  <w:sz w:val="13"/>
                  <w:szCs w:val="13"/>
                  <w:b w:val="1"/>
                  <w:bCs w:val="1"/>
                  <w:color w:val="auto"/>
                </w:rPr>
                <w:t>21</w:t>
              </w:r>
            </w:hyperlink>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23">
              <w:r>
                <w:rPr>
                  <w:rFonts w:ascii="Arial" w:cs="Arial" w:eastAsia="Arial" w:hAnsi="Arial"/>
                  <w:sz w:val="13"/>
                  <w:szCs w:val="13"/>
                  <w:b w:val="1"/>
                  <w:bCs w:val="1"/>
                  <w:color w:val="0000FF"/>
                  <w:w w:val="89"/>
                </w:rPr>
                <w:t>Item</w:t>
              </w:r>
            </w:hyperlink>
          </w:p>
        </w:tc>
        <w:tc>
          <w:tcPr>
            <w:tcW w:w="120" w:type="dxa"/>
            <w:vAlign w:val="bottom"/>
            <w:tcBorders>
              <w:bottom w:val="single" w:sz="8" w:color="0000FF"/>
            </w:tcBorders>
          </w:tcPr>
          <w:p>
            <w:pPr>
              <w:spacing w:after="0" w:line="147" w:lineRule="exact"/>
              <w:rPr>
                <w:rFonts w:ascii="Arial" w:cs="Arial" w:eastAsia="Arial" w:hAnsi="Arial"/>
                <w:sz w:val="13"/>
                <w:szCs w:val="13"/>
                <w:b w:val="1"/>
                <w:bCs w:val="1"/>
                <w:color w:val="0000FF"/>
                <w:w w:val="91"/>
              </w:rPr>
            </w:pPr>
            <w:hyperlink w:anchor="page23">
              <w:r>
                <w:rPr>
                  <w:rFonts w:ascii="Arial" w:cs="Arial" w:eastAsia="Arial" w:hAnsi="Arial"/>
                  <w:sz w:val="13"/>
                  <w:szCs w:val="13"/>
                  <w:b w:val="1"/>
                  <w:bCs w:val="1"/>
                  <w:color w:val="0000FF"/>
                  <w:w w:val="91"/>
                </w:rPr>
                <w:t>7.</w:t>
              </w:r>
            </w:hyperlink>
          </w:p>
        </w:tc>
        <w:tc>
          <w:tcPr>
            <w:tcW w:w="4980" w:type="dxa"/>
            <w:vAlign w:val="bottom"/>
            <w:tcBorders>
              <w:bottom w:val="single" w:sz="8" w:color="0000FF"/>
            </w:tcBorders>
            <w:gridSpan w:val="16"/>
          </w:tcPr>
          <w:p>
            <w:pPr>
              <w:ind w:left="20"/>
              <w:spacing w:after="0" w:line="147" w:lineRule="exact"/>
              <w:rPr>
                <w:rFonts w:ascii="Arial" w:cs="Arial" w:eastAsia="Arial" w:hAnsi="Arial"/>
                <w:sz w:val="13"/>
                <w:szCs w:val="13"/>
                <w:b w:val="1"/>
                <w:bCs w:val="1"/>
                <w:color w:val="0000FF"/>
                <w:w w:val="89"/>
              </w:rPr>
            </w:pPr>
            <w:hyperlink w:anchor="page23">
              <w:r>
                <w:rPr>
                  <w:rFonts w:ascii="Arial" w:cs="Arial" w:eastAsia="Arial" w:hAnsi="Arial"/>
                  <w:sz w:val="13"/>
                  <w:szCs w:val="13"/>
                  <w:b w:val="1"/>
                  <w:bCs w:val="1"/>
                  <w:color w:val="0000FF"/>
                  <w:w w:val="89"/>
                </w:rPr>
                <w:t>Management’s Discussion and Analysis of Financial Condition and Results of Operations</w:t>
              </w:r>
            </w:hyperlink>
          </w:p>
        </w:tc>
        <w:tc>
          <w:tcPr>
            <w:tcW w:w="4640" w:type="dxa"/>
            <w:vAlign w:val="bottom"/>
            <w:gridSpan w:val="4"/>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23">
              <w:r>
                <w:rPr>
                  <w:rFonts w:ascii="Arial" w:cs="Arial" w:eastAsia="Arial" w:hAnsi="Arial"/>
                  <w:sz w:val="13"/>
                  <w:szCs w:val="13"/>
                  <w:b w:val="1"/>
                  <w:bCs w:val="1"/>
                  <w:color w:val="auto"/>
                </w:rPr>
                <w:t>22</w:t>
              </w:r>
            </w:hyperlink>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36">
              <w:r>
                <w:rPr>
                  <w:rFonts w:ascii="Arial" w:cs="Arial" w:eastAsia="Arial" w:hAnsi="Arial"/>
                  <w:sz w:val="13"/>
                  <w:szCs w:val="13"/>
                  <w:b w:val="1"/>
                  <w:bCs w:val="1"/>
                  <w:color w:val="0000FF"/>
                  <w:w w:val="89"/>
                </w:rPr>
                <w:t>Item</w:t>
              </w:r>
            </w:hyperlink>
          </w:p>
        </w:tc>
        <w:tc>
          <w:tcPr>
            <w:tcW w:w="3600" w:type="dxa"/>
            <w:vAlign w:val="bottom"/>
            <w:tcBorders>
              <w:bottom w:val="single" w:sz="8" w:color="0000FF"/>
            </w:tcBorders>
            <w:gridSpan w:val="15"/>
          </w:tcPr>
          <w:p>
            <w:pPr>
              <w:spacing w:after="0" w:line="147" w:lineRule="exact"/>
              <w:rPr>
                <w:rFonts w:ascii="Arial" w:cs="Arial" w:eastAsia="Arial" w:hAnsi="Arial"/>
                <w:sz w:val="13"/>
                <w:szCs w:val="13"/>
                <w:b w:val="1"/>
                <w:bCs w:val="1"/>
                <w:color w:val="0000FF"/>
                <w:w w:val="92"/>
              </w:rPr>
            </w:pPr>
            <w:hyperlink w:anchor="page36">
              <w:r>
                <w:rPr>
                  <w:rFonts w:ascii="Arial" w:cs="Arial" w:eastAsia="Arial" w:hAnsi="Arial"/>
                  <w:sz w:val="13"/>
                  <w:szCs w:val="13"/>
                  <w:b w:val="1"/>
                  <w:bCs w:val="1"/>
                  <w:color w:val="0000FF"/>
                  <w:w w:val="92"/>
                </w:rPr>
                <w:t>7A. Quantitative and Qualitative Disclosures about Market Risk</w:t>
              </w:r>
            </w:hyperlink>
          </w:p>
        </w:tc>
        <w:tc>
          <w:tcPr>
            <w:tcW w:w="6140" w:type="dxa"/>
            <w:vAlign w:val="bottom"/>
            <w:gridSpan w:val="6"/>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36">
              <w:r>
                <w:rPr>
                  <w:rFonts w:ascii="Arial" w:cs="Arial" w:eastAsia="Arial" w:hAnsi="Arial"/>
                  <w:sz w:val="13"/>
                  <w:szCs w:val="13"/>
                  <w:b w:val="1"/>
                  <w:bCs w:val="1"/>
                  <w:color w:val="auto"/>
                </w:rPr>
                <w:t>34</w:t>
              </w:r>
            </w:hyperlink>
          </w:p>
        </w:tc>
      </w:tr>
      <w:tr>
        <w:trPr>
          <w:trHeight w:val="147"/>
        </w:trPr>
        <w:tc>
          <w:tcPr>
            <w:tcW w:w="320" w:type="dxa"/>
            <w:vAlign w:val="bottom"/>
          </w:tcPr>
          <w:p>
            <w:pPr>
              <w:spacing w:after="0"/>
              <w:rPr>
                <w:sz w:val="12"/>
                <w:szCs w:val="12"/>
                <w:color w:val="auto"/>
              </w:rPr>
            </w:pPr>
          </w:p>
        </w:tc>
        <w:tc>
          <w:tcPr>
            <w:tcW w:w="280" w:type="dxa"/>
            <w:vAlign w:val="bottom"/>
            <w:gridSpan w:val="5"/>
          </w:tcPr>
          <w:p>
            <w:pPr>
              <w:jc w:val="right"/>
              <w:ind w:right="20"/>
              <w:spacing w:after="0" w:line="147" w:lineRule="exact"/>
              <w:rPr>
                <w:rFonts w:ascii="Arial" w:cs="Arial" w:eastAsia="Arial" w:hAnsi="Arial"/>
                <w:sz w:val="13"/>
                <w:szCs w:val="13"/>
                <w:b w:val="1"/>
                <w:bCs w:val="1"/>
                <w:color w:val="0000FF"/>
                <w:w w:val="89"/>
              </w:rPr>
            </w:pPr>
            <w:hyperlink w:anchor="page36">
              <w:r>
                <w:rPr>
                  <w:rFonts w:ascii="Arial" w:cs="Arial" w:eastAsia="Arial" w:hAnsi="Arial"/>
                  <w:sz w:val="13"/>
                  <w:szCs w:val="13"/>
                  <w:b w:val="1"/>
                  <w:bCs w:val="1"/>
                  <w:color w:val="0000FF"/>
                  <w:w w:val="89"/>
                </w:rPr>
                <w:t>Item</w:t>
              </w:r>
            </w:hyperlink>
          </w:p>
        </w:tc>
        <w:tc>
          <w:tcPr>
            <w:tcW w:w="120" w:type="dxa"/>
            <w:vAlign w:val="bottom"/>
          </w:tcPr>
          <w:p>
            <w:pPr>
              <w:spacing w:after="0" w:line="147" w:lineRule="exact"/>
              <w:rPr>
                <w:rFonts w:ascii="Arial" w:cs="Arial" w:eastAsia="Arial" w:hAnsi="Arial"/>
                <w:sz w:val="13"/>
                <w:szCs w:val="13"/>
                <w:b w:val="1"/>
                <w:bCs w:val="1"/>
                <w:color w:val="0000FF"/>
                <w:w w:val="91"/>
              </w:rPr>
            </w:pPr>
            <w:hyperlink w:anchor="page36">
              <w:r>
                <w:rPr>
                  <w:rFonts w:ascii="Arial" w:cs="Arial" w:eastAsia="Arial" w:hAnsi="Arial"/>
                  <w:sz w:val="13"/>
                  <w:szCs w:val="13"/>
                  <w:b w:val="1"/>
                  <w:bCs w:val="1"/>
                  <w:color w:val="0000FF"/>
                  <w:w w:val="91"/>
                </w:rPr>
                <w:t>8.</w:t>
              </w:r>
            </w:hyperlink>
          </w:p>
        </w:tc>
        <w:tc>
          <w:tcPr>
            <w:tcW w:w="9620" w:type="dxa"/>
            <w:vAlign w:val="bottom"/>
            <w:gridSpan w:val="20"/>
          </w:tcPr>
          <w:p>
            <w:pPr>
              <w:ind w:left="20"/>
              <w:spacing w:after="0" w:line="147" w:lineRule="exact"/>
              <w:rPr>
                <w:rFonts w:ascii="Arial" w:cs="Arial" w:eastAsia="Arial" w:hAnsi="Arial"/>
                <w:sz w:val="13"/>
                <w:szCs w:val="13"/>
                <w:b w:val="1"/>
                <w:bCs w:val="1"/>
                <w:color w:val="0000FF"/>
              </w:rPr>
            </w:pPr>
            <w:hyperlink w:anchor="page36">
              <w:r>
                <w:rPr>
                  <w:rFonts w:ascii="Arial" w:cs="Arial" w:eastAsia="Arial" w:hAnsi="Arial"/>
                  <w:sz w:val="13"/>
                  <w:szCs w:val="13"/>
                  <w:b w:val="1"/>
                  <w:bCs w:val="1"/>
                  <w:color w:val="0000FF"/>
                </w:rPr>
                <w:t>Financial Statements and Supplementary Data</w:t>
              </w:r>
            </w:hyperlink>
          </w:p>
        </w:tc>
        <w:tc>
          <w:tcPr>
            <w:tcW w:w="900" w:type="dxa"/>
            <w:vAlign w:val="bottom"/>
          </w:tcPr>
          <w:p>
            <w:pPr>
              <w:jc w:val="right"/>
              <w:spacing w:after="0" w:line="147" w:lineRule="exact"/>
              <w:rPr>
                <w:rFonts w:ascii="Arial" w:cs="Arial" w:eastAsia="Arial" w:hAnsi="Arial"/>
                <w:sz w:val="13"/>
                <w:szCs w:val="13"/>
                <w:b w:val="1"/>
                <w:bCs w:val="1"/>
                <w:color w:val="auto"/>
              </w:rPr>
            </w:pPr>
            <w:hyperlink w:anchor="page36">
              <w:r>
                <w:rPr>
                  <w:rFonts w:ascii="Arial" w:cs="Arial" w:eastAsia="Arial" w:hAnsi="Arial"/>
                  <w:sz w:val="13"/>
                  <w:szCs w:val="13"/>
                  <w:b w:val="1"/>
                  <w:bCs w:val="1"/>
                  <w:color w:val="auto"/>
                </w:rPr>
                <w:t>34</w:t>
              </w:r>
            </w:hyperlink>
          </w:p>
        </w:tc>
      </w:tr>
      <w:tr>
        <w:trPr>
          <w:trHeight w:val="20"/>
        </w:trPr>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36">
              <w:r>
                <w:rPr>
                  <w:rFonts w:ascii="Arial" w:cs="Arial" w:eastAsia="Arial" w:hAnsi="Arial"/>
                  <w:sz w:val="13"/>
                  <w:szCs w:val="13"/>
                  <w:b w:val="1"/>
                  <w:bCs w:val="1"/>
                  <w:color w:val="0000FF"/>
                  <w:w w:val="89"/>
                </w:rPr>
                <w:t>Item</w:t>
              </w:r>
            </w:hyperlink>
          </w:p>
        </w:tc>
        <w:tc>
          <w:tcPr>
            <w:tcW w:w="120" w:type="dxa"/>
            <w:vAlign w:val="bottom"/>
            <w:tcBorders>
              <w:bottom w:val="single" w:sz="8" w:color="0000FF"/>
            </w:tcBorders>
          </w:tcPr>
          <w:p>
            <w:pPr>
              <w:spacing w:after="0" w:line="147" w:lineRule="exact"/>
              <w:rPr>
                <w:rFonts w:ascii="Arial" w:cs="Arial" w:eastAsia="Arial" w:hAnsi="Arial"/>
                <w:sz w:val="13"/>
                <w:szCs w:val="13"/>
                <w:b w:val="1"/>
                <w:bCs w:val="1"/>
                <w:color w:val="0000FF"/>
                <w:w w:val="91"/>
              </w:rPr>
            </w:pPr>
            <w:hyperlink w:anchor="page36">
              <w:r>
                <w:rPr>
                  <w:rFonts w:ascii="Arial" w:cs="Arial" w:eastAsia="Arial" w:hAnsi="Arial"/>
                  <w:sz w:val="13"/>
                  <w:szCs w:val="13"/>
                  <w:b w:val="1"/>
                  <w:bCs w:val="1"/>
                  <w:color w:val="0000FF"/>
                  <w:w w:val="91"/>
                </w:rPr>
                <w:t>9.</w:t>
              </w:r>
            </w:hyperlink>
          </w:p>
        </w:tc>
        <w:tc>
          <w:tcPr>
            <w:tcW w:w="5000" w:type="dxa"/>
            <w:vAlign w:val="bottom"/>
            <w:tcBorders>
              <w:bottom w:val="single" w:sz="8" w:color="0000FF"/>
            </w:tcBorders>
            <w:gridSpan w:val="17"/>
          </w:tcPr>
          <w:p>
            <w:pPr>
              <w:ind w:left="20"/>
              <w:spacing w:after="0" w:line="147" w:lineRule="exact"/>
              <w:rPr>
                <w:rFonts w:ascii="Arial" w:cs="Arial" w:eastAsia="Arial" w:hAnsi="Arial"/>
                <w:sz w:val="13"/>
                <w:szCs w:val="13"/>
                <w:b w:val="1"/>
                <w:bCs w:val="1"/>
                <w:color w:val="0000FF"/>
                <w:w w:val="89"/>
              </w:rPr>
            </w:pPr>
            <w:hyperlink w:anchor="page36">
              <w:r>
                <w:rPr>
                  <w:rFonts w:ascii="Arial" w:cs="Arial" w:eastAsia="Arial" w:hAnsi="Arial"/>
                  <w:sz w:val="13"/>
                  <w:szCs w:val="13"/>
                  <w:b w:val="1"/>
                  <w:bCs w:val="1"/>
                  <w:color w:val="0000FF"/>
                  <w:w w:val="89"/>
                </w:rPr>
                <w:t>Changes in and Disagreements with Accountants on Accounting and Financial Disclosure</w:t>
              </w:r>
            </w:hyperlink>
          </w:p>
        </w:tc>
        <w:tc>
          <w:tcPr>
            <w:tcW w:w="4620" w:type="dxa"/>
            <w:vAlign w:val="bottom"/>
            <w:gridSpan w:val="3"/>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36">
              <w:r>
                <w:rPr>
                  <w:rFonts w:ascii="Arial" w:cs="Arial" w:eastAsia="Arial" w:hAnsi="Arial"/>
                  <w:sz w:val="13"/>
                  <w:szCs w:val="13"/>
                  <w:b w:val="1"/>
                  <w:bCs w:val="1"/>
                  <w:color w:val="auto"/>
                </w:rPr>
                <w:t>34</w:t>
              </w:r>
            </w:hyperlink>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37">
              <w:r>
                <w:rPr>
                  <w:rFonts w:ascii="Arial" w:cs="Arial" w:eastAsia="Arial" w:hAnsi="Arial"/>
                  <w:sz w:val="13"/>
                  <w:szCs w:val="13"/>
                  <w:b w:val="1"/>
                  <w:bCs w:val="1"/>
                  <w:color w:val="0000FF"/>
                  <w:w w:val="89"/>
                </w:rPr>
                <w:t>Item</w:t>
              </w:r>
            </w:hyperlink>
          </w:p>
        </w:tc>
        <w:tc>
          <w:tcPr>
            <w:tcW w:w="1620" w:type="dxa"/>
            <w:vAlign w:val="bottom"/>
            <w:tcBorders>
              <w:bottom w:val="single" w:sz="8" w:color="0000FF"/>
            </w:tcBorders>
            <w:gridSpan w:val="10"/>
          </w:tcPr>
          <w:p>
            <w:pPr>
              <w:spacing w:after="0" w:line="147" w:lineRule="exact"/>
              <w:rPr>
                <w:rFonts w:ascii="Arial" w:cs="Arial" w:eastAsia="Arial" w:hAnsi="Arial"/>
                <w:sz w:val="13"/>
                <w:szCs w:val="13"/>
                <w:b w:val="1"/>
                <w:bCs w:val="1"/>
                <w:color w:val="0000FF"/>
                <w:w w:val="89"/>
              </w:rPr>
            </w:pPr>
            <w:hyperlink w:anchor="page37">
              <w:r>
                <w:rPr>
                  <w:rFonts w:ascii="Arial" w:cs="Arial" w:eastAsia="Arial" w:hAnsi="Arial"/>
                  <w:sz w:val="13"/>
                  <w:szCs w:val="13"/>
                  <w:b w:val="1"/>
                  <w:bCs w:val="1"/>
                  <w:color w:val="0000FF"/>
                  <w:w w:val="89"/>
                </w:rPr>
                <w:t>9A. Controls and Procedures</w:t>
              </w:r>
            </w:hyperlink>
          </w:p>
        </w:tc>
        <w:tc>
          <w:tcPr>
            <w:tcW w:w="8120" w:type="dxa"/>
            <w:vAlign w:val="bottom"/>
            <w:gridSpan w:val="11"/>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37">
              <w:r>
                <w:rPr>
                  <w:rFonts w:ascii="Arial" w:cs="Arial" w:eastAsia="Arial" w:hAnsi="Arial"/>
                  <w:sz w:val="13"/>
                  <w:szCs w:val="13"/>
                  <w:b w:val="1"/>
                  <w:bCs w:val="1"/>
                  <w:color w:val="auto"/>
                </w:rPr>
                <w:t>36</w:t>
              </w:r>
            </w:hyperlink>
          </w:p>
        </w:tc>
      </w:tr>
      <w:tr>
        <w:trPr>
          <w:trHeight w:val="147"/>
        </w:trPr>
        <w:tc>
          <w:tcPr>
            <w:tcW w:w="320" w:type="dxa"/>
            <w:vAlign w:val="bottom"/>
          </w:tcPr>
          <w:p>
            <w:pPr>
              <w:spacing w:after="0"/>
              <w:rPr>
                <w:sz w:val="12"/>
                <w:szCs w:val="12"/>
                <w:color w:val="auto"/>
              </w:rPr>
            </w:pPr>
          </w:p>
        </w:tc>
        <w:tc>
          <w:tcPr>
            <w:tcW w:w="280" w:type="dxa"/>
            <w:vAlign w:val="bottom"/>
            <w:tcBorders>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39">
              <w:r>
                <w:rPr>
                  <w:rFonts w:ascii="Arial" w:cs="Arial" w:eastAsia="Arial" w:hAnsi="Arial"/>
                  <w:sz w:val="13"/>
                  <w:szCs w:val="13"/>
                  <w:b w:val="1"/>
                  <w:bCs w:val="1"/>
                  <w:color w:val="0000FF"/>
                  <w:w w:val="89"/>
                </w:rPr>
                <w:t>Item</w:t>
              </w:r>
            </w:hyperlink>
          </w:p>
        </w:tc>
        <w:tc>
          <w:tcPr>
            <w:tcW w:w="1280" w:type="dxa"/>
            <w:vAlign w:val="bottom"/>
            <w:tcBorders>
              <w:bottom w:val="single" w:sz="8" w:color="0000FF"/>
            </w:tcBorders>
            <w:gridSpan w:val="6"/>
          </w:tcPr>
          <w:p>
            <w:pPr>
              <w:spacing w:after="0" w:line="147" w:lineRule="exact"/>
              <w:rPr>
                <w:rFonts w:ascii="Arial" w:cs="Arial" w:eastAsia="Arial" w:hAnsi="Arial"/>
                <w:sz w:val="13"/>
                <w:szCs w:val="13"/>
                <w:b w:val="1"/>
                <w:bCs w:val="1"/>
                <w:color w:val="0000FF"/>
                <w:w w:val="94"/>
              </w:rPr>
            </w:pPr>
            <w:hyperlink w:anchor="page39">
              <w:r>
                <w:rPr>
                  <w:rFonts w:ascii="Arial" w:cs="Arial" w:eastAsia="Arial" w:hAnsi="Arial"/>
                  <w:sz w:val="13"/>
                  <w:szCs w:val="13"/>
                  <w:b w:val="1"/>
                  <w:bCs w:val="1"/>
                  <w:color w:val="0000FF"/>
                  <w:w w:val="94"/>
                </w:rPr>
                <w:t>9B. Other Information</w:t>
              </w:r>
            </w:hyperlink>
          </w:p>
        </w:tc>
        <w:tc>
          <w:tcPr>
            <w:tcW w:w="8460" w:type="dxa"/>
            <w:vAlign w:val="bottom"/>
            <w:gridSpan w:val="15"/>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39">
              <w:r>
                <w:rPr>
                  <w:rFonts w:ascii="Arial" w:cs="Arial" w:eastAsia="Arial" w:hAnsi="Arial"/>
                  <w:sz w:val="13"/>
                  <w:szCs w:val="13"/>
                  <w:b w:val="1"/>
                  <w:bCs w:val="1"/>
                  <w:color w:val="auto"/>
                </w:rPr>
                <w:t>38</w:t>
              </w:r>
            </w:hyperlink>
          </w:p>
        </w:tc>
      </w:tr>
      <w:tr>
        <w:trPr>
          <w:trHeight w:val="225"/>
        </w:trPr>
        <w:tc>
          <w:tcPr>
            <w:tcW w:w="600" w:type="dxa"/>
            <w:vAlign w:val="bottom"/>
            <w:gridSpan w:val="6"/>
          </w:tcPr>
          <w:p>
            <w:pPr>
              <w:spacing w:after="0"/>
              <w:rPr>
                <w:rFonts w:ascii="Arial" w:cs="Arial" w:eastAsia="Arial" w:hAnsi="Arial"/>
                <w:sz w:val="13"/>
                <w:szCs w:val="13"/>
                <w:b w:val="1"/>
                <w:bCs w:val="1"/>
                <w:color w:val="0000FF"/>
              </w:rPr>
            </w:pPr>
            <w:hyperlink w:anchor="page40">
              <w:r>
                <w:rPr>
                  <w:rFonts w:ascii="Arial" w:cs="Arial" w:eastAsia="Arial" w:hAnsi="Arial"/>
                  <w:sz w:val="13"/>
                  <w:szCs w:val="13"/>
                  <w:b w:val="1"/>
                  <w:bCs w:val="1"/>
                  <w:color w:val="0000FF"/>
                </w:rPr>
                <w:t>PART III:</w:t>
              </w:r>
            </w:hyperlink>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7"/>
        </w:trPr>
        <w:tc>
          <w:tcPr>
            <w:tcW w:w="320" w:type="dxa"/>
            <w:vAlign w:val="bottom"/>
          </w:tcPr>
          <w:p>
            <w:pPr>
              <w:spacing w:after="0"/>
              <w:rPr>
                <w:sz w:val="12"/>
                <w:szCs w:val="12"/>
                <w:color w:val="auto"/>
              </w:rPr>
            </w:pPr>
          </w:p>
        </w:tc>
        <w:tc>
          <w:tcPr>
            <w:tcW w:w="280" w:type="dxa"/>
            <w:vAlign w:val="bottom"/>
            <w:gridSpan w:val="5"/>
          </w:tcPr>
          <w:p>
            <w:pPr>
              <w:jc w:val="right"/>
              <w:ind w:right="20"/>
              <w:spacing w:after="0" w:line="147" w:lineRule="exact"/>
              <w:rPr>
                <w:rFonts w:ascii="Arial" w:cs="Arial" w:eastAsia="Arial" w:hAnsi="Arial"/>
                <w:sz w:val="13"/>
                <w:szCs w:val="13"/>
                <w:b w:val="1"/>
                <w:bCs w:val="1"/>
                <w:color w:val="0000FF"/>
                <w:w w:val="89"/>
              </w:rPr>
            </w:pPr>
            <w:hyperlink w:anchor="page40">
              <w:r>
                <w:rPr>
                  <w:rFonts w:ascii="Arial" w:cs="Arial" w:eastAsia="Arial" w:hAnsi="Arial"/>
                  <w:sz w:val="13"/>
                  <w:szCs w:val="13"/>
                  <w:b w:val="1"/>
                  <w:bCs w:val="1"/>
                  <w:color w:val="0000FF"/>
                  <w:w w:val="89"/>
                </w:rPr>
                <w:t>Item</w:t>
              </w:r>
            </w:hyperlink>
          </w:p>
        </w:tc>
        <w:tc>
          <w:tcPr>
            <w:tcW w:w="9740" w:type="dxa"/>
            <w:vAlign w:val="bottom"/>
            <w:gridSpan w:val="21"/>
          </w:tcPr>
          <w:p>
            <w:pPr>
              <w:spacing w:after="0" w:line="147" w:lineRule="exact"/>
              <w:rPr>
                <w:rFonts w:ascii="Arial" w:cs="Arial" w:eastAsia="Arial" w:hAnsi="Arial"/>
                <w:sz w:val="13"/>
                <w:szCs w:val="13"/>
                <w:b w:val="1"/>
                <w:bCs w:val="1"/>
                <w:color w:val="0000FF"/>
              </w:rPr>
            </w:pPr>
            <w:hyperlink w:anchor="page40">
              <w:r>
                <w:rPr>
                  <w:rFonts w:ascii="Arial" w:cs="Arial" w:eastAsia="Arial" w:hAnsi="Arial"/>
                  <w:sz w:val="13"/>
                  <w:szCs w:val="13"/>
                  <w:b w:val="1"/>
                  <w:bCs w:val="1"/>
                  <w:color w:val="0000FF"/>
                </w:rPr>
                <w:t>10. Directors, Executive Officers and Corporate Governance</w:t>
              </w:r>
            </w:hyperlink>
          </w:p>
        </w:tc>
        <w:tc>
          <w:tcPr>
            <w:tcW w:w="900" w:type="dxa"/>
            <w:vAlign w:val="bottom"/>
          </w:tcPr>
          <w:p>
            <w:pPr>
              <w:jc w:val="right"/>
              <w:spacing w:after="0" w:line="147" w:lineRule="exact"/>
              <w:rPr>
                <w:rFonts w:ascii="Arial" w:cs="Arial" w:eastAsia="Arial" w:hAnsi="Arial"/>
                <w:sz w:val="13"/>
                <w:szCs w:val="13"/>
                <w:b w:val="1"/>
                <w:bCs w:val="1"/>
                <w:color w:val="auto"/>
              </w:rPr>
            </w:pPr>
            <w:hyperlink w:anchor="page40">
              <w:r>
                <w:rPr>
                  <w:rFonts w:ascii="Arial" w:cs="Arial" w:eastAsia="Arial" w:hAnsi="Arial"/>
                  <w:sz w:val="13"/>
                  <w:szCs w:val="13"/>
                  <w:b w:val="1"/>
                  <w:bCs w:val="1"/>
                  <w:color w:val="auto"/>
                </w:rPr>
                <w:t>38</w:t>
              </w:r>
            </w:hyperlink>
          </w:p>
        </w:tc>
      </w:tr>
      <w:tr>
        <w:trPr>
          <w:trHeight w:val="147"/>
        </w:trPr>
        <w:tc>
          <w:tcPr>
            <w:tcW w:w="320" w:type="dxa"/>
            <w:vAlign w:val="bottom"/>
          </w:tcPr>
          <w:p>
            <w:pPr>
              <w:spacing w:after="0"/>
              <w:rPr>
                <w:sz w:val="12"/>
                <w:szCs w:val="12"/>
                <w:color w:val="auto"/>
              </w:rPr>
            </w:pPr>
          </w:p>
        </w:tc>
        <w:tc>
          <w:tcPr>
            <w:tcW w:w="280" w:type="dxa"/>
            <w:vAlign w:val="bottom"/>
            <w:tcBorders>
              <w:top w:val="single" w:sz="8" w:color="0000FF"/>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40">
              <w:r>
                <w:rPr>
                  <w:rFonts w:ascii="Arial" w:cs="Arial" w:eastAsia="Arial" w:hAnsi="Arial"/>
                  <w:sz w:val="13"/>
                  <w:szCs w:val="13"/>
                  <w:b w:val="1"/>
                  <w:bCs w:val="1"/>
                  <w:color w:val="0000FF"/>
                  <w:w w:val="89"/>
                </w:rPr>
                <w:t>Item</w:t>
              </w:r>
            </w:hyperlink>
          </w:p>
        </w:tc>
        <w:tc>
          <w:tcPr>
            <w:tcW w:w="1580" w:type="dxa"/>
            <w:vAlign w:val="bottom"/>
            <w:tcBorders>
              <w:top w:val="single" w:sz="8" w:color="0000FF"/>
              <w:bottom w:val="single" w:sz="8" w:color="0000FF"/>
            </w:tcBorders>
            <w:gridSpan w:val="9"/>
          </w:tcPr>
          <w:p>
            <w:pPr>
              <w:spacing w:after="0" w:line="147" w:lineRule="exact"/>
              <w:rPr>
                <w:rFonts w:ascii="Arial" w:cs="Arial" w:eastAsia="Arial" w:hAnsi="Arial"/>
                <w:sz w:val="13"/>
                <w:szCs w:val="13"/>
                <w:b w:val="1"/>
                <w:bCs w:val="1"/>
                <w:color w:val="0000FF"/>
                <w:w w:val="88"/>
              </w:rPr>
            </w:pPr>
            <w:hyperlink w:anchor="page40">
              <w:r>
                <w:rPr>
                  <w:rFonts w:ascii="Arial" w:cs="Arial" w:eastAsia="Arial" w:hAnsi="Arial"/>
                  <w:sz w:val="13"/>
                  <w:szCs w:val="13"/>
                  <w:b w:val="1"/>
                  <w:bCs w:val="1"/>
                  <w:color w:val="0000FF"/>
                  <w:w w:val="88"/>
                </w:rPr>
                <w:t>11. Executive Compensation</w:t>
              </w:r>
            </w:hyperlink>
          </w:p>
        </w:tc>
        <w:tc>
          <w:tcPr>
            <w:tcW w:w="1800" w:type="dxa"/>
            <w:vAlign w:val="bottom"/>
            <w:tcBorders>
              <w:top w:val="single" w:sz="8" w:color="0000FF"/>
            </w:tcBorders>
            <w:gridSpan w:val="5"/>
          </w:tcPr>
          <w:p>
            <w:pPr>
              <w:spacing w:after="0"/>
              <w:rPr>
                <w:sz w:val="12"/>
                <w:szCs w:val="12"/>
                <w:color w:val="auto"/>
              </w:rPr>
            </w:pPr>
          </w:p>
        </w:tc>
        <w:tc>
          <w:tcPr>
            <w:tcW w:w="6360" w:type="dxa"/>
            <w:vAlign w:val="bottom"/>
            <w:gridSpan w:val="7"/>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40">
              <w:r>
                <w:rPr>
                  <w:rFonts w:ascii="Arial" w:cs="Arial" w:eastAsia="Arial" w:hAnsi="Arial"/>
                  <w:sz w:val="13"/>
                  <w:szCs w:val="13"/>
                  <w:b w:val="1"/>
                  <w:bCs w:val="1"/>
                  <w:color w:val="auto"/>
                </w:rPr>
                <w:t>38</w:t>
              </w:r>
            </w:hyperlink>
          </w:p>
        </w:tc>
      </w:tr>
      <w:tr>
        <w:trPr>
          <w:trHeight w:val="147"/>
        </w:trPr>
        <w:tc>
          <w:tcPr>
            <w:tcW w:w="320" w:type="dxa"/>
            <w:vAlign w:val="bottom"/>
          </w:tcPr>
          <w:p>
            <w:pPr>
              <w:spacing w:after="0"/>
              <w:rPr>
                <w:sz w:val="12"/>
                <w:szCs w:val="12"/>
                <w:color w:val="auto"/>
              </w:rPr>
            </w:pPr>
          </w:p>
        </w:tc>
        <w:tc>
          <w:tcPr>
            <w:tcW w:w="280" w:type="dxa"/>
            <w:vAlign w:val="bottom"/>
            <w:gridSpan w:val="5"/>
          </w:tcPr>
          <w:p>
            <w:pPr>
              <w:jc w:val="right"/>
              <w:ind w:right="20"/>
              <w:spacing w:after="0" w:line="147" w:lineRule="exact"/>
              <w:rPr>
                <w:rFonts w:ascii="Arial" w:cs="Arial" w:eastAsia="Arial" w:hAnsi="Arial"/>
                <w:sz w:val="13"/>
                <w:szCs w:val="13"/>
                <w:b w:val="1"/>
                <w:bCs w:val="1"/>
                <w:color w:val="0000FF"/>
                <w:w w:val="89"/>
              </w:rPr>
            </w:pPr>
            <w:hyperlink w:anchor="page40">
              <w:r>
                <w:rPr>
                  <w:rFonts w:ascii="Arial" w:cs="Arial" w:eastAsia="Arial" w:hAnsi="Arial"/>
                  <w:sz w:val="13"/>
                  <w:szCs w:val="13"/>
                  <w:b w:val="1"/>
                  <w:bCs w:val="1"/>
                  <w:color w:val="0000FF"/>
                  <w:w w:val="89"/>
                </w:rPr>
                <w:t>Item</w:t>
              </w:r>
            </w:hyperlink>
          </w:p>
        </w:tc>
        <w:tc>
          <w:tcPr>
            <w:tcW w:w="9740" w:type="dxa"/>
            <w:vAlign w:val="bottom"/>
            <w:gridSpan w:val="21"/>
          </w:tcPr>
          <w:p>
            <w:pPr>
              <w:spacing w:after="0" w:line="147" w:lineRule="exact"/>
              <w:rPr>
                <w:rFonts w:ascii="Arial" w:cs="Arial" w:eastAsia="Arial" w:hAnsi="Arial"/>
                <w:sz w:val="13"/>
                <w:szCs w:val="13"/>
                <w:b w:val="1"/>
                <w:bCs w:val="1"/>
                <w:color w:val="0000FF"/>
              </w:rPr>
            </w:pPr>
            <w:hyperlink w:anchor="page40">
              <w:r>
                <w:rPr>
                  <w:rFonts w:ascii="Arial" w:cs="Arial" w:eastAsia="Arial" w:hAnsi="Arial"/>
                  <w:sz w:val="13"/>
                  <w:szCs w:val="13"/>
                  <w:b w:val="1"/>
                  <w:bCs w:val="1"/>
                  <w:color w:val="0000FF"/>
                </w:rPr>
                <w:t>12. Security Ownership of Certain Beneficial Owners and Management and Related Stockholder Matters</w:t>
              </w:r>
            </w:hyperlink>
          </w:p>
        </w:tc>
        <w:tc>
          <w:tcPr>
            <w:tcW w:w="900" w:type="dxa"/>
            <w:vAlign w:val="bottom"/>
          </w:tcPr>
          <w:p>
            <w:pPr>
              <w:jc w:val="right"/>
              <w:spacing w:after="0" w:line="147" w:lineRule="exact"/>
              <w:rPr>
                <w:rFonts w:ascii="Arial" w:cs="Arial" w:eastAsia="Arial" w:hAnsi="Arial"/>
                <w:sz w:val="13"/>
                <w:szCs w:val="13"/>
                <w:b w:val="1"/>
                <w:bCs w:val="1"/>
                <w:color w:val="auto"/>
              </w:rPr>
            </w:pPr>
            <w:hyperlink w:anchor="page40">
              <w:r>
                <w:rPr>
                  <w:rFonts w:ascii="Arial" w:cs="Arial" w:eastAsia="Arial" w:hAnsi="Arial"/>
                  <w:sz w:val="13"/>
                  <w:szCs w:val="13"/>
                  <w:b w:val="1"/>
                  <w:bCs w:val="1"/>
                  <w:color w:val="auto"/>
                </w:rPr>
                <w:t>38</w:t>
              </w:r>
            </w:hyperlink>
          </w:p>
        </w:tc>
      </w:tr>
      <w:tr>
        <w:trPr>
          <w:trHeight w:val="147"/>
        </w:trPr>
        <w:tc>
          <w:tcPr>
            <w:tcW w:w="320" w:type="dxa"/>
            <w:vAlign w:val="bottom"/>
          </w:tcPr>
          <w:p>
            <w:pPr>
              <w:spacing w:after="0"/>
              <w:rPr>
                <w:sz w:val="12"/>
                <w:szCs w:val="12"/>
                <w:color w:val="auto"/>
              </w:rPr>
            </w:pPr>
          </w:p>
        </w:tc>
        <w:tc>
          <w:tcPr>
            <w:tcW w:w="280" w:type="dxa"/>
            <w:vAlign w:val="bottom"/>
            <w:tcBorders>
              <w:top w:val="single" w:sz="8" w:color="0000FF"/>
              <w:bottom w:val="single" w:sz="8" w:color="0000FF"/>
            </w:tcBorders>
            <w:gridSpan w:val="5"/>
          </w:tcPr>
          <w:p>
            <w:pPr>
              <w:jc w:val="right"/>
              <w:ind w:right="20"/>
              <w:spacing w:after="0" w:line="147" w:lineRule="exact"/>
              <w:rPr>
                <w:rFonts w:ascii="Arial" w:cs="Arial" w:eastAsia="Arial" w:hAnsi="Arial"/>
                <w:sz w:val="13"/>
                <w:szCs w:val="13"/>
                <w:b w:val="1"/>
                <w:bCs w:val="1"/>
                <w:color w:val="0000FF"/>
                <w:w w:val="89"/>
              </w:rPr>
            </w:pPr>
            <w:hyperlink w:anchor="page40">
              <w:r>
                <w:rPr>
                  <w:rFonts w:ascii="Arial" w:cs="Arial" w:eastAsia="Arial" w:hAnsi="Arial"/>
                  <w:sz w:val="13"/>
                  <w:szCs w:val="13"/>
                  <w:b w:val="1"/>
                  <w:bCs w:val="1"/>
                  <w:color w:val="0000FF"/>
                  <w:w w:val="89"/>
                </w:rPr>
                <w:t>Item</w:t>
              </w:r>
            </w:hyperlink>
          </w:p>
        </w:tc>
        <w:tc>
          <w:tcPr>
            <w:tcW w:w="4460" w:type="dxa"/>
            <w:vAlign w:val="bottom"/>
            <w:tcBorders>
              <w:top w:val="single" w:sz="8" w:color="0000FF"/>
              <w:bottom w:val="single" w:sz="8" w:color="0000FF"/>
            </w:tcBorders>
            <w:gridSpan w:val="16"/>
          </w:tcPr>
          <w:p>
            <w:pPr>
              <w:spacing w:after="0" w:line="147" w:lineRule="exact"/>
              <w:rPr>
                <w:rFonts w:ascii="Arial" w:cs="Arial" w:eastAsia="Arial" w:hAnsi="Arial"/>
                <w:sz w:val="13"/>
                <w:szCs w:val="13"/>
                <w:b w:val="1"/>
                <w:bCs w:val="1"/>
                <w:color w:val="0000FF"/>
                <w:w w:val="90"/>
              </w:rPr>
            </w:pPr>
            <w:hyperlink w:anchor="page40">
              <w:r>
                <w:rPr>
                  <w:rFonts w:ascii="Arial" w:cs="Arial" w:eastAsia="Arial" w:hAnsi="Arial"/>
                  <w:sz w:val="13"/>
                  <w:szCs w:val="13"/>
                  <w:b w:val="1"/>
                  <w:bCs w:val="1"/>
                  <w:color w:val="0000FF"/>
                  <w:w w:val="90"/>
                </w:rPr>
                <w:t>13. Certain Relationships and Related Transactions, and Director Independence</w:t>
              </w:r>
            </w:hyperlink>
          </w:p>
        </w:tc>
        <w:tc>
          <w:tcPr>
            <w:tcW w:w="1400" w:type="dxa"/>
            <w:vAlign w:val="bottom"/>
            <w:tcBorders>
              <w:top w:val="single" w:sz="8" w:color="0000FF"/>
            </w:tcBorders>
            <w:gridSpan w:val="3"/>
          </w:tcPr>
          <w:p>
            <w:pPr>
              <w:spacing w:after="0"/>
              <w:rPr>
                <w:sz w:val="12"/>
                <w:szCs w:val="12"/>
                <w:color w:val="auto"/>
              </w:rPr>
            </w:pPr>
          </w:p>
        </w:tc>
        <w:tc>
          <w:tcPr>
            <w:tcW w:w="3880" w:type="dxa"/>
            <w:vAlign w:val="bottom"/>
            <w:gridSpan w:val="2"/>
          </w:tcPr>
          <w:p>
            <w:pPr>
              <w:spacing w:after="0"/>
              <w:rPr>
                <w:sz w:val="12"/>
                <w:szCs w:val="12"/>
                <w:color w:val="auto"/>
              </w:rPr>
            </w:pPr>
          </w:p>
        </w:tc>
        <w:tc>
          <w:tcPr>
            <w:tcW w:w="900" w:type="dxa"/>
            <w:vAlign w:val="bottom"/>
          </w:tcPr>
          <w:p>
            <w:pPr>
              <w:jc w:val="right"/>
              <w:spacing w:after="0" w:line="147" w:lineRule="exact"/>
              <w:rPr>
                <w:rFonts w:ascii="Arial" w:cs="Arial" w:eastAsia="Arial" w:hAnsi="Arial"/>
                <w:sz w:val="13"/>
                <w:szCs w:val="13"/>
                <w:b w:val="1"/>
                <w:bCs w:val="1"/>
                <w:color w:val="auto"/>
              </w:rPr>
            </w:pPr>
            <w:hyperlink w:anchor="page40">
              <w:r>
                <w:rPr>
                  <w:rFonts w:ascii="Arial" w:cs="Arial" w:eastAsia="Arial" w:hAnsi="Arial"/>
                  <w:sz w:val="13"/>
                  <w:szCs w:val="13"/>
                  <w:b w:val="1"/>
                  <w:bCs w:val="1"/>
                  <w:color w:val="auto"/>
                </w:rPr>
                <w:t>38</w:t>
              </w:r>
            </w:hyperlink>
          </w:p>
        </w:tc>
      </w:tr>
      <w:tr>
        <w:trPr>
          <w:trHeight w:val="147"/>
        </w:trPr>
        <w:tc>
          <w:tcPr>
            <w:tcW w:w="320" w:type="dxa"/>
            <w:vAlign w:val="bottom"/>
          </w:tcPr>
          <w:p>
            <w:pPr>
              <w:spacing w:after="0"/>
              <w:rPr>
                <w:sz w:val="12"/>
                <w:szCs w:val="12"/>
                <w:color w:val="auto"/>
              </w:rPr>
            </w:pPr>
          </w:p>
        </w:tc>
        <w:tc>
          <w:tcPr>
            <w:tcW w:w="280" w:type="dxa"/>
            <w:vAlign w:val="bottom"/>
            <w:gridSpan w:val="5"/>
          </w:tcPr>
          <w:p>
            <w:pPr>
              <w:jc w:val="right"/>
              <w:ind w:right="20"/>
              <w:spacing w:after="0" w:line="147" w:lineRule="exact"/>
              <w:rPr>
                <w:rFonts w:ascii="Arial" w:cs="Arial" w:eastAsia="Arial" w:hAnsi="Arial"/>
                <w:sz w:val="13"/>
                <w:szCs w:val="13"/>
                <w:b w:val="1"/>
                <w:bCs w:val="1"/>
                <w:color w:val="0000FF"/>
                <w:w w:val="89"/>
              </w:rPr>
            </w:pPr>
            <w:hyperlink w:anchor="page40">
              <w:r>
                <w:rPr>
                  <w:rFonts w:ascii="Arial" w:cs="Arial" w:eastAsia="Arial" w:hAnsi="Arial"/>
                  <w:sz w:val="13"/>
                  <w:szCs w:val="13"/>
                  <w:b w:val="1"/>
                  <w:bCs w:val="1"/>
                  <w:color w:val="0000FF"/>
                  <w:w w:val="89"/>
                </w:rPr>
                <w:t>Item</w:t>
              </w:r>
            </w:hyperlink>
          </w:p>
        </w:tc>
        <w:tc>
          <w:tcPr>
            <w:tcW w:w="9740" w:type="dxa"/>
            <w:vAlign w:val="bottom"/>
            <w:gridSpan w:val="21"/>
          </w:tcPr>
          <w:p>
            <w:pPr>
              <w:spacing w:after="0" w:line="147" w:lineRule="exact"/>
              <w:rPr>
                <w:rFonts w:ascii="Arial" w:cs="Arial" w:eastAsia="Arial" w:hAnsi="Arial"/>
                <w:sz w:val="13"/>
                <w:szCs w:val="13"/>
                <w:b w:val="1"/>
                <w:bCs w:val="1"/>
                <w:color w:val="0000FF"/>
              </w:rPr>
            </w:pPr>
            <w:hyperlink w:anchor="page40">
              <w:r>
                <w:rPr>
                  <w:rFonts w:ascii="Arial" w:cs="Arial" w:eastAsia="Arial" w:hAnsi="Arial"/>
                  <w:sz w:val="13"/>
                  <w:szCs w:val="13"/>
                  <w:b w:val="1"/>
                  <w:bCs w:val="1"/>
                  <w:color w:val="0000FF"/>
                </w:rPr>
                <w:t>14. Principal Accounting Fees and Services</w:t>
              </w:r>
            </w:hyperlink>
          </w:p>
        </w:tc>
        <w:tc>
          <w:tcPr>
            <w:tcW w:w="900" w:type="dxa"/>
            <w:vAlign w:val="bottom"/>
          </w:tcPr>
          <w:p>
            <w:pPr>
              <w:jc w:val="right"/>
              <w:spacing w:after="0" w:line="147" w:lineRule="exact"/>
              <w:rPr>
                <w:rFonts w:ascii="Arial" w:cs="Arial" w:eastAsia="Arial" w:hAnsi="Arial"/>
                <w:sz w:val="13"/>
                <w:szCs w:val="13"/>
                <w:b w:val="1"/>
                <w:bCs w:val="1"/>
                <w:color w:val="auto"/>
              </w:rPr>
            </w:pPr>
            <w:hyperlink w:anchor="page40">
              <w:r>
                <w:rPr>
                  <w:rFonts w:ascii="Arial" w:cs="Arial" w:eastAsia="Arial" w:hAnsi="Arial"/>
                  <w:sz w:val="13"/>
                  <w:szCs w:val="13"/>
                  <w:b w:val="1"/>
                  <w:bCs w:val="1"/>
                  <w:color w:val="auto"/>
                </w:rPr>
                <w:t>38</w:t>
              </w:r>
            </w:hyperlink>
          </w:p>
        </w:tc>
      </w:tr>
      <w:tr>
        <w:trPr>
          <w:trHeight w:val="20"/>
        </w:trPr>
        <w:tc>
          <w:tcPr>
            <w:tcW w:w="32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7"/>
        </w:trPr>
        <w:tc>
          <w:tcPr>
            <w:tcW w:w="580" w:type="dxa"/>
            <w:vAlign w:val="bottom"/>
            <w:tcBorders>
              <w:bottom w:val="single" w:sz="8" w:color="0000FF"/>
            </w:tcBorders>
            <w:gridSpan w:val="5"/>
          </w:tcPr>
          <w:p>
            <w:pPr>
              <w:jc w:val="right"/>
              <w:spacing w:after="0" w:line="147" w:lineRule="exact"/>
              <w:rPr>
                <w:rFonts w:ascii="Arial" w:cs="Arial" w:eastAsia="Arial" w:hAnsi="Arial"/>
                <w:sz w:val="13"/>
                <w:szCs w:val="13"/>
                <w:b w:val="1"/>
                <w:bCs w:val="1"/>
                <w:color w:val="0000FF"/>
              </w:rPr>
            </w:pPr>
            <w:hyperlink w:anchor="page40">
              <w:r>
                <w:rPr>
                  <w:rFonts w:ascii="Arial" w:cs="Arial" w:eastAsia="Arial" w:hAnsi="Arial"/>
                  <w:sz w:val="13"/>
                  <w:szCs w:val="13"/>
                  <w:b w:val="1"/>
                  <w:bCs w:val="1"/>
                  <w:color w:val="0000FF"/>
                </w:rPr>
                <w:t>PART IV:</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7"/>
        </w:trPr>
        <w:tc>
          <w:tcPr>
            <w:tcW w:w="320" w:type="dxa"/>
            <w:vAlign w:val="bottom"/>
          </w:tcPr>
          <w:p>
            <w:pPr>
              <w:spacing w:after="0"/>
              <w:rPr>
                <w:sz w:val="12"/>
                <w:szCs w:val="12"/>
                <w:color w:val="auto"/>
              </w:rPr>
            </w:pPr>
          </w:p>
        </w:tc>
        <w:tc>
          <w:tcPr>
            <w:tcW w:w="280" w:type="dxa"/>
            <w:vAlign w:val="bottom"/>
            <w:gridSpan w:val="5"/>
          </w:tcPr>
          <w:p>
            <w:pPr>
              <w:jc w:val="right"/>
              <w:ind w:right="20"/>
              <w:spacing w:after="0" w:line="147" w:lineRule="exact"/>
              <w:rPr>
                <w:rFonts w:ascii="Arial" w:cs="Arial" w:eastAsia="Arial" w:hAnsi="Arial"/>
                <w:sz w:val="13"/>
                <w:szCs w:val="13"/>
                <w:b w:val="1"/>
                <w:bCs w:val="1"/>
                <w:color w:val="0000FF"/>
                <w:w w:val="89"/>
              </w:rPr>
            </w:pPr>
            <w:hyperlink w:anchor="page41">
              <w:r>
                <w:rPr>
                  <w:rFonts w:ascii="Arial" w:cs="Arial" w:eastAsia="Arial" w:hAnsi="Arial"/>
                  <w:sz w:val="13"/>
                  <w:szCs w:val="13"/>
                  <w:b w:val="1"/>
                  <w:bCs w:val="1"/>
                  <w:color w:val="0000FF"/>
                  <w:w w:val="89"/>
                </w:rPr>
                <w:t>Item</w:t>
              </w:r>
            </w:hyperlink>
          </w:p>
        </w:tc>
        <w:tc>
          <w:tcPr>
            <w:tcW w:w="9740" w:type="dxa"/>
            <w:vAlign w:val="bottom"/>
            <w:gridSpan w:val="21"/>
          </w:tcPr>
          <w:p>
            <w:pPr>
              <w:spacing w:after="0" w:line="147" w:lineRule="exact"/>
              <w:rPr>
                <w:rFonts w:ascii="Arial" w:cs="Arial" w:eastAsia="Arial" w:hAnsi="Arial"/>
                <w:sz w:val="13"/>
                <w:szCs w:val="13"/>
                <w:b w:val="1"/>
                <w:bCs w:val="1"/>
                <w:color w:val="0000FF"/>
              </w:rPr>
            </w:pPr>
            <w:hyperlink w:anchor="page41">
              <w:r>
                <w:rPr>
                  <w:rFonts w:ascii="Arial" w:cs="Arial" w:eastAsia="Arial" w:hAnsi="Arial"/>
                  <w:sz w:val="13"/>
                  <w:szCs w:val="13"/>
                  <w:b w:val="1"/>
                  <w:bCs w:val="1"/>
                  <w:color w:val="0000FF"/>
                </w:rPr>
                <w:t>15. Exhibits, Financial Statement Schedules</w:t>
              </w:r>
            </w:hyperlink>
          </w:p>
        </w:tc>
        <w:tc>
          <w:tcPr>
            <w:tcW w:w="900" w:type="dxa"/>
            <w:vAlign w:val="bottom"/>
          </w:tcPr>
          <w:p>
            <w:pPr>
              <w:jc w:val="right"/>
              <w:spacing w:after="0" w:line="147" w:lineRule="exact"/>
              <w:rPr>
                <w:rFonts w:ascii="Arial" w:cs="Arial" w:eastAsia="Arial" w:hAnsi="Arial"/>
                <w:sz w:val="13"/>
                <w:szCs w:val="13"/>
                <w:b w:val="1"/>
                <w:bCs w:val="1"/>
                <w:color w:val="auto"/>
              </w:rPr>
            </w:pPr>
            <w:hyperlink w:anchor="page41">
              <w:r>
                <w:rPr>
                  <w:rFonts w:ascii="Arial" w:cs="Arial" w:eastAsia="Arial" w:hAnsi="Arial"/>
                  <w:sz w:val="13"/>
                  <w:szCs w:val="13"/>
                  <w:b w:val="1"/>
                  <w:bCs w:val="1"/>
                  <w:color w:val="auto"/>
                </w:rPr>
                <w:t>39</w:t>
              </w:r>
            </w:hyperlink>
          </w:p>
        </w:tc>
      </w:tr>
      <w:tr>
        <w:trPr>
          <w:trHeight w:val="20"/>
        </w:trPr>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47625</wp:posOffset>
            </wp:positionV>
            <wp:extent cx="719518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86"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90" w:lineRule="exact"/>
        <w:rPr>
          <w:sz w:val="20"/>
          <w:szCs w:val="20"/>
          <w:color w:val="auto"/>
        </w:rPr>
      </w:pPr>
    </w:p>
    <w:p>
      <w:pPr>
        <w:ind w:right="40" w:firstLine="353"/>
        <w:spacing w:after="0" w:line="259" w:lineRule="auto"/>
        <w:rPr>
          <w:sz w:val="20"/>
          <w:szCs w:val="20"/>
          <w:color w:val="auto"/>
        </w:rPr>
      </w:pPr>
      <w:r>
        <w:rPr>
          <w:rFonts w:ascii="Arial" w:cs="Arial" w:eastAsia="Arial" w:hAnsi="Arial"/>
          <w:sz w:val="13"/>
          <w:szCs w:val="13"/>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w:t>
      </w:r>
    </w:p>
    <w:p>
      <w:pPr>
        <w:spacing w:after="0" w:line="86" w:lineRule="exact"/>
        <w:rPr>
          <w:sz w:val="20"/>
          <w:szCs w:val="20"/>
          <w:color w:val="auto"/>
        </w:rPr>
      </w:pPr>
    </w:p>
    <w:p>
      <w:pPr>
        <w:ind w:firstLine="353"/>
        <w:spacing w:after="0" w:line="280" w:lineRule="auto"/>
        <w:rPr>
          <w:sz w:val="20"/>
          <w:szCs w:val="20"/>
          <w:color w:val="auto"/>
        </w:rPr>
      </w:pPr>
      <w:r>
        <w:rPr>
          <w:rFonts w:ascii="Arial" w:cs="Arial" w:eastAsia="Arial" w:hAnsi="Arial"/>
          <w:sz w:val="12"/>
          <w:szCs w:val="12"/>
          <w:color w:val="auto"/>
        </w:rPr>
        <w:t>We manage investment assets and provide services for our clients through our subsidiaries, Westwood Management Corp. and Westwood Advisors, L.L.C. (each of which is a registered investment adviser ("RIA") registered with the Securities and Exchange Commission and referred to hereinafter together as “Westwood Management”) and Westwood Trust. Westwood Management, founded in 1983,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use of commingled funds and individual securities to institutions and high net worth individuals. Our revenues are generally derived from fees based on a percentage of assets under management ("AUM"). Westwood Management and Westwood Trust collectively managed assets valued at approximately $14.5 billion at December 31, 2021. We were incorporated under the laws of the State of Delaware on December 12, 2001. Our common stock is listed on the New York Stock Exchange under the ticker symbol “WHG.” We are a holding company whose principal assets consist of the capital stock of Westwood Management and Westwood Trust.</w:t>
      </w:r>
    </w:p>
    <w:p>
      <w:pPr>
        <w:spacing w:after="0" w:line="49" w:lineRule="exact"/>
        <w:rPr>
          <w:sz w:val="20"/>
          <w:szCs w:val="20"/>
          <w:color w:val="auto"/>
        </w:rPr>
      </w:pPr>
    </w:p>
    <w:p>
      <w:pPr>
        <w:ind w:right="200" w:firstLine="353"/>
        <w:spacing w:after="0" w:line="263" w:lineRule="auto"/>
        <w:rPr>
          <w:sz w:val="20"/>
          <w:szCs w:val="20"/>
          <w:color w:val="auto"/>
        </w:rPr>
      </w:pPr>
      <w:r>
        <w:rPr>
          <w:rFonts w:ascii="Arial" w:cs="Arial" w:eastAsia="Arial" w:hAnsi="Arial"/>
          <w:sz w:val="13"/>
          <w:szCs w:val="13"/>
          <w:color w:val="auto"/>
        </w:rPr>
        <w:t>Prior to its liquidation in 2020, our wholly owned subsidiary, Westwood International Advisors, provided investment advisory services to institutional clients, the Westwood Funds®, other mutual funds, an Irish investment company authorized pursuant to the European Communities (Undertakings for Collective Investment in Transferable Securities) Regulation 2011 (as amended) (the “UCITS Fund”), individual investors and clients of Westwood Trust.</w:t>
      </w:r>
    </w:p>
    <w:p>
      <w:pPr>
        <w:spacing w:after="0" w:line="57" w:lineRule="exact"/>
        <w:rPr>
          <w:sz w:val="20"/>
          <w:szCs w:val="20"/>
          <w:color w:val="auto"/>
        </w:rPr>
      </w:pPr>
    </w:p>
    <w:p>
      <w:pPr>
        <w:jc w:val="both"/>
        <w:ind w:right="60" w:firstLine="353"/>
        <w:spacing w:after="0" w:line="263" w:lineRule="auto"/>
        <w:rPr>
          <w:sz w:val="20"/>
          <w:szCs w:val="20"/>
          <w:color w:val="auto"/>
        </w:rPr>
      </w:pPr>
      <w:r>
        <w:rPr>
          <w:rFonts w:ascii="Arial" w:cs="Arial" w:eastAsia="Arial" w:hAnsi="Arial"/>
          <w:sz w:val="13"/>
          <w:szCs w:val="13"/>
          <w:color w:val="auto"/>
        </w:rPr>
        <w:t>The success of our business is dependent on client, institutional investment consultant and intermediary relationships. We believe that, in addition to investment performance, client service is paramount in the asset management business. Accordingly, a major business focus is to build strong relationships with clients to enhance our ability to anticipate their needs and satisfy their investment objectives. Our team approach is designed to deliver efficient, responsive service to our clients.</w:t>
      </w:r>
    </w:p>
    <w:p>
      <w:pPr>
        <w:spacing w:after="0" w:line="57" w:lineRule="exact"/>
        <w:rPr>
          <w:sz w:val="20"/>
          <w:szCs w:val="20"/>
          <w:color w:val="auto"/>
        </w:rPr>
      </w:pPr>
    </w:p>
    <w:p>
      <w:pPr>
        <w:ind w:firstLine="353"/>
        <w:spacing w:after="0" w:line="263" w:lineRule="auto"/>
        <w:rPr>
          <w:sz w:val="20"/>
          <w:szCs w:val="20"/>
          <w:color w:val="auto"/>
        </w:rPr>
      </w:pPr>
      <w:r>
        <w:rPr>
          <w:rFonts w:ascii="Arial" w:cs="Arial" w:eastAsia="Arial" w:hAnsi="Arial"/>
          <w:sz w:val="13"/>
          <w:szCs w:val="13"/>
          <w:color w:val="auto"/>
        </w:rPr>
        <w:t>We have focused on building our foundation in terms of personnel and infrastructure to support a larger business. We have developed investment strategies that we expect to be desirable within our target institutional, wealth management and intermediary markets. Developing new investment strategies and building the organization can result in incurring expenses before significant offsetting revenues are realized. We continue to evaluate new strategies and resources in terms of meeting actual and potential investor needs.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Strategic Investments</w:t>
      </w:r>
    </w:p>
    <w:p>
      <w:pPr>
        <w:spacing w:after="0" w:line="86" w:lineRule="exact"/>
        <w:rPr>
          <w:sz w:val="20"/>
          <w:szCs w:val="20"/>
          <w:color w:val="auto"/>
        </w:rPr>
      </w:pPr>
    </w:p>
    <w:p>
      <w:pPr>
        <w:ind w:right="260" w:firstLine="353"/>
        <w:spacing w:after="0" w:line="275" w:lineRule="auto"/>
        <w:rPr>
          <w:sz w:val="20"/>
          <w:szCs w:val="20"/>
          <w:color w:val="auto"/>
        </w:rPr>
      </w:pPr>
      <w:r>
        <w:rPr>
          <w:rFonts w:ascii="Arial" w:cs="Arial" w:eastAsia="Arial" w:hAnsi="Arial"/>
          <w:sz w:val="13"/>
          <w:szCs w:val="13"/>
          <w:color w:val="auto"/>
        </w:rPr>
        <w:t>Other the past several years we have made several strategic investments, including in InvestCloud, a digital financial services provider ("InvestCloud"), in Charis, the parent company of Westwood Private Bank ("Charis"), and in Westwood Hospitality Fund I, LLC, a private investment fund offered to clients of Westwood Trust ("Westwood Hospitality").</w:t>
      </w:r>
    </w:p>
    <w:p>
      <w:pPr>
        <w:spacing w:after="0" w:line="49" w:lineRule="exact"/>
        <w:rPr>
          <w:sz w:val="20"/>
          <w:szCs w:val="20"/>
          <w:color w:val="auto"/>
        </w:rPr>
      </w:pPr>
    </w:p>
    <w:p>
      <w:pPr>
        <w:jc w:val="both"/>
        <w:ind w:right="20" w:firstLine="353"/>
        <w:spacing w:after="0" w:line="295" w:lineRule="auto"/>
        <w:rPr>
          <w:sz w:val="20"/>
          <w:szCs w:val="20"/>
          <w:color w:val="auto"/>
        </w:rPr>
      </w:pPr>
      <w:r>
        <w:rPr>
          <w:rFonts w:ascii="Arial" w:cs="Arial" w:eastAsia="Arial" w:hAnsi="Arial"/>
          <w:sz w:val="12"/>
          <w:szCs w:val="12"/>
          <w:color w:val="auto"/>
        </w:rPr>
        <w:t>InvestCloud. In addition to our investment in InvestCloud, we initiated a technology transformation several years ago with InvestCloud as a core provider. This technology transformation included overhauling our data warehouse and led to the launch of our online digital portals beginning in 2020. We have continued to build our technology infrastructure and roll out access to more clients in 2021. This portal provides our clients a centralized location to access their complete financial information securely. Our clients now have their information at their fingertips via most devices.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Charis. Charis provides traditional banking services through Westwood Private Bank and refers clients needing more complex financial planning and investment services to Westwood Wealth Management.</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Westwood Hospitality. Our investment in Westwood Hospitality has seeded our entry into certain private equity investments.</w:t>
      </w:r>
    </w:p>
    <w:p>
      <w:pPr>
        <w:spacing w:after="0" w:line="86" w:lineRule="exact"/>
        <w:rPr>
          <w:sz w:val="20"/>
          <w:szCs w:val="20"/>
          <w:color w:val="auto"/>
        </w:rPr>
      </w:pPr>
    </w:p>
    <w:p>
      <w:pPr>
        <w:ind w:right="180" w:firstLine="353"/>
        <w:spacing w:after="0" w:line="275" w:lineRule="auto"/>
        <w:rPr>
          <w:sz w:val="20"/>
          <w:szCs w:val="20"/>
          <w:color w:val="auto"/>
        </w:rPr>
      </w:pPr>
      <w:r>
        <w:rPr>
          <w:rFonts w:ascii="Arial" w:cs="Arial" w:eastAsia="Arial" w:hAnsi="Arial"/>
          <w:sz w:val="13"/>
          <w:szCs w:val="13"/>
          <w:color w:val="auto"/>
        </w:rPr>
        <w:t>Theses actions reflect our commitment to enhancing shareholder value while executing a thoughtful capital allocation plan where we continue to invest in people, products and processes to generate organic growth.</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Product Innovation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685" w:right="339" w:bottom="1440" w:gutter="0" w:footer="0" w:header="0"/>
        </w:sectPr>
      </w:pPr>
    </w:p>
    <w:bookmarkStart w:id="3" w:name="page4"/>
    <w:bookmarkEnd w:id="3"/>
    <w:p>
      <w:pPr>
        <w:ind w:right="220" w:firstLine="353"/>
        <w:spacing w:after="0" w:line="275" w:lineRule="auto"/>
        <w:rPr>
          <w:sz w:val="20"/>
          <w:szCs w:val="20"/>
          <w:color w:val="auto"/>
        </w:rPr>
      </w:pPr>
      <w:r>
        <w:rPr>
          <w:rFonts w:ascii="Arial" w:cs="Arial" w:eastAsia="Arial" w:hAnsi="Arial"/>
          <w:sz w:val="13"/>
          <w:szCs w:val="13"/>
          <w:color w:val="auto"/>
        </w:rPr>
        <w:t>In 2021 we launched three new mutual funds ― Westwood Quality AllCap, Westwood Quality MidCap and Westwood SmallCap Growth, which can provide additional growth through the addition of new clients.</w:t>
      </w:r>
    </w:p>
    <w:p>
      <w:pPr>
        <w:spacing w:after="0" w:line="49" w:lineRule="exact"/>
        <w:rPr>
          <w:sz w:val="20"/>
          <w:szCs w:val="20"/>
          <w:color w:val="auto"/>
        </w:rPr>
      </w:pPr>
    </w:p>
    <w:p>
      <w:pPr>
        <w:ind w:right="480" w:firstLine="353"/>
        <w:spacing w:after="0" w:line="377" w:lineRule="auto"/>
        <w:rPr>
          <w:sz w:val="20"/>
          <w:szCs w:val="20"/>
          <w:color w:val="auto"/>
        </w:rPr>
      </w:pPr>
      <w:r>
        <w:rPr>
          <w:rFonts w:ascii="Arial" w:cs="Arial" w:eastAsia="Arial" w:hAnsi="Arial"/>
          <w:sz w:val="13"/>
          <w:szCs w:val="13"/>
          <w:color w:val="auto"/>
        </w:rPr>
        <w:t xml:space="preserve">We have built an expanded and holistic Wealth Management offering which includes numerous custom services, tax management, fiduciary services and access to alternative investment opportunities. </w:t>
      </w:r>
      <w:r>
        <w:rPr>
          <w:rFonts w:ascii="Arial" w:cs="Arial" w:eastAsia="Arial" w:hAnsi="Arial"/>
          <w:sz w:val="13"/>
          <w:szCs w:val="13"/>
          <w:b w:val="1"/>
          <w:bCs w:val="1"/>
          <w:i w:val="1"/>
          <w:iCs w:val="1"/>
          <w:color w:val="auto"/>
        </w:rPr>
        <w:t>Available Information</w:t>
      </w:r>
    </w:p>
    <w:p>
      <w:pPr>
        <w:spacing w:after="0" w:line="1" w:lineRule="exact"/>
        <w:rPr>
          <w:sz w:val="20"/>
          <w:szCs w:val="20"/>
          <w:color w:val="auto"/>
        </w:rPr>
      </w:pPr>
    </w:p>
    <w:p>
      <w:pPr>
        <w:jc w:val="both"/>
        <w:ind w:right="40" w:firstLine="353"/>
        <w:spacing w:after="0" w:line="301" w:lineRule="auto"/>
        <w:rPr>
          <w:sz w:val="20"/>
          <w:szCs w:val="20"/>
          <w:color w:val="auto"/>
        </w:rPr>
      </w:pPr>
      <w:r>
        <w:rPr>
          <w:rFonts w:ascii="Arial" w:cs="Arial" w:eastAsia="Arial" w:hAnsi="Arial"/>
          <w:sz w:val="11"/>
          <w:szCs w:val="11"/>
          <w:color w:val="auto"/>
        </w:rPr>
        <w:t>We maintain a website at westwoodgroup.com. Information contained on, or connected to, our website is not incorporated by reference into this Report and should not be considered part of this Report or any other filing that we make with the Securities and Exchange Commission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Committee and Governance/Nominating Committee Charters are available without charge on our website.</w:t>
      </w:r>
    </w:p>
    <w:p>
      <w:pPr>
        <w:jc w:val="both"/>
        <w:ind w:right="40"/>
        <w:spacing w:after="0" w:line="263" w:lineRule="auto"/>
        <w:rPr>
          <w:sz w:val="20"/>
          <w:szCs w:val="20"/>
          <w:color w:val="auto"/>
        </w:rPr>
      </w:pPr>
      <w:r>
        <w:rPr>
          <w:rFonts w:ascii="Arial" w:cs="Arial" w:eastAsia="Arial" w:hAnsi="Arial"/>
          <w:sz w:val="13"/>
          <w:szCs w:val="13"/>
          <w:color w:val="auto"/>
        </w:rPr>
        <w:t>Stockholders also may obtain print copies of these documents free of charge by submitting a written request to Murray Forbes III, our Chief Financial Officer and Treasurer, at the address set forth on the front of this Report. The public can also obtain any public document we file with the SEC at www.sec.gov.</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Advisory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General</w:t>
      </w:r>
    </w:p>
    <w:p>
      <w:pPr>
        <w:spacing w:after="0" w:line="86" w:lineRule="exact"/>
        <w:rPr>
          <w:sz w:val="20"/>
          <w:szCs w:val="20"/>
          <w:color w:val="auto"/>
        </w:rPr>
      </w:pPr>
    </w:p>
    <w:p>
      <w:pPr>
        <w:ind w:right="340" w:firstLine="353"/>
        <w:spacing w:after="0" w:line="275" w:lineRule="auto"/>
        <w:rPr>
          <w:sz w:val="20"/>
          <w:szCs w:val="20"/>
          <w:color w:val="auto"/>
        </w:rPr>
      </w:pPr>
      <w:r>
        <w:rPr>
          <w:rFonts w:ascii="Arial" w:cs="Arial" w:eastAsia="Arial" w:hAnsi="Arial"/>
          <w:sz w:val="13"/>
          <w:szCs w:val="13"/>
          <w:color w:val="auto"/>
        </w:rPr>
        <w:t>Our advisory business encompasses two distinct investment teams – United States ("U.S.") Value Equity and Multi-Asset. Prior to September 30, 2020, our advisory business also included our Emerging Markets Equity team.</w:t>
      </w:r>
    </w:p>
    <w:p>
      <w:pPr>
        <w:spacing w:after="0" w:line="49" w:lineRule="exact"/>
        <w:rPr>
          <w:sz w:val="20"/>
          <w:szCs w:val="20"/>
          <w:color w:val="auto"/>
        </w:rPr>
      </w:pPr>
    </w:p>
    <w:p>
      <w:pPr>
        <w:ind w:firstLine="353"/>
        <w:spacing w:after="0" w:line="259" w:lineRule="auto"/>
        <w:rPr>
          <w:sz w:val="20"/>
          <w:szCs w:val="20"/>
          <w:color w:val="auto"/>
        </w:rPr>
      </w:pPr>
      <w:r>
        <w:rPr>
          <w:rFonts w:ascii="Arial" w:cs="Arial" w:eastAsia="Arial" w:hAnsi="Arial"/>
          <w:sz w:val="13"/>
          <w:szCs w:val="13"/>
          <w:color w:val="auto"/>
        </w:rPr>
        <w:t>Westwood Management provides investment advisory services to large institutions, including corporate retirement plans, public retirement plans, endowments and foundations. Institutional separate account minimums vary by investment strategy and generally range from $10 million to $25 million. Westwood Management also provides advisory services to individuals and the Westwood Funds®, as well as sub-advisory services to other mutual funds and pooled investment vehicles. Westwood Management’s investment strategies are managed by the U.S. Value Equity team and by the Multi-Asset team, both based in Dallas, Texas. Our U.S. investment professionals average over nineteen years of investment experience.</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Investment Strategies</w:t>
      </w:r>
    </w:p>
    <w:p>
      <w:pPr>
        <w:spacing w:after="0" w:line="86" w:lineRule="exact"/>
        <w:rPr>
          <w:sz w:val="20"/>
          <w:szCs w:val="20"/>
          <w:color w:val="auto"/>
        </w:rPr>
      </w:pPr>
    </w:p>
    <w:p>
      <w:pPr>
        <w:ind w:right="180" w:firstLine="353"/>
        <w:spacing w:after="0" w:line="275" w:lineRule="auto"/>
        <w:rPr>
          <w:sz w:val="20"/>
          <w:szCs w:val="20"/>
          <w:color w:val="auto"/>
        </w:rPr>
      </w:pPr>
      <w:r>
        <w:rPr>
          <w:rFonts w:ascii="Arial" w:cs="Arial" w:eastAsia="Arial" w:hAnsi="Arial"/>
          <w:sz w:val="13"/>
          <w:szCs w:val="13"/>
          <w:color w:val="auto"/>
        </w:rPr>
        <w:t>We offer high conviction equity and outcome-oriented solutions to address a wide range of investment objectives, including three strategies: LargeCap Value, Income Opportunity and SmallCap Value, each with over $1 billion in AUM.</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u w:val="single" w:color="auto"/>
          <w:color w:val="auto"/>
        </w:rPr>
        <w:t>U.S. Value Equity Team</w:t>
      </w:r>
    </w:p>
    <w:p>
      <w:pPr>
        <w:spacing w:after="0" w:line="86" w:lineRule="exact"/>
        <w:rPr>
          <w:sz w:val="20"/>
          <w:szCs w:val="20"/>
          <w:color w:val="auto"/>
        </w:rPr>
      </w:pPr>
    </w:p>
    <w:p>
      <w:pPr>
        <w:ind w:right="80" w:firstLine="353"/>
        <w:spacing w:after="0" w:line="257" w:lineRule="auto"/>
        <w:rPr>
          <w:sz w:val="20"/>
          <w:szCs w:val="20"/>
          <w:color w:val="auto"/>
        </w:rPr>
      </w:pPr>
      <w:r>
        <w:rPr>
          <w:rFonts w:ascii="Arial" w:cs="Arial" w:eastAsia="Arial" w:hAnsi="Arial"/>
          <w:sz w:val="13"/>
          <w:szCs w:val="13"/>
          <w:color w:val="auto"/>
        </w:rPr>
        <w:t>The U.S. Value Equity team employs a value-oriented approach focused on identifying undervalued, high quality businesses that can generate superior risk-adjusted returns, employing a fundamental bottom-up, three-step investment process. Our team seeks well-run businesses with conservative balance sheets and strong free cash flow that can grow their business value by funding growth initiatives or returning capital to shareholders. Identifying undervalued companies with strong fundamentals, where the outlook for future earnings growth is underestimated by the market, offers the potential for asymmetric returns. This investment approach is intended to preserve capital during unfavorable periods and provide superior real returns over the long term. We have established a track record of delivering competitive risk-adjusted returns for our clients. The principal investment strategies currently managed by the U.S. Value Equity team are as follows: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 xml:space="preserve">LargeCap Value: </w:t>
      </w:r>
      <w:r>
        <w:rPr>
          <w:rFonts w:ascii="Arial" w:cs="Arial" w:eastAsia="Arial" w:hAnsi="Arial"/>
          <w:sz w:val="13"/>
          <w:szCs w:val="13"/>
          <w:color w:val="auto"/>
        </w:rPr>
        <w:t>Investments in equity securities of approximately 40 to 60 companies benchmarked to the Russell 1000 Value Index.</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 xml:space="preserve">SMidCap Value: </w:t>
      </w:r>
      <w:r>
        <w:rPr>
          <w:rFonts w:ascii="Arial" w:cs="Arial" w:eastAsia="Arial" w:hAnsi="Arial"/>
          <w:sz w:val="13"/>
          <w:szCs w:val="13"/>
          <w:color w:val="auto"/>
        </w:rPr>
        <w:t>Investments in equity securities of approximately 50 to 70 companies benchmarked to the Russell 2500 Index.</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 xml:space="preserve">SmallCap Value: </w:t>
      </w:r>
      <w:r>
        <w:rPr>
          <w:rFonts w:ascii="Arial" w:cs="Arial" w:eastAsia="Arial" w:hAnsi="Arial"/>
          <w:sz w:val="13"/>
          <w:szCs w:val="13"/>
          <w:color w:val="auto"/>
        </w:rPr>
        <w:t>Investments in equity securities of approximately 50 to 70 companies benchmarked to the Russell 2000 Value Index.</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 xml:space="preserve">AllCap Value: </w:t>
      </w:r>
      <w:r>
        <w:rPr>
          <w:rFonts w:ascii="Arial" w:cs="Arial" w:eastAsia="Arial" w:hAnsi="Arial"/>
          <w:sz w:val="13"/>
          <w:szCs w:val="13"/>
          <w:color w:val="auto"/>
        </w:rPr>
        <w:t>Investments in equity securities of approximately 50 to 80 companies benchmarked to the Russell 3000 Value Index.</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u w:val="single" w:color="auto"/>
          <w:color w:val="auto"/>
        </w:rPr>
        <w:t>Multi-Asset Team</w:t>
      </w:r>
    </w:p>
    <w:p>
      <w:pPr>
        <w:spacing w:after="0" w:line="86" w:lineRule="exact"/>
        <w:rPr>
          <w:sz w:val="20"/>
          <w:szCs w:val="20"/>
          <w:color w:val="auto"/>
        </w:rPr>
      </w:pPr>
    </w:p>
    <w:p>
      <w:pPr>
        <w:ind w:left="360" w:right="40" w:firstLine="353"/>
        <w:spacing w:after="0" w:line="263" w:lineRule="auto"/>
        <w:rPr>
          <w:sz w:val="20"/>
          <w:szCs w:val="20"/>
          <w:color w:val="auto"/>
        </w:rPr>
      </w:pPr>
      <w:r>
        <w:rPr>
          <w:rFonts w:ascii="Arial" w:cs="Arial" w:eastAsia="Arial" w:hAnsi="Arial"/>
          <w:sz w:val="13"/>
          <w:szCs w:val="13"/>
          <w:color w:val="auto"/>
        </w:rPr>
        <w:t>The Multi-Asset team investment process applies both top down views across asset classes along with bottom up security selection, utilizing quantitative and fundamental tools to evaluate macro, micro and technical conditions across a range of asset classes. Our continuum of outcome-oriented solutions maintains defined strategic and tactical allocations and a discipline geared towards managing downside risks.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768" w:right="339" w:bottom="1440" w:gutter="0" w:footer="0" w:header="0"/>
        </w:sectPr>
      </w:pPr>
    </w:p>
    <w:bookmarkStart w:id="4" w:name="page5"/>
    <w:bookmarkEnd w:id="4"/>
    <w:p>
      <w:pPr>
        <w:ind w:left="360" w:right="180" w:firstLine="353"/>
        <w:spacing w:after="0" w:line="275" w:lineRule="auto"/>
        <w:rPr>
          <w:sz w:val="20"/>
          <w:szCs w:val="20"/>
          <w:color w:val="auto"/>
        </w:rPr>
      </w:pPr>
      <w:r>
        <w:rPr>
          <w:rFonts w:ascii="Arial" w:cs="Arial" w:eastAsia="Arial" w:hAnsi="Arial"/>
          <w:sz w:val="13"/>
          <w:szCs w:val="13"/>
          <w:color w:val="auto"/>
        </w:rPr>
        <w:t>The team draws on the proprietary fundamental research of Westwood's investment teams in order to identify securities with attractive risk-adjusted return profiles across a broad spectrum of income-producing securities. The principal investment strategies currently managed by the Multi-Asset team are as follows:</w:t>
      </w:r>
    </w:p>
    <w:p>
      <w:pPr>
        <w:spacing w:after="0" w:line="49"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 xml:space="preserve">Income Opportunity: </w:t>
      </w:r>
      <w:r>
        <w:rPr>
          <w:rFonts w:ascii="Arial" w:cs="Arial" w:eastAsia="Arial" w:hAnsi="Arial"/>
          <w:sz w:val="13"/>
          <w:szCs w:val="13"/>
          <w:color w:val="auto"/>
        </w:rPr>
        <w:t>Multi-asset strategy that invests across multiple bond sectors including convertibles and income-producing equity securities.</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1"/>
          <w:szCs w:val="11"/>
          <w:i w:val="1"/>
          <w:iCs w:val="1"/>
          <w:color w:val="auto"/>
        </w:rPr>
        <w:t xml:space="preserve">Alternative Income: </w:t>
      </w:r>
      <w:r>
        <w:rPr>
          <w:rFonts w:ascii="Arial" w:cs="Arial" w:eastAsia="Arial" w:hAnsi="Arial"/>
          <w:sz w:val="11"/>
          <w:szCs w:val="11"/>
          <w:color w:val="auto"/>
        </w:rPr>
        <w:t>Multi-strategy process seeking to generate positive absolute returns through a short duration yield portfolio of global convertible securities, convertible arbitrage and macro hedging.</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 xml:space="preserve">Total Return: </w:t>
      </w:r>
      <w:r>
        <w:rPr>
          <w:rFonts w:ascii="Arial" w:cs="Arial" w:eastAsia="Arial" w:hAnsi="Arial"/>
          <w:sz w:val="13"/>
          <w:szCs w:val="13"/>
          <w:color w:val="auto"/>
        </w:rPr>
        <w:t>Multi-asset strategy that invests across multiple bond sectors including convertibles and income-producing equity securities.</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 xml:space="preserve">High Income Fund: </w:t>
      </w:r>
      <w:r>
        <w:rPr>
          <w:rFonts w:ascii="Arial" w:cs="Arial" w:eastAsia="Arial" w:hAnsi="Arial"/>
          <w:sz w:val="13"/>
          <w:szCs w:val="13"/>
          <w:color w:val="auto"/>
        </w:rPr>
        <w:t>Multi-asset strategy that invests across multiple bond sectors including convertibles and income producing equity securities.</w:t>
      </w:r>
    </w:p>
    <w:p>
      <w:pPr>
        <w:spacing w:after="0" w:line="86" w:lineRule="exact"/>
        <w:rPr>
          <w:sz w:val="20"/>
          <w:szCs w:val="20"/>
          <w:color w:val="auto"/>
        </w:rPr>
      </w:pPr>
    </w:p>
    <w:p>
      <w:pPr>
        <w:ind w:right="20" w:firstLine="353"/>
        <w:spacing w:after="0" w:line="256" w:lineRule="auto"/>
        <w:rPr>
          <w:sz w:val="20"/>
          <w:szCs w:val="20"/>
          <w:color w:val="auto"/>
        </w:rPr>
      </w:pPr>
      <w:r>
        <w:rPr>
          <w:rFonts w:ascii="Arial" w:cs="Arial" w:eastAsia="Arial" w:hAnsi="Arial"/>
          <w:sz w:val="13"/>
          <w:szCs w:val="13"/>
          <w:color w:val="auto"/>
        </w:rPr>
        <w:t>Our ability to grow AUM is primarily dependent on our ability to generate competitive investment performance and our success in building strong relationships with investment consulting firms and other financial intermediaries, as well as our ability to develop new client relationships while nurturing and maintaining existing relationships. We continually seek to expand AUM by organically growing our existing investment strategies, as well by bringing new products to market. We intend to grow our investment strategies internally but may also consider acquiring new investment strategies from third parties, as discussed under “Growth Strategy” below. Our growth strategy provides clients with more investment opportunities and diversifies our AUM, thereby reducing risk in any one area of investment and increasing our competitive ability to attract new clients. Our ten largest clients accounted for approximately 22% of our fee revenues for the year ended December 31, 2021. The loss of some or all of these large clients could have a material adverse effect on our business and our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Advisory and Sub-advisory Agreements</w:t>
      </w:r>
    </w:p>
    <w:p>
      <w:pPr>
        <w:spacing w:after="0" w:line="86" w:lineRule="exact"/>
        <w:rPr>
          <w:sz w:val="20"/>
          <w:szCs w:val="20"/>
          <w:color w:val="auto"/>
        </w:rPr>
      </w:pPr>
    </w:p>
    <w:p>
      <w:pPr>
        <w:ind w:firstLine="353"/>
        <w:spacing w:after="0" w:line="281" w:lineRule="auto"/>
        <w:rPr>
          <w:sz w:val="20"/>
          <w:szCs w:val="20"/>
          <w:color w:val="auto"/>
        </w:rPr>
      </w:pPr>
      <w:r>
        <w:rPr>
          <w:rFonts w:ascii="Arial" w:cs="Arial" w:eastAsia="Arial" w:hAnsi="Arial"/>
          <w:sz w:val="12"/>
          <w:szCs w:val="12"/>
          <w:color w:val="auto"/>
        </w:rPr>
        <w:t>Westwood Management manages client accounts under investment advisory and sub-advisory agreements. Typical for the asset management industry, these agreements are usually terminable upon short notice and provide for compensation based on the market value of client AUM. Advisory fees are paid quarterly in advance based on AUM on the last day of the preceding quarter, quarterly in arrears based on AUM on the last day of the quarter just ended, or are based on a daily or monthly analysis of AUM for the stated period. Certain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50" w:lineRule="exact"/>
        <w:rPr>
          <w:sz w:val="20"/>
          <w:szCs w:val="20"/>
          <w:color w:val="auto"/>
        </w:rPr>
      </w:pPr>
    </w:p>
    <w:p>
      <w:pPr>
        <w:ind w:right="80" w:firstLine="353"/>
        <w:spacing w:after="0" w:line="275" w:lineRule="auto"/>
        <w:rPr>
          <w:sz w:val="20"/>
          <w:szCs w:val="20"/>
          <w:color w:val="auto"/>
        </w:rPr>
      </w:pPr>
      <w:r>
        <w:rPr>
          <w:rFonts w:ascii="Arial" w:cs="Arial" w:eastAsia="Arial" w:hAnsi="Arial"/>
          <w:sz w:val="13"/>
          <w:szCs w:val="13"/>
          <w:color w:val="auto"/>
        </w:rPr>
        <w:t>Westwood Management is party to sub-advisory agreements with other investment advisers under which it performs similar services under advisory agreements. Our sub-advisory fees are generally computed based upon the average daily AUM and are payable on a monthly basis.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Westwood Management provides investment advisory services to the Westwood Funds® family of mutual funds:</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80" w:type="dxa"/>
            <w:vAlign w:val="bottom"/>
          </w:tcPr>
          <w:p>
            <w:pPr>
              <w:spacing w:after="0"/>
              <w:rPr>
                <w:sz w:val="20"/>
                <w:szCs w:val="20"/>
                <w:color w:val="auto"/>
              </w:rPr>
            </w:pPr>
            <w:r>
              <w:rPr>
                <w:rFonts w:ascii="Arial" w:cs="Arial" w:eastAsia="Arial" w:hAnsi="Arial"/>
                <w:sz w:val="13"/>
                <w:szCs w:val="13"/>
                <w:color w:val="auto"/>
              </w:rPr>
              <w:t>●</w:t>
            </w:r>
          </w:p>
        </w:tc>
        <w:tc>
          <w:tcPr>
            <w:tcW w:w="4180" w:type="dxa"/>
            <w:vAlign w:val="bottom"/>
          </w:tcPr>
          <w:p>
            <w:pPr>
              <w:ind w:left="180"/>
              <w:spacing w:after="0"/>
              <w:rPr>
                <w:sz w:val="20"/>
                <w:szCs w:val="20"/>
                <w:color w:val="auto"/>
              </w:rPr>
            </w:pPr>
            <w:r>
              <w:rPr>
                <w:rFonts w:ascii="Arial" w:cs="Arial" w:eastAsia="Arial" w:hAnsi="Arial"/>
                <w:sz w:val="12"/>
                <w:szCs w:val="12"/>
                <w:color w:val="auto"/>
              </w:rPr>
              <w:t>Westwood Alternative Income (WMNIX, WMNUX)</w:t>
            </w:r>
          </w:p>
        </w:tc>
        <w:tc>
          <w:tcPr>
            <w:tcW w:w="1280" w:type="dxa"/>
            <w:vAlign w:val="bottom"/>
          </w:tcPr>
          <w:p>
            <w:pPr>
              <w:ind w:left="1020"/>
              <w:spacing w:after="0"/>
              <w:rPr>
                <w:sz w:val="20"/>
                <w:szCs w:val="20"/>
                <w:color w:val="auto"/>
              </w:rPr>
            </w:pPr>
            <w:r>
              <w:rPr>
                <w:rFonts w:ascii="Arial" w:cs="Arial" w:eastAsia="Arial" w:hAnsi="Arial"/>
                <w:sz w:val="12"/>
                <w:szCs w:val="12"/>
                <w:color w:val="auto"/>
              </w:rPr>
              <w:t>●</w:t>
            </w:r>
          </w:p>
        </w:tc>
        <w:tc>
          <w:tcPr>
            <w:tcW w:w="3120" w:type="dxa"/>
            <w:vAlign w:val="bottom"/>
          </w:tcPr>
          <w:p>
            <w:pPr>
              <w:ind w:left="200"/>
              <w:spacing w:after="0"/>
              <w:rPr>
                <w:sz w:val="20"/>
                <w:szCs w:val="20"/>
                <w:color w:val="auto"/>
              </w:rPr>
            </w:pPr>
            <w:r>
              <w:rPr>
                <w:rFonts w:ascii="Arial" w:cs="Arial" w:eastAsia="Arial" w:hAnsi="Arial"/>
                <w:sz w:val="12"/>
                <w:szCs w:val="12"/>
                <w:color w:val="auto"/>
                <w:w w:val="92"/>
              </w:rPr>
              <w:t>Westwood Quality SmallCap (WHGSX, WHGAX, WHGCX)</w:t>
            </w:r>
          </w:p>
        </w:tc>
      </w:tr>
      <w:tr>
        <w:trPr>
          <w:trHeight w:val="167"/>
        </w:trPr>
        <w:tc>
          <w:tcPr>
            <w:tcW w:w="280" w:type="dxa"/>
            <w:vAlign w:val="bottom"/>
          </w:tcPr>
          <w:p>
            <w:pPr>
              <w:spacing w:after="0"/>
              <w:rPr>
                <w:sz w:val="20"/>
                <w:szCs w:val="20"/>
                <w:color w:val="auto"/>
              </w:rPr>
            </w:pPr>
            <w:r>
              <w:rPr>
                <w:rFonts w:ascii="Arial" w:cs="Arial" w:eastAsia="Arial" w:hAnsi="Arial"/>
                <w:sz w:val="13"/>
                <w:szCs w:val="13"/>
                <w:color w:val="auto"/>
              </w:rPr>
              <w:t>●</w:t>
            </w:r>
          </w:p>
        </w:tc>
        <w:tc>
          <w:tcPr>
            <w:tcW w:w="4180" w:type="dxa"/>
            <w:vAlign w:val="bottom"/>
          </w:tcPr>
          <w:p>
            <w:pPr>
              <w:ind w:left="180"/>
              <w:spacing w:after="0"/>
              <w:rPr>
                <w:sz w:val="20"/>
                <w:szCs w:val="20"/>
                <w:color w:val="auto"/>
              </w:rPr>
            </w:pPr>
            <w:r>
              <w:rPr>
                <w:rFonts w:ascii="Arial" w:cs="Arial" w:eastAsia="Arial" w:hAnsi="Arial"/>
                <w:sz w:val="12"/>
                <w:szCs w:val="12"/>
                <w:color w:val="auto"/>
              </w:rPr>
              <w:t>Westwood High Income (WHGHX, WSDAX)</w:t>
            </w:r>
          </w:p>
        </w:tc>
        <w:tc>
          <w:tcPr>
            <w:tcW w:w="1280" w:type="dxa"/>
            <w:vAlign w:val="bottom"/>
          </w:tcPr>
          <w:p>
            <w:pPr>
              <w:ind w:left="1020"/>
              <w:spacing w:after="0"/>
              <w:rPr>
                <w:sz w:val="20"/>
                <w:szCs w:val="20"/>
                <w:color w:val="auto"/>
              </w:rPr>
            </w:pPr>
            <w:r>
              <w:rPr>
                <w:rFonts w:ascii="Arial" w:cs="Arial" w:eastAsia="Arial" w:hAnsi="Arial"/>
                <w:sz w:val="12"/>
                <w:szCs w:val="12"/>
                <w:color w:val="auto"/>
              </w:rPr>
              <w:t>●</w:t>
            </w:r>
          </w:p>
        </w:tc>
        <w:tc>
          <w:tcPr>
            <w:tcW w:w="3120" w:type="dxa"/>
            <w:vAlign w:val="bottom"/>
          </w:tcPr>
          <w:p>
            <w:pPr>
              <w:ind w:left="200"/>
              <w:spacing w:after="0"/>
              <w:rPr>
                <w:sz w:val="20"/>
                <w:szCs w:val="20"/>
                <w:color w:val="auto"/>
              </w:rPr>
            </w:pPr>
            <w:r>
              <w:rPr>
                <w:rFonts w:ascii="Arial" w:cs="Arial" w:eastAsia="Arial" w:hAnsi="Arial"/>
                <w:sz w:val="12"/>
                <w:szCs w:val="12"/>
                <w:color w:val="auto"/>
              </w:rPr>
              <w:t>Westwood Quality SMidCap (WHGMX)</w:t>
            </w:r>
          </w:p>
        </w:tc>
      </w:tr>
      <w:tr>
        <w:trPr>
          <w:trHeight w:val="167"/>
        </w:trPr>
        <w:tc>
          <w:tcPr>
            <w:tcW w:w="280" w:type="dxa"/>
            <w:vAlign w:val="bottom"/>
          </w:tcPr>
          <w:p>
            <w:pPr>
              <w:spacing w:after="0"/>
              <w:rPr>
                <w:sz w:val="20"/>
                <w:szCs w:val="20"/>
                <w:color w:val="auto"/>
              </w:rPr>
            </w:pPr>
            <w:r>
              <w:rPr>
                <w:rFonts w:ascii="Arial" w:cs="Arial" w:eastAsia="Arial" w:hAnsi="Arial"/>
                <w:sz w:val="13"/>
                <w:szCs w:val="13"/>
                <w:color w:val="auto"/>
              </w:rPr>
              <w:t>●</w:t>
            </w:r>
          </w:p>
        </w:tc>
        <w:tc>
          <w:tcPr>
            <w:tcW w:w="4180" w:type="dxa"/>
            <w:vAlign w:val="bottom"/>
          </w:tcPr>
          <w:p>
            <w:pPr>
              <w:ind w:left="180"/>
              <w:spacing w:after="0"/>
              <w:rPr>
                <w:sz w:val="20"/>
                <w:szCs w:val="20"/>
                <w:color w:val="auto"/>
              </w:rPr>
            </w:pPr>
            <w:r>
              <w:rPr>
                <w:rFonts w:ascii="Arial" w:cs="Arial" w:eastAsia="Arial" w:hAnsi="Arial"/>
                <w:sz w:val="12"/>
                <w:szCs w:val="12"/>
                <w:color w:val="auto"/>
              </w:rPr>
              <w:t>Westwood Income Opportunity (WHGIX, WWIAX, WWICX)</w:t>
            </w:r>
          </w:p>
        </w:tc>
        <w:tc>
          <w:tcPr>
            <w:tcW w:w="1280" w:type="dxa"/>
            <w:vAlign w:val="bottom"/>
          </w:tcPr>
          <w:p>
            <w:pPr>
              <w:ind w:left="1020"/>
              <w:spacing w:after="0"/>
              <w:rPr>
                <w:sz w:val="20"/>
                <w:szCs w:val="20"/>
                <w:color w:val="auto"/>
              </w:rPr>
            </w:pPr>
            <w:r>
              <w:rPr>
                <w:rFonts w:ascii="Arial" w:cs="Arial" w:eastAsia="Arial" w:hAnsi="Arial"/>
                <w:sz w:val="12"/>
                <w:szCs w:val="12"/>
                <w:color w:val="auto"/>
              </w:rPr>
              <w:t>●</w:t>
            </w:r>
          </w:p>
        </w:tc>
        <w:tc>
          <w:tcPr>
            <w:tcW w:w="3120" w:type="dxa"/>
            <w:vAlign w:val="bottom"/>
          </w:tcPr>
          <w:p>
            <w:pPr>
              <w:ind w:left="200"/>
              <w:spacing w:after="0"/>
              <w:rPr>
                <w:sz w:val="20"/>
                <w:szCs w:val="20"/>
                <w:color w:val="auto"/>
              </w:rPr>
            </w:pPr>
            <w:r>
              <w:rPr>
                <w:rFonts w:ascii="Arial" w:cs="Arial" w:eastAsia="Arial" w:hAnsi="Arial"/>
                <w:sz w:val="12"/>
                <w:szCs w:val="12"/>
                <w:color w:val="auto"/>
              </w:rPr>
              <w:t>Westwood Quality Value (WHGLX)</w:t>
            </w:r>
          </w:p>
        </w:tc>
      </w:tr>
      <w:tr>
        <w:trPr>
          <w:trHeight w:val="167"/>
        </w:trPr>
        <w:tc>
          <w:tcPr>
            <w:tcW w:w="280" w:type="dxa"/>
            <w:vAlign w:val="bottom"/>
          </w:tcPr>
          <w:p>
            <w:pPr>
              <w:spacing w:after="0"/>
              <w:rPr>
                <w:sz w:val="20"/>
                <w:szCs w:val="20"/>
                <w:color w:val="auto"/>
              </w:rPr>
            </w:pPr>
            <w:r>
              <w:rPr>
                <w:rFonts w:ascii="Arial" w:cs="Arial" w:eastAsia="Arial" w:hAnsi="Arial"/>
                <w:sz w:val="13"/>
                <w:szCs w:val="13"/>
                <w:color w:val="auto"/>
              </w:rPr>
              <w:t>●</w:t>
            </w:r>
          </w:p>
        </w:tc>
        <w:tc>
          <w:tcPr>
            <w:tcW w:w="4180" w:type="dxa"/>
            <w:vAlign w:val="bottom"/>
          </w:tcPr>
          <w:p>
            <w:pPr>
              <w:ind w:left="180"/>
              <w:spacing w:after="0"/>
              <w:rPr>
                <w:sz w:val="20"/>
                <w:szCs w:val="20"/>
                <w:color w:val="auto"/>
              </w:rPr>
            </w:pPr>
            <w:r>
              <w:rPr>
                <w:rFonts w:ascii="Arial" w:cs="Arial" w:eastAsia="Arial" w:hAnsi="Arial"/>
                <w:sz w:val="12"/>
                <w:szCs w:val="12"/>
                <w:color w:val="auto"/>
              </w:rPr>
              <w:t>Westwood Quality AllCap (WQAIX)</w:t>
            </w:r>
          </w:p>
        </w:tc>
        <w:tc>
          <w:tcPr>
            <w:tcW w:w="1280" w:type="dxa"/>
            <w:vAlign w:val="bottom"/>
          </w:tcPr>
          <w:p>
            <w:pPr>
              <w:ind w:left="1020"/>
              <w:spacing w:after="0"/>
              <w:rPr>
                <w:sz w:val="20"/>
                <w:szCs w:val="20"/>
                <w:color w:val="auto"/>
              </w:rPr>
            </w:pPr>
            <w:r>
              <w:rPr>
                <w:rFonts w:ascii="Arial" w:cs="Arial" w:eastAsia="Arial" w:hAnsi="Arial"/>
                <w:sz w:val="12"/>
                <w:szCs w:val="12"/>
                <w:color w:val="auto"/>
              </w:rPr>
              <w:t>●</w:t>
            </w:r>
          </w:p>
        </w:tc>
        <w:tc>
          <w:tcPr>
            <w:tcW w:w="3120" w:type="dxa"/>
            <w:vAlign w:val="bottom"/>
          </w:tcPr>
          <w:p>
            <w:pPr>
              <w:ind w:left="200"/>
              <w:spacing w:after="0"/>
              <w:rPr>
                <w:sz w:val="20"/>
                <w:szCs w:val="20"/>
                <w:color w:val="auto"/>
              </w:rPr>
            </w:pPr>
            <w:r>
              <w:rPr>
                <w:rFonts w:ascii="Arial" w:cs="Arial" w:eastAsia="Arial" w:hAnsi="Arial"/>
                <w:sz w:val="12"/>
                <w:szCs w:val="12"/>
                <w:color w:val="auto"/>
              </w:rPr>
              <w:t>Westwood SmallCap Growth (WSCIX)</w:t>
            </w:r>
          </w:p>
        </w:tc>
      </w:tr>
      <w:tr>
        <w:trPr>
          <w:trHeight w:val="167"/>
        </w:trPr>
        <w:tc>
          <w:tcPr>
            <w:tcW w:w="280" w:type="dxa"/>
            <w:vAlign w:val="bottom"/>
          </w:tcPr>
          <w:p>
            <w:pPr>
              <w:spacing w:after="0"/>
              <w:rPr>
                <w:sz w:val="20"/>
                <w:szCs w:val="20"/>
                <w:color w:val="auto"/>
              </w:rPr>
            </w:pPr>
            <w:r>
              <w:rPr>
                <w:rFonts w:ascii="Arial" w:cs="Arial" w:eastAsia="Arial" w:hAnsi="Arial"/>
                <w:sz w:val="13"/>
                <w:szCs w:val="13"/>
                <w:color w:val="auto"/>
              </w:rPr>
              <w:t>●</w:t>
            </w:r>
          </w:p>
        </w:tc>
        <w:tc>
          <w:tcPr>
            <w:tcW w:w="4180" w:type="dxa"/>
            <w:vAlign w:val="bottom"/>
          </w:tcPr>
          <w:p>
            <w:pPr>
              <w:ind w:left="180"/>
              <w:spacing w:after="0"/>
              <w:rPr>
                <w:sz w:val="20"/>
                <w:szCs w:val="20"/>
                <w:color w:val="auto"/>
              </w:rPr>
            </w:pPr>
            <w:r>
              <w:rPr>
                <w:rFonts w:ascii="Arial" w:cs="Arial" w:eastAsia="Arial" w:hAnsi="Arial"/>
                <w:sz w:val="12"/>
                <w:szCs w:val="12"/>
                <w:color w:val="auto"/>
              </w:rPr>
              <w:t>Westwood Quality MidCap (WWMCX)</w:t>
            </w:r>
          </w:p>
        </w:tc>
        <w:tc>
          <w:tcPr>
            <w:tcW w:w="1280" w:type="dxa"/>
            <w:vAlign w:val="bottom"/>
          </w:tcPr>
          <w:p>
            <w:pPr>
              <w:ind w:left="1020"/>
              <w:spacing w:after="0"/>
              <w:rPr>
                <w:sz w:val="20"/>
                <w:szCs w:val="20"/>
                <w:color w:val="auto"/>
              </w:rPr>
            </w:pPr>
            <w:r>
              <w:rPr>
                <w:rFonts w:ascii="Arial" w:cs="Arial" w:eastAsia="Arial" w:hAnsi="Arial"/>
                <w:sz w:val="12"/>
                <w:szCs w:val="12"/>
                <w:color w:val="auto"/>
              </w:rPr>
              <w:t>●</w:t>
            </w:r>
          </w:p>
        </w:tc>
        <w:tc>
          <w:tcPr>
            <w:tcW w:w="3120" w:type="dxa"/>
            <w:vAlign w:val="bottom"/>
          </w:tcPr>
          <w:p>
            <w:pPr>
              <w:ind w:left="200"/>
              <w:spacing w:after="0"/>
              <w:rPr>
                <w:sz w:val="20"/>
                <w:szCs w:val="20"/>
                <w:color w:val="auto"/>
              </w:rPr>
            </w:pPr>
            <w:r>
              <w:rPr>
                <w:rFonts w:ascii="Arial" w:cs="Arial" w:eastAsia="Arial" w:hAnsi="Arial"/>
                <w:sz w:val="12"/>
                <w:szCs w:val="12"/>
                <w:color w:val="auto"/>
              </w:rPr>
              <w:t>Westwood Total Return (WLVIX)</w:t>
            </w:r>
          </w:p>
        </w:tc>
      </w:tr>
    </w:tbl>
    <w:p>
      <w:pPr>
        <w:spacing w:after="0" w:line="21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As of December 31, 2021, the Westwood Funds® had AUM of $3.0 billion.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General</w:t>
      </w:r>
    </w:p>
    <w:p>
      <w:pPr>
        <w:spacing w:after="0" w:line="86" w:lineRule="exact"/>
        <w:rPr>
          <w:sz w:val="20"/>
          <w:szCs w:val="20"/>
          <w:color w:val="auto"/>
        </w:rPr>
      </w:pPr>
    </w:p>
    <w:p>
      <w:pPr>
        <w:ind w:right="180" w:firstLine="353"/>
        <w:spacing w:after="0" w:line="263" w:lineRule="auto"/>
        <w:rPr>
          <w:sz w:val="20"/>
          <w:szCs w:val="20"/>
          <w:color w:val="auto"/>
        </w:rPr>
      </w:pPr>
      <w:r>
        <w:rPr>
          <w:rFonts w:ascii="Arial" w:cs="Arial" w:eastAsia="Arial" w:hAnsi="Arial"/>
          <w:sz w:val="13"/>
          <w:szCs w:val="13"/>
          <w:color w:val="auto"/>
        </w:rPr>
        <w:t>Through the combined efforts of the Dallas and Houston offices of Westwood Trust, we provide fiduciary and investment services to high net worth individuals and families, non-profit endowments and foundations, public and private retirement plans and individual retirement accounts (“IRAs”). Westwood Trust is chartered and regulated by the Texas Department of Banking. Fees charged by Westwood Trust are separately negotiated with each client and are typically based on AUM. Clients generally have at least $1 million in investable assets.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Fiduciary Services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5" w:name="page6"/>
    <w:bookmarkEnd w:id="5"/>
    <w:p>
      <w:pPr>
        <w:ind w:right="300" w:firstLine="353"/>
        <w:spacing w:after="0" w:line="275" w:lineRule="auto"/>
        <w:rPr>
          <w:sz w:val="20"/>
          <w:szCs w:val="20"/>
          <w:color w:val="auto"/>
        </w:rPr>
      </w:pPr>
      <w:r>
        <w:rPr>
          <w:rFonts w:ascii="Arial" w:cs="Arial" w:eastAsia="Arial" w:hAnsi="Arial"/>
          <w:sz w:val="13"/>
          <w:szCs w:val="13"/>
          <w:color w:val="auto"/>
        </w:rPr>
        <w:t>Westwood Trust’s fiduciary services include but are not limited to: financial planning, wealth transfer planning, customizable trust services, trust administration and estate settlement. Westwood Trust also provides custodial services, tax reporting, accounting of trust income and principal, beneficiary and retiree distributions and safekeeping of assets.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Investment Services</w:t>
      </w:r>
    </w:p>
    <w:p>
      <w:pPr>
        <w:spacing w:after="0" w:line="86" w:lineRule="exact"/>
        <w:rPr>
          <w:sz w:val="20"/>
          <w:szCs w:val="20"/>
          <w:color w:val="auto"/>
        </w:rPr>
      </w:pPr>
    </w:p>
    <w:p>
      <w:pPr>
        <w:ind w:right="20" w:firstLine="353"/>
        <w:spacing w:after="0" w:line="284" w:lineRule="auto"/>
        <w:rPr>
          <w:sz w:val="20"/>
          <w:szCs w:val="20"/>
          <w:color w:val="auto"/>
        </w:rPr>
      </w:pPr>
      <w:r>
        <w:rPr>
          <w:rFonts w:ascii="Arial" w:cs="Arial" w:eastAsia="Arial" w:hAnsi="Arial"/>
          <w:sz w:val="12"/>
          <w:szCs w:val="12"/>
          <w:color w:val="auto"/>
        </w:rPr>
        <w:t>Westwood Trust utilizes a consultative approach in developing a client’s portfolio asset allocation. Our approach involves examining clients' financial situations, including their current portfolio of investments, and advising clients on ways to reduce risk, enhance investment returns and strengthen their financial position based on each client’s unique objectives and constraints. Westwood Trust seeks to define and improve risk/return profiles of client investment portfolios by offering a comprehensive investment solution or by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the internal investment team in our Houston office. Fixed income portfolios consist of targeted “laddered” portfolios of primarily high-quality municipal securities.</w:t>
      </w:r>
    </w:p>
    <w:p>
      <w:pPr>
        <w:spacing w:after="0" w:line="46" w:lineRule="exact"/>
        <w:rPr>
          <w:sz w:val="20"/>
          <w:szCs w:val="20"/>
          <w:color w:val="auto"/>
        </w:rPr>
      </w:pPr>
    </w:p>
    <w:p>
      <w:pPr>
        <w:ind w:right="20" w:firstLine="353"/>
        <w:spacing w:after="0" w:line="263" w:lineRule="auto"/>
        <w:rPr>
          <w:sz w:val="20"/>
          <w:szCs w:val="20"/>
          <w:color w:val="auto"/>
        </w:rPr>
      </w:pPr>
      <w:r>
        <w:rPr>
          <w:rFonts w:ascii="Arial" w:cs="Arial" w:eastAsia="Arial" w:hAnsi="Arial"/>
          <w:sz w:val="13"/>
          <w:szCs w:val="13"/>
          <w:color w:val="auto"/>
        </w:rPr>
        <w:t>Westwood Trust also sponsors a range of commingled funds in which client assets are commingled to achieve economies of scale. Westwood Trust’s commingled funds fall within two basic categories: personal trusts (common trust funds) and employee benefit trusts (collective investment funds). Westwood Trust sponsors commingled funds for most of the investment strategies managed by Westwood Management and Westwood International Advisors (prior to its 2020 closure).</w:t>
      </w:r>
    </w:p>
    <w:p>
      <w:pPr>
        <w:spacing w:after="0" w:line="57" w:lineRule="exact"/>
        <w:rPr>
          <w:sz w:val="20"/>
          <w:szCs w:val="20"/>
          <w:color w:val="auto"/>
        </w:rPr>
      </w:pPr>
    </w:p>
    <w:p>
      <w:pPr>
        <w:ind w:right="180" w:firstLine="353"/>
        <w:spacing w:after="0" w:line="275" w:lineRule="auto"/>
        <w:rPr>
          <w:sz w:val="20"/>
          <w:szCs w:val="20"/>
          <w:color w:val="auto"/>
        </w:rPr>
      </w:pPr>
      <w:r>
        <w:rPr>
          <w:rFonts w:ascii="Arial" w:cs="Arial" w:eastAsia="Arial" w:hAnsi="Arial"/>
          <w:sz w:val="13"/>
          <w:szCs w:val="13"/>
          <w:color w:val="auto"/>
        </w:rPr>
        <w:t>Westwood Trust also develops asset allocation models for certain clients utilizing its commingled funds, mutual funds managed by Westwood Management and Westwood International Advisors (prior to its 2020 closure), and non-affiliated mutual funds.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Enhanced Balanced® Portfolios</w:t>
      </w:r>
    </w:p>
    <w:p>
      <w:pPr>
        <w:spacing w:after="0" w:line="86" w:lineRule="exact"/>
        <w:rPr>
          <w:sz w:val="20"/>
          <w:szCs w:val="20"/>
          <w:color w:val="auto"/>
        </w:rPr>
      </w:pPr>
    </w:p>
    <w:p>
      <w:pPr>
        <w:ind w:right="240" w:firstLine="353"/>
        <w:spacing w:after="0" w:line="263" w:lineRule="auto"/>
        <w:rPr>
          <w:sz w:val="20"/>
          <w:szCs w:val="20"/>
          <w:color w:val="auto"/>
        </w:rPr>
      </w:pPr>
      <w:r>
        <w:rPr>
          <w:rFonts w:ascii="Arial" w:cs="Arial" w:eastAsia="Arial" w:hAnsi="Arial"/>
          <w:sz w:val="13"/>
          <w:szCs w:val="13"/>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 given level of risk. Periodic adjustments are made to asset class weightings in Enhanced Balanced® portfolios based on historical returns, risk and correlation data, and our current capital markets outlook.</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Select Equity Strategy</w:t>
      </w:r>
    </w:p>
    <w:p>
      <w:pPr>
        <w:spacing w:after="0" w:line="86" w:lineRule="exact"/>
        <w:rPr>
          <w:sz w:val="20"/>
          <w:szCs w:val="20"/>
          <w:color w:val="auto"/>
        </w:rPr>
      </w:pPr>
    </w:p>
    <w:p>
      <w:pPr>
        <w:ind w:right="100" w:firstLine="353"/>
        <w:spacing w:after="0" w:line="263" w:lineRule="auto"/>
        <w:rPr>
          <w:sz w:val="20"/>
          <w:szCs w:val="20"/>
          <w:color w:val="auto"/>
        </w:rPr>
      </w:pPr>
      <w:r>
        <w:rPr>
          <w:rFonts w:ascii="Arial" w:cs="Arial" w:eastAsia="Arial" w:hAnsi="Arial"/>
          <w:sz w:val="13"/>
          <w:szCs w:val="13"/>
          <w:color w:val="auto"/>
        </w:rPr>
        <w:t>The Westwood Select Equity strategy aims to provide low-frequency turnover and tax efficiency to high net worth individuals. The offering allows individuals to own a diversified portfolio of best ideas from across Westwood's investment teams. The portfolios are diversified and include value and growth stocks, along with small-, mid- and large-cap stocks. Westwood Select Equity is also available without the tax efficiency overlay.</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 Channels</w:t>
      </w:r>
    </w:p>
    <w:p>
      <w:pPr>
        <w:spacing w:after="0" w:line="86" w:lineRule="exact"/>
        <w:rPr>
          <w:sz w:val="20"/>
          <w:szCs w:val="20"/>
          <w:color w:val="auto"/>
        </w:rPr>
      </w:pPr>
    </w:p>
    <w:p>
      <w:pPr>
        <w:ind w:right="160" w:firstLine="353"/>
        <w:spacing w:after="0" w:line="263" w:lineRule="auto"/>
        <w:rPr>
          <w:sz w:val="20"/>
          <w:szCs w:val="20"/>
          <w:color w:val="auto"/>
        </w:rPr>
      </w:pPr>
      <w:r>
        <w:rPr>
          <w:rFonts w:ascii="Arial" w:cs="Arial" w:eastAsia="Arial" w:hAnsi="Arial"/>
          <w:sz w:val="13"/>
          <w:szCs w:val="13"/>
          <w:color w:val="auto"/>
        </w:rPr>
        <w:t>We distribute our Westwood Management investment funds and advisory services through two primary market channels - Institutional and Intermediary. Our Distribution sales and support infrastructure supports the marketing and client service in both channels. Westwood Wealth Management provides wealth and investment management solutions primarily to individuals and utilizes both Westwood Management and external investment management services.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Institutional</w:t>
      </w:r>
    </w:p>
    <w:p>
      <w:pPr>
        <w:spacing w:after="0" w:line="86" w:lineRule="exact"/>
        <w:rPr>
          <w:sz w:val="20"/>
          <w:szCs w:val="20"/>
          <w:color w:val="auto"/>
        </w:rPr>
      </w:pPr>
    </w:p>
    <w:p>
      <w:pPr>
        <w:ind w:firstLine="353"/>
        <w:spacing w:after="0" w:line="295" w:lineRule="auto"/>
        <w:rPr>
          <w:sz w:val="20"/>
          <w:szCs w:val="20"/>
          <w:color w:val="auto"/>
        </w:rPr>
      </w:pPr>
      <w:r>
        <w:rPr>
          <w:rFonts w:ascii="Arial" w:cs="Arial" w:eastAsia="Arial" w:hAnsi="Arial"/>
          <w:sz w:val="12"/>
          <w:szCs w:val="12"/>
          <w:color w:val="auto"/>
        </w:rPr>
        <w:t>The institutional team markets Westwood funds and advisory and sub-advisory services to pension and defined contribution corporate and public plan sponsors, foundations and endowments, financial institutions and their investment consultants. We have established strong relationships with many global, national and regional investment consulting firms, which collectively have contributed to our being considered and hired by their clients. Sub-advising the funds of other financial institutions allows us to extend our marketing reach through other firms' distribution systems.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Intermediary and Retail</w:t>
      </w:r>
    </w:p>
    <w:p>
      <w:pPr>
        <w:spacing w:after="0" w:line="86" w:lineRule="exact"/>
        <w:rPr>
          <w:sz w:val="20"/>
          <w:szCs w:val="20"/>
          <w:color w:val="auto"/>
        </w:rPr>
      </w:pPr>
    </w:p>
    <w:p>
      <w:pPr>
        <w:ind w:right="20" w:firstLine="353"/>
        <w:spacing w:after="0" w:line="259" w:lineRule="auto"/>
        <w:rPr>
          <w:sz w:val="20"/>
          <w:szCs w:val="20"/>
          <w:color w:val="auto"/>
        </w:rPr>
      </w:pPr>
      <w:r>
        <w:rPr>
          <w:rFonts w:ascii="Arial" w:cs="Arial" w:eastAsia="Arial" w:hAnsi="Arial"/>
          <w:sz w:val="13"/>
          <w:szCs w:val="13"/>
          <w:color w:val="auto"/>
        </w:rPr>
        <w:t>In our intermediary and retail channel, our team directly markets our investment services, including the Westwood Funds®, to financial intermediaries, RIAs, broker-dealers, turnkey asset management programs and select mutual fund platforms. By leveraging our firm relationships we are also able to offer our strategies within select defined contribution and other retirement plans where clients utilize a mutual fund vehicle. We also continue to expand our relationships with financial intermediaries that manage discretionary mutual fund models. Our wholesaling group markets our mutual funds and separately managed accounts directly to select broker-dealers and RIAs.</w:t>
      </w:r>
    </w:p>
    <w:p>
      <w:pPr>
        <w:spacing w:after="0" w:line="60" w:lineRule="exact"/>
        <w:rPr>
          <w:sz w:val="20"/>
          <w:szCs w:val="20"/>
          <w:color w:val="auto"/>
        </w:rPr>
      </w:pPr>
    </w:p>
    <w:p>
      <w:pPr>
        <w:ind w:right="360" w:firstLine="353"/>
        <w:spacing w:after="0" w:line="275" w:lineRule="auto"/>
        <w:rPr>
          <w:sz w:val="20"/>
          <w:szCs w:val="20"/>
          <w:color w:val="auto"/>
        </w:rPr>
      </w:pPr>
      <w:r>
        <w:rPr>
          <w:rFonts w:ascii="Arial" w:cs="Arial" w:eastAsia="Arial" w:hAnsi="Arial"/>
          <w:sz w:val="13"/>
          <w:szCs w:val="13"/>
          <w:color w:val="auto"/>
        </w:rPr>
        <w:t>Managed accounts are similar in some respects to mutual fund relationships in that a third-party financial institution, such as a broker-dealer or RIA, trades securities under our model. The end client in a managed account is typically a high net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6" w:name="page7"/>
    <w:bookmarkEnd w:id="6"/>
    <w:p>
      <w:pPr>
        <w:ind w:right="120"/>
        <w:spacing w:after="0" w:line="275" w:lineRule="auto"/>
        <w:rPr>
          <w:sz w:val="20"/>
          <w:szCs w:val="20"/>
          <w:color w:val="auto"/>
        </w:rPr>
      </w:pPr>
      <w:r>
        <w:rPr>
          <w:rFonts w:ascii="Arial" w:cs="Arial" w:eastAsia="Arial" w:hAnsi="Arial"/>
          <w:sz w:val="13"/>
          <w:szCs w:val="13"/>
          <w:color w:val="auto"/>
        </w:rPr>
        <w:t>worth individual or small institution that would prefer to own shares directly, rather than in a mutual fund. In these arrangements, the third-party financial institution is responsible to the end client for client service, operations and accounting.</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Wealth Management</w:t>
      </w:r>
    </w:p>
    <w:p>
      <w:pPr>
        <w:spacing w:after="0" w:line="86" w:lineRule="exact"/>
        <w:rPr>
          <w:sz w:val="20"/>
          <w:szCs w:val="20"/>
          <w:color w:val="auto"/>
        </w:rPr>
      </w:pPr>
    </w:p>
    <w:p>
      <w:pPr>
        <w:ind w:right="300" w:firstLine="353"/>
        <w:spacing w:after="0" w:line="275" w:lineRule="auto"/>
        <w:rPr>
          <w:sz w:val="20"/>
          <w:szCs w:val="20"/>
          <w:color w:val="auto"/>
        </w:rPr>
      </w:pPr>
      <w:r>
        <w:rPr>
          <w:rFonts w:ascii="Arial" w:cs="Arial" w:eastAsia="Arial" w:hAnsi="Arial"/>
          <w:sz w:val="13"/>
          <w:szCs w:val="13"/>
          <w:color w:val="auto"/>
        </w:rPr>
        <w:t>In our wealth management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Growth Strategy</w:t>
      </w:r>
    </w:p>
    <w:p>
      <w:pPr>
        <w:spacing w:after="0" w:line="86" w:lineRule="exact"/>
        <w:rPr>
          <w:sz w:val="20"/>
          <w:szCs w:val="20"/>
          <w:color w:val="auto"/>
        </w:rPr>
      </w:pPr>
    </w:p>
    <w:p>
      <w:pPr>
        <w:ind w:right="300" w:firstLine="353"/>
        <w:spacing w:after="0" w:line="275" w:lineRule="auto"/>
        <w:rPr>
          <w:sz w:val="20"/>
          <w:szCs w:val="20"/>
          <w:color w:val="auto"/>
        </w:rPr>
      </w:pPr>
      <w:r>
        <w:rPr>
          <w:rFonts w:ascii="Arial" w:cs="Arial" w:eastAsia="Arial" w:hAnsi="Arial"/>
          <w:sz w:val="13"/>
          <w:szCs w:val="13"/>
          <w:color w:val="auto"/>
        </w:rPr>
        <w:t>We believe that we have established a strong platform to support future growth, deriving our strength in large part from the experience and capabilities of our management team and skilled investment and client professionals. We believe that opportunities for future growth will come from our ability to:</w:t>
      </w:r>
    </w:p>
    <w:p>
      <w:pPr>
        <w:spacing w:after="0" w:line="49" w:lineRule="exact"/>
        <w:rPr>
          <w:sz w:val="20"/>
          <w:szCs w:val="20"/>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generate growth in our investment management platform from new and existing clients and consultant relationships, while expanding intermediary distribution;</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attract and retain key employees;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grow assets in our existing and new investment strategies;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continue to enhance our digital capabilities;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foster continued growth of the wealth management platform and distribution channel;</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foster expanded intermediary distribution;</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pursue strategic corporate development opportunities;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offer a diverse array of financial services such as banking and private equity investing through strategic alliances;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pursue international opportunities through targeted sales and relationships with international distributors and institutional investors;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continue to strengthen our brand name;</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innovation in products and services, as well as new channels; and</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develop or acquire new investment strategies.</w:t>
      </w:r>
    </w:p>
    <w:p>
      <w:pPr>
        <w:spacing w:after="0" w:line="86" w:lineRule="exact"/>
        <w:rPr>
          <w:sz w:val="20"/>
          <w:szCs w:val="20"/>
          <w:color w:val="auto"/>
        </w:rPr>
      </w:pPr>
    </w:p>
    <w:p>
      <w:pPr>
        <w:ind w:firstLine="353"/>
        <w:spacing w:after="0" w:line="311" w:lineRule="auto"/>
        <w:rPr>
          <w:sz w:val="20"/>
          <w:szCs w:val="20"/>
          <w:color w:val="auto"/>
        </w:rPr>
      </w:pPr>
      <w:r>
        <w:rPr>
          <w:rFonts w:ascii="Arial" w:cs="Arial" w:eastAsia="Arial" w:hAnsi="Arial"/>
          <w:sz w:val="11"/>
          <w:szCs w:val="11"/>
          <w:i w:val="1"/>
          <w:iCs w:val="1"/>
          <w:color w:val="auto"/>
        </w:rPr>
        <w:t>Generate growth from new and existing clients and consultant relationships, while expanding intermediary distribution</w:t>
      </w:r>
      <w:r>
        <w:rPr>
          <w:rFonts w:ascii="Arial" w:cs="Arial" w:eastAsia="Arial" w:hAnsi="Arial"/>
          <w:sz w:val="11"/>
          <w:szCs w:val="11"/>
          <w:color w:val="auto"/>
        </w:rPr>
        <w:t>. As our primary business objective, we intend to maintain and enhance existing</w:t>
      </w:r>
      <w:r>
        <w:rPr>
          <w:rFonts w:ascii="Arial" w:cs="Arial" w:eastAsia="Arial" w:hAnsi="Arial"/>
          <w:sz w:val="11"/>
          <w:szCs w:val="11"/>
          <w:i w:val="1"/>
          <w:iCs w:val="1"/>
          <w:color w:val="auto"/>
        </w:rPr>
        <w:t xml:space="preserve"> </w:t>
      </w:r>
      <w:r>
        <w:rPr>
          <w:rFonts w:ascii="Arial" w:cs="Arial" w:eastAsia="Arial" w:hAnsi="Arial"/>
          <w:sz w:val="11"/>
          <w:szCs w:val="11"/>
          <w:color w:val="auto"/>
        </w:rPr>
        <w:t>relationships with clients, investment consultants and intermediaries by providing value added investment performance and client service. Over the last few years, we have expanded and restructured our distribution team to improve our proactive sales and client engagement strategy. We intend to pursue growth via targeted sales and marketing efforts that showcase our boutique offering of high-conviction equity and outcome-oriented solutions, our consistent investment performance and superior client service. New institutional client accounts are sourced from either investment consultants or from our direct sales efforts with institutional investors. In the intermediary channel, we also intend to broaden platform placement and expand our SMA offering. We believe that the in-depth knowledge of our firm, our people and our processes embedded in our consultant and platform relationships, as well as in existing and prospective relationships, are key factors when being considered for new client investment mandates and platform placements.</w:t>
      </w:r>
    </w:p>
    <w:p>
      <w:pPr>
        <w:spacing w:after="0" w:line="36" w:lineRule="exact"/>
        <w:rPr>
          <w:sz w:val="20"/>
          <w:szCs w:val="20"/>
          <w:color w:val="auto"/>
        </w:rPr>
      </w:pPr>
    </w:p>
    <w:p>
      <w:pPr>
        <w:jc w:val="both"/>
        <w:ind w:right="120" w:firstLine="353"/>
        <w:spacing w:after="0" w:line="263" w:lineRule="auto"/>
        <w:rPr>
          <w:sz w:val="20"/>
          <w:szCs w:val="20"/>
          <w:color w:val="auto"/>
        </w:rPr>
      </w:pPr>
      <w:r>
        <w:rPr>
          <w:rFonts w:ascii="Arial" w:cs="Arial" w:eastAsia="Arial" w:hAnsi="Arial"/>
          <w:sz w:val="13"/>
          <w:szCs w:val="13"/>
          <w:i w:val="1"/>
          <w:iCs w:val="1"/>
          <w:color w:val="auto"/>
        </w:rPr>
        <w:t>Attract and retain key employees</w:t>
      </w:r>
      <w:r>
        <w:rPr>
          <w:rFonts w:ascii="Arial" w:cs="Arial" w:eastAsia="Arial" w:hAnsi="Arial"/>
          <w:sz w:val="13"/>
          <w:szCs w:val="13"/>
          <w:color w:val="auto"/>
        </w:rPr>
        <w:t>. We believe that we have created a workplace environment in which motivated, performance-driven and client-oriented individuals can thrive. As a public company, we offer</w:t>
      </w:r>
      <w:r>
        <w:rPr>
          <w:rFonts w:ascii="Arial" w:cs="Arial" w:eastAsia="Arial" w:hAnsi="Arial"/>
          <w:sz w:val="13"/>
          <w:szCs w:val="13"/>
          <w:i w:val="1"/>
          <w:iCs w:val="1"/>
          <w:color w:val="auto"/>
        </w:rPr>
        <w:t xml:space="preserve"> </w:t>
      </w:r>
      <w:r>
        <w:rPr>
          <w:rFonts w:ascii="Arial" w:cs="Arial" w:eastAsia="Arial" w:hAnsi="Arial"/>
          <w:sz w:val="13"/>
          <w:szCs w:val="13"/>
          <w:color w:val="auto"/>
        </w:rPr>
        <w:t>our employees a compensation program that includes strong equity incentives to closely align their success with that of our clients and stockholders. We believe that these factors are critical to maintaining a stable, client-focused environment that can support future growth.</w:t>
      </w:r>
    </w:p>
    <w:p>
      <w:pPr>
        <w:spacing w:after="0" w:line="57" w:lineRule="exact"/>
        <w:rPr>
          <w:sz w:val="20"/>
          <w:szCs w:val="20"/>
          <w:color w:val="auto"/>
        </w:rPr>
      </w:pPr>
    </w:p>
    <w:p>
      <w:pPr>
        <w:ind w:right="440" w:firstLine="353"/>
        <w:spacing w:after="0" w:line="275" w:lineRule="auto"/>
        <w:rPr>
          <w:sz w:val="20"/>
          <w:szCs w:val="20"/>
          <w:color w:val="auto"/>
        </w:rPr>
      </w:pPr>
      <w:r>
        <w:rPr>
          <w:rFonts w:ascii="Arial" w:cs="Arial" w:eastAsia="Arial" w:hAnsi="Arial"/>
          <w:sz w:val="13"/>
          <w:szCs w:val="13"/>
          <w:i w:val="1"/>
          <w:iCs w:val="1"/>
          <w:color w:val="auto"/>
        </w:rPr>
        <w:t>Grow assets in our existing investment strategies</w:t>
      </w:r>
      <w:r>
        <w:rPr>
          <w:rFonts w:ascii="Arial" w:cs="Arial" w:eastAsia="Arial" w:hAnsi="Arial"/>
          <w:sz w:val="13"/>
          <w:szCs w:val="13"/>
          <w:color w:val="auto"/>
        </w:rPr>
        <w:t>. We have significant capacity to manage additional assets across our existing range of investment strategies. We have developed a range of institutional</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 strategies by building on the core competencies of our U.S. Value Equity and Multi-Asset teams.</w:t>
      </w:r>
    </w:p>
    <w:p>
      <w:pPr>
        <w:spacing w:after="0" w:line="49" w:lineRule="exact"/>
        <w:rPr>
          <w:sz w:val="20"/>
          <w:szCs w:val="20"/>
          <w:color w:val="auto"/>
        </w:rPr>
      </w:pPr>
    </w:p>
    <w:p>
      <w:pPr>
        <w:ind w:right="120" w:firstLine="353"/>
        <w:spacing w:after="0" w:line="259" w:lineRule="auto"/>
        <w:rPr>
          <w:sz w:val="20"/>
          <w:szCs w:val="20"/>
          <w:color w:val="auto"/>
        </w:rPr>
      </w:pPr>
      <w:r>
        <w:rPr>
          <w:rFonts w:ascii="Arial" w:cs="Arial" w:eastAsia="Arial" w:hAnsi="Arial"/>
          <w:sz w:val="13"/>
          <w:szCs w:val="13"/>
          <w:i w:val="1"/>
          <w:iCs w:val="1"/>
          <w:color w:val="auto"/>
        </w:rPr>
        <w:t xml:space="preserve">Continue to enhance our digital capabilities. </w:t>
      </w:r>
      <w:r>
        <w:rPr>
          <w:rFonts w:ascii="Arial" w:cs="Arial" w:eastAsia="Arial" w:hAnsi="Arial"/>
          <w:sz w:val="13"/>
          <w:szCs w:val="13"/>
          <w:color w:val="auto"/>
        </w:rPr>
        <w:t>Over the past several years we have invested a significant amount of capital to enhance our automation and digital efficiency. We moved our technology</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to secure, cloud-based access, created a data warehouse to improve our investment operations work flow, upgraded our trade order management and trade compliance systems, digitized our portfolio accounting and reconciliation system, and outsourced our trading function. We are also developing digital client portals for our institutional and wealth management clients. We believe these investments position us to improve efficiencies and better respond to consumer demand for digital interaction with investment advisors.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7" w:name="page8"/>
    <w:bookmarkEnd w:id="7"/>
    <w:p>
      <w:pPr>
        <w:ind w:right="260" w:firstLine="353"/>
        <w:spacing w:after="0" w:line="288" w:lineRule="auto"/>
        <w:rPr>
          <w:sz w:val="20"/>
          <w:szCs w:val="20"/>
          <w:color w:val="auto"/>
        </w:rPr>
      </w:pPr>
      <w:r>
        <w:rPr>
          <w:rFonts w:ascii="Arial" w:cs="Arial" w:eastAsia="Arial" w:hAnsi="Arial"/>
          <w:sz w:val="12"/>
          <w:szCs w:val="12"/>
          <w:i w:val="1"/>
          <w:iCs w:val="1"/>
          <w:color w:val="auto"/>
        </w:rPr>
        <w:t xml:space="preserve">Foster continued growth of the wealth management platform and distribution channel. </w:t>
      </w:r>
      <w:r>
        <w:rPr>
          <w:rFonts w:ascii="Arial" w:cs="Arial" w:eastAsia="Arial" w:hAnsi="Arial"/>
          <w:sz w:val="12"/>
          <w:szCs w:val="12"/>
          <w:color w:val="auto"/>
        </w:rPr>
        <w:t>Westwood Trust serves high net worth individuals and families, as well as small to medium-sized institutions. We</w:t>
      </w:r>
      <w:r>
        <w:rPr>
          <w:rFonts w:ascii="Arial" w:cs="Arial" w:eastAsia="Arial" w:hAnsi="Arial"/>
          <w:sz w:val="12"/>
          <w:szCs w:val="12"/>
          <w:i w:val="1"/>
          <w:iCs w:val="1"/>
          <w:color w:val="auto"/>
        </w:rPr>
        <w:t xml:space="preserve"> </w:t>
      </w:r>
      <w:r>
        <w:rPr>
          <w:rFonts w:ascii="Arial" w:cs="Arial" w:eastAsia="Arial" w:hAnsi="Arial"/>
          <w:sz w:val="12"/>
          <w:szCs w:val="12"/>
          <w:color w:val="auto"/>
        </w:rPr>
        <w:t>anticipate continued interest from clients and prospects in our diversified, highly attentive service model. A significant percentage of asset inflows at Westwood Trust stems from referrals, as well as gathering additional assets from existing clients. We believe that our Enhanced Balanced</w:t>
      </w:r>
      <w:r>
        <w:rPr>
          <w:rFonts w:ascii="Arial" w:cs="Arial" w:eastAsia="Arial" w:hAnsi="Arial"/>
          <w:sz w:val="12"/>
          <w:szCs w:val="12"/>
          <w:i w:val="1"/>
          <w:iCs w:val="1"/>
          <w:color w:val="auto"/>
        </w:rPr>
        <w:t>®</w:t>
      </w:r>
      <w:r>
        <w:rPr>
          <w:rFonts w:ascii="Arial" w:cs="Arial" w:eastAsia="Arial" w:hAnsi="Arial"/>
          <w:sz w:val="12"/>
          <w:szCs w:val="12"/>
          <w:color w:val="auto"/>
        </w:rPr>
        <w:t xml:space="preserve"> strategy, which offers diversified exposure to multiple asset classes in a comprehensive manner, our Select Equity strategy, which offers diversified equity exposure in a tax-efficient manner, and our separately managed portfolio offerings all provide opportunities for growth.</w:t>
      </w:r>
    </w:p>
    <w:p>
      <w:pPr>
        <w:spacing w:after="0" w:line="43" w:lineRule="exact"/>
        <w:rPr>
          <w:sz w:val="20"/>
          <w:szCs w:val="20"/>
          <w:color w:val="auto"/>
        </w:rPr>
      </w:pPr>
    </w:p>
    <w:p>
      <w:pPr>
        <w:ind w:right="40" w:firstLine="353"/>
        <w:spacing w:after="0" w:line="263" w:lineRule="auto"/>
        <w:rPr>
          <w:sz w:val="20"/>
          <w:szCs w:val="20"/>
          <w:color w:val="auto"/>
        </w:rPr>
      </w:pPr>
      <w:r>
        <w:rPr>
          <w:rFonts w:ascii="Arial" w:cs="Arial" w:eastAsia="Arial" w:hAnsi="Arial"/>
          <w:sz w:val="13"/>
          <w:szCs w:val="13"/>
          <w:i w:val="1"/>
          <w:iCs w:val="1"/>
          <w:color w:val="auto"/>
        </w:rPr>
        <w:t>Foster expanded intermediary distribution</w:t>
      </w:r>
      <w:r>
        <w:rPr>
          <w:rFonts w:ascii="Arial" w:cs="Arial" w:eastAsia="Arial" w:hAnsi="Arial"/>
          <w:sz w:val="13"/>
          <w:szCs w:val="13"/>
          <w:color w:val="auto"/>
        </w:rPr>
        <w:t>. Over the past several years we have expanded our geographic approach and focused coverage for intermediary distribution, and built up our intermediary sales team</w:t>
      </w:r>
      <w:r>
        <w:rPr>
          <w:rFonts w:ascii="Arial" w:cs="Arial" w:eastAsia="Arial" w:hAnsi="Arial"/>
          <w:sz w:val="13"/>
          <w:szCs w:val="13"/>
          <w:i w:val="1"/>
          <w:iCs w:val="1"/>
          <w:color w:val="auto"/>
        </w:rPr>
        <w:t xml:space="preserve"> </w:t>
      </w:r>
      <w:r>
        <w:rPr>
          <w:rFonts w:ascii="Arial" w:cs="Arial" w:eastAsia="Arial" w:hAnsi="Arial"/>
          <w:sz w:val="13"/>
          <w:szCs w:val="13"/>
          <w:color w:val="auto"/>
        </w:rPr>
        <w:t>to extend our coverage and accelerate growth in top markets. We believe that providing investors access to our mutual funds is a key component to achieving asset growth in the defined contribution and retirement marketplaces as well as with RIAs and select broker-dealers.</w:t>
      </w:r>
    </w:p>
    <w:p>
      <w:pPr>
        <w:spacing w:after="0" w:line="57" w:lineRule="exact"/>
        <w:rPr>
          <w:sz w:val="20"/>
          <w:szCs w:val="20"/>
          <w:color w:val="auto"/>
        </w:rPr>
      </w:pPr>
    </w:p>
    <w:p>
      <w:pPr>
        <w:ind w:right="20" w:firstLine="353"/>
        <w:spacing w:after="0" w:line="256" w:lineRule="auto"/>
        <w:rPr>
          <w:sz w:val="20"/>
          <w:szCs w:val="20"/>
          <w:color w:val="auto"/>
        </w:rPr>
      </w:pPr>
      <w:r>
        <w:rPr>
          <w:rFonts w:ascii="Arial" w:cs="Arial" w:eastAsia="Arial" w:hAnsi="Arial"/>
          <w:sz w:val="13"/>
          <w:szCs w:val="13"/>
          <w:i w:val="1"/>
          <w:iCs w:val="1"/>
          <w:color w:val="auto"/>
        </w:rPr>
        <w:t xml:space="preserve">Pursue strategic corporate development opportunities. </w:t>
      </w:r>
      <w:r>
        <w:rPr>
          <w:rFonts w:ascii="Arial" w:cs="Arial" w:eastAsia="Arial" w:hAnsi="Arial"/>
          <w:sz w:val="13"/>
          <w:szCs w:val="13"/>
          <w:color w:val="auto"/>
        </w:rPr>
        <w:t>We continually evaluate strategic corporate development opportunities to augment organic growth. We may pursue a variety of transactions,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of asset management firms, mutual funds, wealth management firms, or other financial institutions, as well as hiring investment professionals or teams. We consider opportunities to enhance our existing operations, expand our range of investment strategies and services or further develop our distribution capabilities. By acquiring investment firms or by hiring investment professionals or teams that successfully manage investment strategies beyond our current expertise, we can attract new clients and provide existing clients with an even more diversified range of investment strategies. We may also consider forging alliances with other financial services or technology firms to leverage our core competency of developing and managing investment strategies with partners that can provide enhanced distribution capabilities or additional service offerings.</w:t>
      </w:r>
    </w:p>
    <w:p>
      <w:pPr>
        <w:spacing w:after="0" w:line="63"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3"/>
          <w:szCs w:val="13"/>
          <w:i w:val="1"/>
          <w:iCs w:val="1"/>
          <w:color w:val="auto"/>
        </w:rPr>
        <w:t xml:space="preserve">Pursue international opportunities through targeted sales and relationships with international distributors and institutional investors. </w:t>
      </w:r>
      <w:r>
        <w:rPr>
          <w:rFonts w:ascii="Arial" w:cs="Arial" w:eastAsia="Arial" w:hAnsi="Arial"/>
          <w:sz w:val="13"/>
          <w:szCs w:val="13"/>
          <w:color w:val="auto"/>
        </w:rPr>
        <w:t>As of December 31, 2021, non-U.S. clients represented approximately 1%</w:t>
      </w:r>
      <w:r>
        <w:rPr>
          <w:rFonts w:ascii="Arial" w:cs="Arial" w:eastAsia="Arial" w:hAnsi="Arial"/>
          <w:sz w:val="13"/>
          <w:szCs w:val="13"/>
          <w:i w:val="1"/>
          <w:iCs w:val="1"/>
          <w:color w:val="auto"/>
        </w:rPr>
        <w:t xml:space="preserve"> </w:t>
      </w:r>
      <w:r>
        <w:rPr>
          <w:rFonts w:ascii="Arial" w:cs="Arial" w:eastAsia="Arial" w:hAnsi="Arial"/>
          <w:sz w:val="13"/>
          <w:szCs w:val="13"/>
          <w:color w:val="auto"/>
        </w:rPr>
        <w:t>of our AUM. We intend to continue our sales efforts outside of the U.S. We may consider forging alliances with international financial services firms or partners to obtain enhanced distribution capabilities and greater access to global customers. We continue to target select institutional clients around the globe.</w:t>
      </w:r>
    </w:p>
    <w:p>
      <w:pPr>
        <w:spacing w:after="0" w:line="57" w:lineRule="exact"/>
        <w:rPr>
          <w:sz w:val="20"/>
          <w:szCs w:val="20"/>
          <w:color w:val="auto"/>
        </w:rPr>
      </w:pPr>
    </w:p>
    <w:p>
      <w:pPr>
        <w:ind w:right="140" w:firstLine="353"/>
        <w:spacing w:after="0" w:line="295" w:lineRule="auto"/>
        <w:rPr>
          <w:sz w:val="20"/>
          <w:szCs w:val="20"/>
          <w:color w:val="auto"/>
        </w:rPr>
      </w:pPr>
      <w:r>
        <w:rPr>
          <w:rFonts w:ascii="Arial" w:cs="Arial" w:eastAsia="Arial" w:hAnsi="Arial"/>
          <w:sz w:val="12"/>
          <w:szCs w:val="12"/>
          <w:i w:val="1"/>
          <w:iCs w:val="1"/>
          <w:color w:val="auto"/>
        </w:rPr>
        <w:t xml:space="preserve">Continue to strengthen our brand name. </w:t>
      </w:r>
      <w:r>
        <w:rPr>
          <w:rFonts w:ascii="Arial" w:cs="Arial" w:eastAsia="Arial" w:hAnsi="Arial"/>
          <w:sz w:val="12"/>
          <w:szCs w:val="12"/>
          <w:color w:val="auto"/>
        </w:rPr>
        <w:t>We believe that the strength of our brand name has been a key component to our long-term success in the investment industry and will be instrumental to our future</w:t>
      </w:r>
      <w:r>
        <w:rPr>
          <w:rFonts w:ascii="Arial" w:cs="Arial" w:eastAsia="Arial" w:hAnsi="Arial"/>
          <w:sz w:val="12"/>
          <w:szCs w:val="12"/>
          <w:i w:val="1"/>
          <w:iCs w:val="1"/>
          <w:color w:val="auto"/>
        </w:rPr>
        <w:t xml:space="preserve"> </w:t>
      </w:r>
      <w:r>
        <w:rPr>
          <w:rFonts w:ascii="Arial" w:cs="Arial" w:eastAsia="Arial" w:hAnsi="Arial"/>
          <w:sz w:val="12"/>
          <w:szCs w:val="12"/>
          <w:color w:val="auto"/>
        </w:rPr>
        <w:t>success. We have developed a strong brand name largely through our performance, coupled with high profile coverage in investment publications and electronic media. Several of our investment professionals have been visible in print and electronic media, and we will continue to look for creative ways to strengthen our brand name and reputation in our target markets.</w:t>
      </w:r>
    </w:p>
    <w:p>
      <w:pPr>
        <w:spacing w:after="0" w:line="40" w:lineRule="exact"/>
        <w:rPr>
          <w:sz w:val="20"/>
          <w:szCs w:val="20"/>
          <w:color w:val="auto"/>
        </w:rPr>
      </w:pPr>
    </w:p>
    <w:p>
      <w:pPr>
        <w:ind w:right="140" w:firstLine="353"/>
        <w:spacing w:after="0" w:line="263" w:lineRule="auto"/>
        <w:rPr>
          <w:sz w:val="20"/>
          <w:szCs w:val="20"/>
          <w:color w:val="auto"/>
        </w:rPr>
      </w:pPr>
      <w:r>
        <w:rPr>
          <w:rFonts w:ascii="Arial" w:cs="Arial" w:eastAsia="Arial" w:hAnsi="Arial"/>
          <w:sz w:val="13"/>
          <w:szCs w:val="13"/>
          <w:i w:val="1"/>
          <w:iCs w:val="1"/>
          <w:color w:val="auto"/>
        </w:rPr>
        <w:t xml:space="preserve">Develop or acquire new investment strategies. </w:t>
      </w:r>
      <w:r>
        <w:rPr>
          <w:rFonts w:ascii="Arial" w:cs="Arial" w:eastAsia="Arial" w:hAnsi="Arial"/>
          <w:sz w:val="13"/>
          <w:szCs w:val="13"/>
          <w:color w:val="auto"/>
        </w:rPr>
        <w:t>We continue to look for opportunities to expand the range of investment strategies that we offer to existing and prospective clients. We may consider internally-developed strategies that extend our existing investment process to new markets, and we may also consider externally acquired investment strategies. An expanded range of investment strategies offers additional ways to serve our client base, generating more diversified revenue streams, as well as providing asset and revenue growth opportunities.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Competition</w:t>
      </w:r>
    </w:p>
    <w:p>
      <w:pPr>
        <w:spacing w:after="0" w:line="86" w:lineRule="exact"/>
        <w:rPr>
          <w:sz w:val="20"/>
          <w:szCs w:val="20"/>
          <w:color w:val="auto"/>
        </w:rPr>
      </w:pPr>
    </w:p>
    <w:p>
      <w:pPr>
        <w:ind w:right="600" w:firstLine="353"/>
        <w:spacing w:after="0" w:line="275" w:lineRule="auto"/>
        <w:rPr>
          <w:sz w:val="20"/>
          <w:szCs w:val="20"/>
          <w:color w:val="auto"/>
        </w:rPr>
      </w:pPr>
      <w:r>
        <w:rPr>
          <w:rFonts w:ascii="Arial" w:cs="Arial" w:eastAsia="Arial" w:hAnsi="Arial"/>
          <w:sz w:val="13"/>
          <w:szCs w:val="13"/>
          <w:color w:val="auto"/>
        </w:rPr>
        <w:t>We are subject to substantial and growing competition in all aspects of our business. Barriers to entry in the asset management business are relatively low and we expect to face a growing number of competitors. Although no single company dominates the asset management industry, many companies are larger, better known and have greater resources.</w:t>
      </w:r>
    </w:p>
    <w:p>
      <w:pPr>
        <w:spacing w:after="0" w:line="49" w:lineRule="exact"/>
        <w:rPr>
          <w:sz w:val="20"/>
          <w:szCs w:val="20"/>
          <w:color w:val="auto"/>
        </w:rPr>
      </w:pPr>
    </w:p>
    <w:p>
      <w:pPr>
        <w:ind w:right="140" w:firstLine="353"/>
        <w:spacing w:after="0" w:line="263" w:lineRule="auto"/>
        <w:rPr>
          <w:sz w:val="20"/>
          <w:szCs w:val="20"/>
          <w:color w:val="auto"/>
        </w:rPr>
      </w:pPr>
      <w:r>
        <w:rPr>
          <w:rFonts w:ascii="Arial" w:cs="Arial" w:eastAsia="Arial" w:hAnsi="Arial"/>
          <w:sz w:val="13"/>
          <w:szCs w:val="13"/>
          <w:color w:val="auto"/>
        </w:rPr>
        <w:t>We compete with other asset management firms on the basis of investment strategies offered, their investment performance both in absolute terms and relative to peer groups, quality of service, fees charged, the level and type of compensation offered to key employees and the manner in which investment strategies are marketed. Many of our competitors offer more investment strategies and services and have substantially greater AUM.</w:t>
      </w:r>
    </w:p>
    <w:p>
      <w:pPr>
        <w:spacing w:after="0" w:line="57" w:lineRule="exact"/>
        <w:rPr>
          <w:sz w:val="20"/>
          <w:szCs w:val="20"/>
          <w:color w:val="auto"/>
        </w:rPr>
      </w:pPr>
    </w:p>
    <w:p>
      <w:pPr>
        <w:ind w:right="260" w:firstLine="353"/>
        <w:spacing w:after="0" w:line="315" w:lineRule="auto"/>
        <w:rPr>
          <w:sz w:val="20"/>
          <w:szCs w:val="20"/>
          <w:color w:val="auto"/>
        </w:rPr>
      </w:pPr>
      <w:r>
        <w:rPr>
          <w:rFonts w:ascii="Arial" w:cs="Arial" w:eastAsia="Arial" w:hAnsi="Arial"/>
          <w:sz w:val="11"/>
          <w:szCs w:val="11"/>
          <w:color w:val="auto"/>
        </w:rPr>
        <w:t>We compete against numerous investment dealers, banks, insurance companies, mutual fund companies, exchange-traded funds, brokerage and investment firms and others that sell equity funds, taxable income funds, tax-free investments and other investment products. In addition, the allocation of assets by many investors from active equity investment to index funds, fixed income or similar asset classes has enhanced the ability of firms offering non-equity asset classes and passive equity management to compete effectively with us. The demand for passive strategies with low-fee structures has rapidly increased, and investors more frequently demand customized and personalized strategies to fit their investment needs. This shift in the marketplace may benefit competitors that offer certain investment vehicles that we do not currently offer. In summary, our competitive landscape is intense and dynamic, which may affect our ability to compete successfully in the future as an independent company.</w:t>
      </w:r>
    </w:p>
    <w:p>
      <w:pPr>
        <w:spacing w:after="0" w:line="32" w:lineRule="exact"/>
        <w:rPr>
          <w:sz w:val="20"/>
          <w:szCs w:val="20"/>
          <w:color w:val="auto"/>
        </w:rPr>
      </w:pPr>
    </w:p>
    <w:p>
      <w:pPr>
        <w:ind w:right="380" w:firstLine="353"/>
        <w:spacing w:after="0" w:line="275" w:lineRule="auto"/>
        <w:rPr>
          <w:sz w:val="20"/>
          <w:szCs w:val="20"/>
          <w:color w:val="auto"/>
        </w:rPr>
      </w:pPr>
      <w:r>
        <w:rPr>
          <w:rFonts w:ascii="Arial" w:cs="Arial" w:eastAsia="Arial" w:hAnsi="Arial"/>
          <w:sz w:val="13"/>
          <w:szCs w:val="13"/>
          <w:color w:val="auto"/>
        </w:rPr>
        <w:t>Additionally, most prospective clients perform a thorough review of an investment manager’s background, investment policies and performance before committing assets to that manager. In many cases, prospective clients invite a number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8" w:name="page9"/>
    <w:bookmarkEnd w:id="8"/>
    <w:p>
      <w:pPr>
        <w:ind w:right="60"/>
        <w:spacing w:after="0" w:line="275" w:lineRule="auto"/>
        <w:rPr>
          <w:sz w:val="20"/>
          <w:szCs w:val="20"/>
          <w:color w:val="auto"/>
        </w:rPr>
      </w:pPr>
      <w:r>
        <w:rPr>
          <w:rFonts w:ascii="Arial" w:cs="Arial" w:eastAsia="Arial" w:hAnsi="Arial"/>
          <w:sz w:val="13"/>
          <w:szCs w:val="13"/>
          <w:color w:val="auto"/>
        </w:rPr>
        <w:t>competing firms to make presentations. The process of obtaining a new client typically takes twelve to eighteen months from the time of initial contact. While we have achieved success in competing for new clients, it is a process to which we dedicate significant resources over an extended period, with no certainty of winning.</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w:t>
      </w:r>
    </w:p>
    <w:p>
      <w:pPr>
        <w:spacing w:after="0" w:line="86" w:lineRule="exact"/>
        <w:rPr>
          <w:sz w:val="20"/>
          <w:szCs w:val="20"/>
          <w:color w:val="auto"/>
        </w:rPr>
      </w:pPr>
    </w:p>
    <w:p>
      <w:pPr>
        <w:ind w:right="100" w:firstLine="353"/>
        <w:spacing w:after="0" w:line="288" w:lineRule="auto"/>
        <w:rPr>
          <w:sz w:val="20"/>
          <w:szCs w:val="20"/>
          <w:color w:val="auto"/>
        </w:rPr>
      </w:pPr>
      <w:r>
        <w:rPr>
          <w:rFonts w:ascii="Arial" w:cs="Arial" w:eastAsia="Arial" w:hAnsi="Arial"/>
          <w:sz w:val="12"/>
          <w:szCs w:val="12"/>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Westwood Management</w:t>
      </w:r>
    </w:p>
    <w:p>
      <w:pPr>
        <w:spacing w:after="0" w:line="86" w:lineRule="exact"/>
        <w:rPr>
          <w:sz w:val="20"/>
          <w:szCs w:val="20"/>
          <w:color w:val="auto"/>
        </w:rPr>
      </w:pPr>
    </w:p>
    <w:p>
      <w:pPr>
        <w:ind w:right="140" w:firstLine="353"/>
        <w:spacing w:after="0" w:line="305" w:lineRule="auto"/>
        <w:rPr>
          <w:sz w:val="20"/>
          <w:szCs w:val="20"/>
          <w:color w:val="auto"/>
        </w:rPr>
      </w:pPr>
      <w:r>
        <w:rPr>
          <w:rFonts w:ascii="Arial" w:cs="Arial" w:eastAsia="Arial" w:hAnsi="Arial"/>
          <w:sz w:val="11"/>
          <w:szCs w:val="11"/>
          <w:color w:val="auto"/>
        </w:rPr>
        <w:t>Our business is subject to regulation at federal and state levels by the SEC and other regulatory bodies. Westwood Management Corp. and Westwood Advisors, L.L.C. are registered with the SEC under the Investment Advisers Act of 1940 (the “Investment Advisers Act”) and under the laws of various states. As RIAs, Westwood Management Corp. and Westwood Advisors, L.L.C. are regulated and subject to examination by the SEC. The Investment Advisers Act imposes numerous obligations on RIAs, including fiduciary duties, record keeping, operational and marketing requirements and disclosure obligations. Westwood Management Corp. also acts as adviser to the Westwood Funds®, a family of mutual funds registered with the SEC under the Investment Company Act of 1940 (the “Investment Company Act”). As an adviser to a registered 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must also comply with anti-money laundering 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39" w:lineRule="exact"/>
        <w:rPr>
          <w:sz w:val="20"/>
          <w:szCs w:val="20"/>
          <w:color w:val="auto"/>
        </w:rPr>
      </w:pPr>
    </w:p>
    <w:p>
      <w:pPr>
        <w:ind w:firstLine="353"/>
        <w:spacing w:after="0" w:line="284" w:lineRule="auto"/>
        <w:rPr>
          <w:sz w:val="20"/>
          <w:szCs w:val="20"/>
          <w:color w:val="auto"/>
        </w:rPr>
      </w:pPr>
      <w:r>
        <w:rPr>
          <w:rFonts w:ascii="Arial" w:cs="Arial" w:eastAsia="Arial" w:hAnsi="Arial"/>
          <w:sz w:val="12"/>
          <w:szCs w:val="12"/>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may receive soft dollar credits from certain broker-dealers that are used to pay for brokerage and research-related products, which reduces certain company operating expenses. We intend to use soft dollars to pay for only those brokerage and research related products and services that fall within the safe harbor provisions of the Securities Exchange Act of 1934. If our ability to use soft dollars were reduced or eliminated as a result of the implementation of statutory amendments or new regulations, our operating expenses would increase.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Westwood Trust</w:t>
      </w:r>
    </w:p>
    <w:p>
      <w:pPr>
        <w:spacing w:after="0" w:line="86" w:lineRule="exact"/>
        <w:rPr>
          <w:sz w:val="20"/>
          <w:szCs w:val="20"/>
          <w:color w:val="auto"/>
        </w:rPr>
      </w:pPr>
    </w:p>
    <w:p>
      <w:pPr>
        <w:jc w:val="both"/>
        <w:ind w:right="80" w:firstLine="353"/>
        <w:spacing w:after="0" w:line="263" w:lineRule="auto"/>
        <w:rPr>
          <w:sz w:val="20"/>
          <w:szCs w:val="20"/>
          <w:color w:val="auto"/>
        </w:rPr>
      </w:pPr>
      <w:r>
        <w:rPr>
          <w:rFonts w:ascii="Arial" w:cs="Arial" w:eastAsia="Arial" w:hAnsi="Arial"/>
          <w:sz w:val="13"/>
          <w:szCs w:val="13"/>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57" w:lineRule="exact"/>
        <w:rPr>
          <w:sz w:val="20"/>
          <w:szCs w:val="20"/>
          <w:color w:val="auto"/>
        </w:rPr>
      </w:pPr>
    </w:p>
    <w:p>
      <w:pPr>
        <w:ind w:left="700" w:hanging="231"/>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minimum capital maintenance requirements;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restrictions on dividends;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restrictions on investments of restricted capital;</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lending and borrowing limitations;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prohibitions against engaging in certain activities;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periodic fiduciary and information technology examinations by the Texas Department of Banking Commissioner;</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furnishing periodic financial statements to the Texas Department of Banking Commissioner;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9" w:name="page10"/>
    <w:bookmarkEnd w:id="9"/>
    <w:p>
      <w:pPr>
        <w:ind w:left="700" w:hanging="231"/>
        <w:spacing w:after="0"/>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fiduciary record keeping requirements; and</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prior regulatory approval for certain corporate events (such as mergers, the sale or purchase of all or substantially all trust company assets and transactions transferring control of a trust company).</w:t>
      </w:r>
    </w:p>
    <w:p>
      <w:pPr>
        <w:spacing w:after="0" w:line="97"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3"/>
          <w:szCs w:val="13"/>
          <w:color w:val="auto"/>
        </w:rPr>
        <w:t>The Finance Code also gives the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57" w:lineRule="exact"/>
        <w:rPr>
          <w:sz w:val="20"/>
          <w:szCs w:val="20"/>
          <w:color w:val="auto"/>
        </w:rPr>
      </w:pPr>
    </w:p>
    <w:p>
      <w:pPr>
        <w:ind w:right="120" w:firstLine="353"/>
        <w:spacing w:after="0" w:line="263" w:lineRule="auto"/>
        <w:rPr>
          <w:sz w:val="20"/>
          <w:szCs w:val="20"/>
          <w:color w:val="auto"/>
        </w:rPr>
      </w:pPr>
      <w:r>
        <w:rPr>
          <w:rFonts w:ascii="Arial" w:cs="Arial" w:eastAsia="Arial" w:hAnsi="Arial"/>
          <w:sz w:val="13"/>
          <w:szCs w:val="13"/>
          <w:color w:val="auto"/>
        </w:rPr>
        <w:t>Westwood Trust is limited by the Finance Code in the payment of dividends to undivided profits, which is described as the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has made quarterly and special dividend payments, and other distributions, to Westwood Holdings Group, Inc. out of undivided profits.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Retirement Income Security Act of 1974</w:t>
      </w:r>
    </w:p>
    <w:p>
      <w:pPr>
        <w:spacing w:after="0" w:line="86" w:lineRule="exact"/>
        <w:rPr>
          <w:sz w:val="20"/>
          <w:szCs w:val="20"/>
          <w:color w:val="auto"/>
        </w:rPr>
      </w:pPr>
    </w:p>
    <w:p>
      <w:pPr>
        <w:jc w:val="both"/>
        <w:ind w:right="40" w:firstLine="353"/>
        <w:spacing w:after="0" w:line="263" w:lineRule="auto"/>
        <w:rPr>
          <w:sz w:val="20"/>
          <w:szCs w:val="20"/>
          <w:color w:val="auto"/>
        </w:rPr>
      </w:pPr>
      <w:r>
        <w:rPr>
          <w:rFonts w:ascii="Arial" w:cs="Arial" w:eastAsia="Arial" w:hAnsi="Arial"/>
          <w:sz w:val="13"/>
          <w:szCs w:val="13"/>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Human Capital Resources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Health and Safety</w:t>
      </w:r>
    </w:p>
    <w:p>
      <w:pPr>
        <w:spacing w:after="0" w:line="86" w:lineRule="exact"/>
        <w:rPr>
          <w:sz w:val="20"/>
          <w:szCs w:val="20"/>
          <w:color w:val="auto"/>
        </w:rPr>
      </w:pPr>
    </w:p>
    <w:p>
      <w:pPr>
        <w:ind w:right="120" w:firstLine="353"/>
        <w:spacing w:after="0" w:line="275" w:lineRule="auto"/>
        <w:rPr>
          <w:sz w:val="20"/>
          <w:szCs w:val="20"/>
          <w:color w:val="auto"/>
        </w:rPr>
      </w:pPr>
      <w:r>
        <w:rPr>
          <w:rFonts w:ascii="Arial" w:cs="Arial" w:eastAsia="Arial" w:hAnsi="Arial"/>
          <w:sz w:val="13"/>
          <w:szCs w:val="13"/>
          <w:color w:val="auto"/>
        </w:rPr>
        <w:t>The health and safety of our employees is a high priority, which is consistent with our operating philosophy of focusing on transparency, effective corporate governance, life principles and giving back to the communities in which we live and work. Our safety focus is evident in our response to the COVID-19 pandemic, which has included:</w:t>
      </w:r>
    </w:p>
    <w:p>
      <w:pPr>
        <w:spacing w:after="0" w:line="49" w:lineRule="exact"/>
        <w:rPr>
          <w:sz w:val="20"/>
          <w:szCs w:val="20"/>
          <w:color w:val="auto"/>
        </w:rPr>
      </w:pPr>
    </w:p>
    <w:p>
      <w:pPr>
        <w:ind w:left="700" w:hanging="231"/>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increasing work from home flexibility;</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minimizing staff levels in all offices;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improving office cleaning protocols;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establishing new physical distancing procedures for employees while onsite;</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initiating regular communication regarding impacts of the COVID-19 pandemic, including health and safety protocols and procedures;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implementing protocols to address actual and suspected COVID-19 cases and potential exposure; and</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requiring masks to be worn in all offices.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Diversity and Inclusion</w:t>
      </w:r>
    </w:p>
    <w:p>
      <w:pPr>
        <w:spacing w:after="0" w:line="86" w:lineRule="exact"/>
        <w:rPr>
          <w:sz w:val="20"/>
          <w:szCs w:val="20"/>
          <w:color w:val="auto"/>
        </w:rPr>
      </w:pPr>
    </w:p>
    <w:p>
      <w:pPr>
        <w:ind w:right="300" w:firstLine="353"/>
        <w:spacing w:after="0" w:line="275" w:lineRule="auto"/>
        <w:rPr>
          <w:sz w:val="20"/>
          <w:szCs w:val="20"/>
          <w:color w:val="auto"/>
        </w:rPr>
      </w:pPr>
      <w:r>
        <w:rPr>
          <w:rFonts w:ascii="Arial" w:cs="Arial" w:eastAsia="Arial" w:hAnsi="Arial"/>
          <w:sz w:val="13"/>
          <w:szCs w:val="13"/>
          <w:color w:val="auto"/>
        </w:rPr>
        <w:t>We believe that our culture of diversity and inclusion enables us to develop and fully leverage the strengths of our people. As of December 31, 2021, approximately 43% of our workforce was female and minorities represented approximately 25% of our workforce.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Employees</w:t>
      </w:r>
    </w:p>
    <w:p>
      <w:pPr>
        <w:spacing w:after="0" w:line="86" w:lineRule="exact"/>
        <w:rPr>
          <w:sz w:val="20"/>
          <w:szCs w:val="20"/>
          <w:color w:val="auto"/>
        </w:rPr>
      </w:pPr>
    </w:p>
    <w:p>
      <w:pPr>
        <w:ind w:right="420" w:firstLine="353"/>
        <w:spacing w:after="0" w:line="275" w:lineRule="auto"/>
        <w:rPr>
          <w:sz w:val="20"/>
          <w:szCs w:val="20"/>
          <w:color w:val="auto"/>
        </w:rPr>
      </w:pPr>
      <w:r>
        <w:rPr>
          <w:rFonts w:ascii="Arial" w:cs="Arial" w:eastAsia="Arial" w:hAnsi="Arial"/>
          <w:sz w:val="13"/>
          <w:szCs w:val="13"/>
          <w:color w:val="auto"/>
        </w:rPr>
        <w:t>At December 31, 2021, we had 130 full-time employees, all in the U.S. No employees are represented by a labor union, and we believe our employee relations are favorable. As of December 31, 2021, approximately 18% of our employees held the Chartered Financial Analyst designation.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Environmental, Social and Governance ("ESG")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ESG Core Principles</w:t>
      </w:r>
    </w:p>
    <w:p>
      <w:pPr>
        <w:spacing w:after="0" w:line="86" w:lineRule="exact"/>
        <w:rPr>
          <w:sz w:val="20"/>
          <w:szCs w:val="20"/>
          <w:color w:val="auto"/>
        </w:rPr>
      </w:pPr>
    </w:p>
    <w:p>
      <w:pPr>
        <w:ind w:right="20" w:firstLine="353"/>
        <w:spacing w:after="0" w:line="275" w:lineRule="auto"/>
        <w:rPr>
          <w:sz w:val="20"/>
          <w:szCs w:val="20"/>
          <w:color w:val="auto"/>
        </w:rPr>
      </w:pPr>
      <w:r>
        <w:rPr>
          <w:rFonts w:ascii="Arial" w:cs="Arial" w:eastAsia="Arial" w:hAnsi="Arial"/>
          <w:sz w:val="13"/>
          <w:szCs w:val="13"/>
          <w:color w:val="auto"/>
        </w:rPr>
        <w:t>Since inception, we were intentional about the corporate culture we wanted to foster ― one focused on core values. To keep us motivated, we found inspiration in Coach John Wooden’s Pyramid of Success™ to help us aspire and maintain a culture of teamwork, integrity and valuing client interests ahead of our own.</w:t>
      </w:r>
    </w:p>
    <w:p>
      <w:pPr>
        <w:spacing w:after="0" w:line="49" w:lineRule="exact"/>
        <w:rPr>
          <w:sz w:val="20"/>
          <w:szCs w:val="20"/>
          <w:color w:val="auto"/>
        </w:rPr>
      </w:pPr>
    </w:p>
    <w:p>
      <w:pPr>
        <w:ind w:right="240" w:firstLine="353"/>
        <w:spacing w:after="0" w:line="275" w:lineRule="auto"/>
        <w:rPr>
          <w:sz w:val="20"/>
          <w:szCs w:val="20"/>
          <w:color w:val="auto"/>
        </w:rPr>
      </w:pPr>
      <w:r>
        <w:rPr>
          <w:rFonts w:ascii="Arial" w:cs="Arial" w:eastAsia="Arial" w:hAnsi="Arial"/>
          <w:sz w:val="13"/>
          <w:szCs w:val="13"/>
          <w:color w:val="auto"/>
        </w:rPr>
        <w:t>The Covid-19 pandemic has challenged us professionally and personally. At Westwood, we have used the last two years to reflect and further refine the criteria that will keep us relevant. Our ESG focus is guided by the following six pillars:</w:t>
      </w:r>
    </w:p>
    <w:p>
      <w:pPr>
        <w:spacing w:after="0" w:line="49" w:lineRule="exact"/>
        <w:rPr>
          <w:sz w:val="20"/>
          <w:szCs w:val="20"/>
          <w:color w:val="auto"/>
        </w:rPr>
      </w:pPr>
    </w:p>
    <w:p>
      <w:pPr>
        <w:ind w:left="460" w:hanging="226"/>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Environmental impact;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40"/>
          </w:cols>
          <w:pgMar w:left="300" w:top="768" w:right="359" w:bottom="1440" w:gutter="0" w:footer="0" w:header="0"/>
        </w:sectPr>
      </w:pPr>
    </w:p>
    <w:bookmarkStart w:id="10" w:name="page11"/>
    <w:bookmarkEnd w:id="10"/>
    <w:p>
      <w:pPr>
        <w:ind w:left="460" w:hanging="22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Diversity, equity and inclusion;</w:t>
      </w:r>
    </w:p>
    <w:p>
      <w:pPr>
        <w:spacing w:after="0" w:line="85" w:lineRule="exact"/>
        <w:rPr>
          <w:rFonts w:ascii="Arial" w:cs="Arial" w:eastAsia="Arial" w:hAnsi="Arial"/>
          <w:sz w:val="13"/>
          <w:szCs w:val="13"/>
          <w:color w:val="auto"/>
        </w:rPr>
      </w:pPr>
    </w:p>
    <w:p>
      <w:pPr>
        <w:ind w:left="460" w:hanging="22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Community;</w:t>
      </w:r>
    </w:p>
    <w:p>
      <w:pPr>
        <w:spacing w:after="0" w:line="85" w:lineRule="exact"/>
        <w:rPr>
          <w:rFonts w:ascii="Arial" w:cs="Arial" w:eastAsia="Arial" w:hAnsi="Arial"/>
          <w:sz w:val="13"/>
          <w:szCs w:val="13"/>
          <w:color w:val="auto"/>
        </w:rPr>
      </w:pPr>
    </w:p>
    <w:p>
      <w:pPr>
        <w:ind w:left="460" w:hanging="22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Responsible investing;</w:t>
      </w:r>
    </w:p>
    <w:p>
      <w:pPr>
        <w:spacing w:after="0" w:line="85" w:lineRule="exact"/>
        <w:rPr>
          <w:rFonts w:ascii="Arial" w:cs="Arial" w:eastAsia="Arial" w:hAnsi="Arial"/>
          <w:sz w:val="13"/>
          <w:szCs w:val="13"/>
          <w:color w:val="auto"/>
        </w:rPr>
      </w:pPr>
    </w:p>
    <w:p>
      <w:pPr>
        <w:ind w:left="460" w:hanging="22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Privacy and data protection; and</w:t>
      </w:r>
    </w:p>
    <w:p>
      <w:pPr>
        <w:spacing w:after="0" w:line="85" w:lineRule="exact"/>
        <w:rPr>
          <w:rFonts w:ascii="Arial" w:cs="Arial" w:eastAsia="Arial" w:hAnsi="Arial"/>
          <w:sz w:val="13"/>
          <w:szCs w:val="13"/>
          <w:color w:val="auto"/>
        </w:rPr>
      </w:pPr>
    </w:p>
    <w:p>
      <w:pPr>
        <w:ind w:left="460" w:hanging="22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Governance.</w:t>
      </w:r>
    </w:p>
    <w:p>
      <w:pPr>
        <w:spacing w:after="0" w:line="86" w:lineRule="exact"/>
        <w:rPr>
          <w:sz w:val="20"/>
          <w:szCs w:val="20"/>
          <w:color w:val="auto"/>
        </w:rPr>
      </w:pPr>
    </w:p>
    <w:p>
      <w:pPr>
        <w:ind w:right="80" w:firstLine="353"/>
        <w:spacing w:after="0" w:line="275" w:lineRule="auto"/>
        <w:rPr>
          <w:sz w:val="20"/>
          <w:szCs w:val="20"/>
          <w:color w:val="auto"/>
        </w:rPr>
      </w:pPr>
      <w:r>
        <w:rPr>
          <w:rFonts w:ascii="Arial" w:cs="Arial" w:eastAsia="Arial" w:hAnsi="Arial"/>
          <w:sz w:val="13"/>
          <w:szCs w:val="13"/>
          <w:color w:val="auto"/>
        </w:rPr>
        <w:t>We include ESG issues in our investment process and measure ourselves against them because it makes business sense. It improves our ability to create an environment that values true diversity, inclusiveness and transparency and ultimately supports employee growth for the long term.</w:t>
      </w:r>
    </w:p>
    <w:p>
      <w:pPr>
        <w:spacing w:after="0" w:line="49" w:lineRule="exact"/>
        <w:rPr>
          <w:sz w:val="20"/>
          <w:szCs w:val="20"/>
          <w:color w:val="auto"/>
        </w:rPr>
      </w:pPr>
    </w:p>
    <w:p>
      <w:pPr>
        <w:jc w:val="both"/>
        <w:ind w:right="140" w:firstLine="353"/>
        <w:spacing w:after="0" w:line="259" w:lineRule="auto"/>
        <w:rPr>
          <w:sz w:val="20"/>
          <w:szCs w:val="20"/>
          <w:color w:val="auto"/>
        </w:rPr>
      </w:pPr>
      <w:r>
        <w:rPr>
          <w:rFonts w:ascii="Arial" w:cs="Arial" w:eastAsia="Arial" w:hAnsi="Arial"/>
          <w:sz w:val="13"/>
          <w:szCs w:val="13"/>
          <w:color w:val="auto"/>
        </w:rPr>
        <w:t>As an active asset manager, we take a fundamental, financial materiality-based approach to identifying high-quality companies and sound businesses around the world. We integrate ESG into our proprietary investment process and believe material ESG-related issues are important in conducting bottom-up, fundamental analysis when evaluating the merits of a company’s strategy, downside risk and valuation. Based on our research, we find sustainability plays a critical role in company selection and has always been an input to our analysis. As ESG evaluation techniques continue to evolve, we will adapt our own analyses to stay true to our fiduciary responsibilities.</w:t>
      </w:r>
    </w:p>
    <w:p>
      <w:pPr>
        <w:spacing w:after="0" w:line="60" w:lineRule="exact"/>
        <w:rPr>
          <w:sz w:val="20"/>
          <w:szCs w:val="20"/>
          <w:color w:val="auto"/>
        </w:rPr>
      </w:pPr>
    </w:p>
    <w:p>
      <w:pPr>
        <w:ind w:right="160" w:firstLine="353"/>
        <w:spacing w:after="0" w:line="263" w:lineRule="auto"/>
        <w:rPr>
          <w:sz w:val="20"/>
          <w:szCs w:val="20"/>
          <w:color w:val="auto"/>
        </w:rPr>
      </w:pPr>
      <w:r>
        <w:rPr>
          <w:rFonts w:ascii="Arial" w:cs="Arial" w:eastAsia="Arial" w:hAnsi="Arial"/>
          <w:sz w:val="13"/>
          <w:szCs w:val="13"/>
          <w:color w:val="auto"/>
        </w:rPr>
        <w:t>Being active describes more than our approach to investing. It also is how we run our business as a publicly traded company. Our focus on transparency, corporate governance, life principles, ethical conduct and giving back to the communities in which we operate is core to our values. Diversity is also an important part of our culture and identity; approximately 43% of our employees are women — many in senior positions — and approximately 25% of our employees self-identify as members of minority communities.</w:t>
      </w:r>
    </w:p>
    <w:p>
      <w:pPr>
        <w:spacing w:after="0" w:line="57" w:lineRule="exact"/>
        <w:rPr>
          <w:sz w:val="20"/>
          <w:szCs w:val="20"/>
          <w:color w:val="auto"/>
        </w:rPr>
      </w:pPr>
    </w:p>
    <w:p>
      <w:pPr>
        <w:ind w:right="60" w:firstLine="353"/>
        <w:spacing w:after="0" w:line="275" w:lineRule="auto"/>
        <w:rPr>
          <w:sz w:val="20"/>
          <w:szCs w:val="20"/>
          <w:color w:val="auto"/>
        </w:rPr>
      </w:pPr>
      <w:r>
        <w:rPr>
          <w:rFonts w:ascii="Arial" w:cs="Arial" w:eastAsia="Arial" w:hAnsi="Arial"/>
          <w:sz w:val="13"/>
          <w:szCs w:val="13"/>
          <w:color w:val="auto"/>
        </w:rPr>
        <w:t>Westwood is a signatory of the United Nations Principles for Responsible Investment ("UNPRI") and is committed to adopting and implementing responsible investment principles in a manner consistent with our fiduciary duties to clients. We support the UNPRI and recognize the importance of considering ESG issues as an element in our overall investment process.</w:t>
      </w:r>
    </w:p>
    <w:p>
      <w:pPr>
        <w:spacing w:after="0" w:line="49" w:lineRule="exact"/>
        <w:rPr>
          <w:sz w:val="20"/>
          <w:szCs w:val="20"/>
          <w:color w:val="auto"/>
        </w:rPr>
      </w:pPr>
    </w:p>
    <w:p>
      <w:pPr>
        <w:ind w:right="120" w:firstLine="353"/>
        <w:spacing w:after="0" w:line="369" w:lineRule="auto"/>
        <w:rPr>
          <w:sz w:val="20"/>
          <w:szCs w:val="20"/>
          <w:color w:val="auto"/>
        </w:rPr>
      </w:pPr>
      <w:r>
        <w:rPr>
          <w:rFonts w:ascii="Arial" w:cs="Arial" w:eastAsia="Arial" w:hAnsi="Arial"/>
          <w:sz w:val="11"/>
          <w:szCs w:val="11"/>
          <w:color w:val="auto"/>
        </w:rPr>
        <w:t>Our responsible investment commitment is linked to our investment process across our high-conviction equity and outcome-oriented solutions. Across this diverse set of strategies, we take a fundamental approach to identifying high-quality companies and sound businesses around the world. ESG is directly linked to the bottom-up, fundamental assessment of companies and has always been an input to our analyses.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Governance</w:t>
      </w:r>
    </w:p>
    <w:p>
      <w:pPr>
        <w:spacing w:after="0" w:line="86" w:lineRule="exact"/>
        <w:rPr>
          <w:sz w:val="20"/>
          <w:szCs w:val="20"/>
          <w:color w:val="auto"/>
        </w:rPr>
      </w:pPr>
    </w:p>
    <w:p>
      <w:pPr>
        <w:jc w:val="both"/>
        <w:ind w:right="380" w:firstLine="353"/>
        <w:spacing w:after="0" w:line="263" w:lineRule="auto"/>
        <w:rPr>
          <w:sz w:val="20"/>
          <w:szCs w:val="20"/>
          <w:color w:val="auto"/>
        </w:rPr>
      </w:pPr>
      <w:r>
        <w:rPr>
          <w:rFonts w:ascii="Arial" w:cs="Arial" w:eastAsia="Arial" w:hAnsi="Arial"/>
          <w:sz w:val="13"/>
          <w:szCs w:val="13"/>
          <w:color w:val="auto"/>
        </w:rPr>
        <w:t>Westwood is committed to the successful integration and promotion of ESG at both the corporate level and the investment level. We have established two governing structures, a Responsible Investment Committee and a Corporate Responsibility Committee, to ensure we have the strategic influence and leadership required to create a clear corporate sustainability strategy across our business. The separation of responsibilities among the two governing structures was designed to ensure proper accountability across the firm.</w:t>
      </w:r>
    </w:p>
    <w:p>
      <w:pPr>
        <w:spacing w:after="0" w:line="57" w:lineRule="exact"/>
        <w:rPr>
          <w:sz w:val="20"/>
          <w:szCs w:val="20"/>
          <w:color w:val="auto"/>
        </w:rPr>
      </w:pPr>
    </w:p>
    <w:p>
      <w:pPr>
        <w:ind w:right="60" w:firstLine="353"/>
        <w:spacing w:after="0" w:line="263" w:lineRule="auto"/>
        <w:rPr>
          <w:sz w:val="20"/>
          <w:szCs w:val="20"/>
          <w:color w:val="auto"/>
        </w:rPr>
      </w:pPr>
      <w:r>
        <w:rPr>
          <w:rFonts w:ascii="Arial" w:cs="Arial" w:eastAsia="Arial" w:hAnsi="Arial"/>
          <w:sz w:val="13"/>
          <w:szCs w:val="13"/>
          <w:color w:val="auto"/>
        </w:rPr>
        <w:t>The Responsible Investment Committee was established to consider matters related to the maintenance, development and implementation of our responsible investment practices to support our ESG policy. The Corporate Responsibility Committee was established for the oversight and implementation of our corporate sustainability strategy and ESG policies. The Corporate Responsibility Committee governs as a cross-functional team designed to engage leadership across key corporate functions to provide oversight as well as strategic guidance.</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Engagement</w:t>
      </w:r>
    </w:p>
    <w:p>
      <w:pPr>
        <w:spacing w:after="0" w:line="86" w:lineRule="exact"/>
        <w:rPr>
          <w:sz w:val="20"/>
          <w:szCs w:val="20"/>
          <w:color w:val="auto"/>
        </w:rPr>
      </w:pPr>
    </w:p>
    <w:p>
      <w:pPr>
        <w:ind w:right="60" w:firstLine="353"/>
        <w:spacing w:after="0" w:line="275" w:lineRule="auto"/>
        <w:rPr>
          <w:sz w:val="20"/>
          <w:szCs w:val="20"/>
          <w:color w:val="auto"/>
        </w:rPr>
      </w:pPr>
      <w:r>
        <w:rPr>
          <w:rFonts w:ascii="Arial" w:cs="Arial" w:eastAsia="Arial" w:hAnsi="Arial"/>
          <w:sz w:val="13"/>
          <w:szCs w:val="13"/>
          <w:color w:val="auto"/>
        </w:rPr>
        <w:t>As part of our fundamental investment research process, our analysts conduct meetings with target company managements and investor relations to understand strategy, execution and financial strength. When ESG issues are of specific concern, our team seeks to understand how the target company plans to address them and views this from a “tracking” perspective over time.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ESG Integration</w:t>
      </w:r>
    </w:p>
    <w:p>
      <w:pPr>
        <w:spacing w:after="0" w:line="86" w:lineRule="exact"/>
        <w:rPr>
          <w:sz w:val="20"/>
          <w:szCs w:val="20"/>
          <w:color w:val="auto"/>
        </w:rPr>
      </w:pPr>
    </w:p>
    <w:p>
      <w:pPr>
        <w:ind w:right="300" w:firstLine="353"/>
        <w:spacing w:after="0" w:line="318" w:lineRule="auto"/>
        <w:rPr>
          <w:sz w:val="20"/>
          <w:szCs w:val="20"/>
          <w:color w:val="auto"/>
        </w:rPr>
      </w:pPr>
      <w:r>
        <w:rPr>
          <w:rFonts w:ascii="Arial" w:cs="Arial" w:eastAsia="Arial" w:hAnsi="Arial"/>
          <w:sz w:val="12"/>
          <w:szCs w:val="12"/>
          <w:color w:val="auto"/>
        </w:rPr>
        <w:t>Across all of our strategies, ESG analysis is designed to focus only on material factors. We support this approach with an explicit acknowledgement that fundamental analysis of ESG is highly nuanced by security (sector, size, geography) and investment strategy (holding period, position size, share rights). The specifics of integration and execution are left to the discretion of the investment teams.</w:t>
      </w:r>
    </w:p>
    <w:p>
      <w:pPr>
        <w:spacing w:after="0" w:line="26" w:lineRule="exact"/>
        <w:rPr>
          <w:sz w:val="20"/>
          <w:szCs w:val="20"/>
          <w:color w:val="auto"/>
        </w:rPr>
      </w:pPr>
    </w:p>
    <w:p>
      <w:pPr>
        <w:ind w:firstLine="353"/>
        <w:spacing w:after="0" w:line="275" w:lineRule="auto"/>
        <w:rPr>
          <w:sz w:val="20"/>
          <w:szCs w:val="20"/>
          <w:color w:val="auto"/>
        </w:rPr>
      </w:pPr>
      <w:r>
        <w:rPr>
          <w:rFonts w:ascii="Arial" w:cs="Arial" w:eastAsia="Arial" w:hAnsi="Arial"/>
          <w:sz w:val="13"/>
          <w:szCs w:val="13"/>
          <w:color w:val="auto"/>
        </w:rPr>
        <w:t>ESG analysis is performed by our industry analysts during the first step of our investment process in which an analyst is conducting deep, forward-looking research. Analysts have access to multiple third-party ESG metric providers and often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generate their own inputs. These inputs ultimately are integrated into a proprietary financial statement projection, which becomes a part of our investment recommendation.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Proxy Voting</w:t>
      </w:r>
    </w:p>
    <w:p>
      <w:pPr>
        <w:spacing w:after="0" w:line="86" w:lineRule="exact"/>
        <w:rPr>
          <w:sz w:val="20"/>
          <w:szCs w:val="20"/>
          <w:color w:val="auto"/>
        </w:rPr>
      </w:pPr>
    </w:p>
    <w:p>
      <w:pPr>
        <w:ind w:firstLine="353"/>
        <w:spacing w:after="0" w:line="280" w:lineRule="auto"/>
        <w:rPr>
          <w:sz w:val="20"/>
          <w:szCs w:val="20"/>
          <w:color w:val="auto"/>
        </w:rPr>
      </w:pPr>
      <w:r>
        <w:rPr>
          <w:rFonts w:ascii="Arial" w:cs="Arial" w:eastAsia="Arial" w:hAnsi="Arial"/>
          <w:sz w:val="12"/>
          <w:szCs w:val="12"/>
          <w:color w:val="auto"/>
        </w:rPr>
        <w:t>Westwood views proxy voting rights as valuable portfolio assets. Our overarching principle is to exercise voting responsibilities solely in the best interests of our clients. We see proxy voting as a means of addressing corporate governance issues and encouraging corporate actions that enhance shareholder value. Westwood has selected guidelines from a third-party proxy research service, Glass-Lewis, that we believe create value for our clients and cover most proxy issues. The Investment Operations Team serves as the administrator responsible for overseeing the implementation of our proxy voting policy. Westwood’s Corporate Responsibility Committee, in collaboration with our investment team’s bi-monthly review of ballots, has confirmed that our proxy voting guidelines on environmental, social and governance issues generally match the Glass-Lewis policy, which is to vote in favor of such items when there is a clear link between the proposal and value enhancement or risk mitigation to shareholders. Our goal is to vote all proxies and, in most cases, we agree with and follow the recommendations of our proxy research service; however, we will vote against Glass-Lewis recommendations when we feel it is in our clients’ best interests. A summary of voting is sent to each client for whom proxies are voted on an annual basis.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Social Impact and Corporate Giving</w:t>
      </w:r>
    </w:p>
    <w:p>
      <w:pPr>
        <w:spacing w:after="0" w:line="86" w:lineRule="exact"/>
        <w:rPr>
          <w:sz w:val="20"/>
          <w:szCs w:val="20"/>
          <w:color w:val="auto"/>
        </w:rPr>
      </w:pPr>
    </w:p>
    <w:p>
      <w:pPr>
        <w:ind w:right="220" w:firstLine="353"/>
        <w:spacing w:after="0" w:line="275" w:lineRule="auto"/>
        <w:rPr>
          <w:sz w:val="20"/>
          <w:szCs w:val="20"/>
          <w:color w:val="auto"/>
        </w:rPr>
      </w:pPr>
      <w:r>
        <w:rPr>
          <w:rFonts w:ascii="Arial" w:cs="Arial" w:eastAsia="Arial" w:hAnsi="Arial"/>
          <w:sz w:val="13"/>
          <w:szCs w:val="13"/>
          <w:color w:val="auto"/>
        </w:rPr>
        <w:t>Community involvement is the cornerstone of our culture, which drives employee engagement and makes employees proud to work at Westwood. Every year we donate to local and national nonprofits and support clients and employees in their volunteer efforts.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Environment</w:t>
      </w:r>
    </w:p>
    <w:p>
      <w:pPr>
        <w:spacing w:after="0" w:line="86" w:lineRule="exact"/>
        <w:rPr>
          <w:sz w:val="20"/>
          <w:szCs w:val="20"/>
          <w:color w:val="auto"/>
        </w:rPr>
      </w:pPr>
    </w:p>
    <w:p>
      <w:pPr>
        <w:ind w:right="420" w:firstLine="353"/>
        <w:spacing w:after="0" w:line="275" w:lineRule="auto"/>
        <w:rPr>
          <w:sz w:val="20"/>
          <w:szCs w:val="20"/>
          <w:color w:val="auto"/>
        </w:rPr>
      </w:pPr>
      <w:r>
        <w:rPr>
          <w:rFonts w:ascii="Arial" w:cs="Arial" w:eastAsia="Arial" w:hAnsi="Arial"/>
          <w:sz w:val="13"/>
          <w:szCs w:val="13"/>
          <w:color w:val="auto"/>
        </w:rPr>
        <w:t>At Westwood, we embrace caring for our communities and are taking steps to take care of the world around us through our initiative to calculate carbon footprints and buying carbon credits. Our Green Committee establishes initiatives to support this important work.</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90" w:lineRule="exact"/>
        <w:rPr>
          <w:sz w:val="20"/>
          <w:szCs w:val="20"/>
          <w:color w:val="auto"/>
        </w:rPr>
      </w:pPr>
    </w:p>
    <w:p>
      <w:pPr>
        <w:jc w:val="both"/>
        <w:ind w:right="100" w:firstLine="353"/>
        <w:spacing w:after="0" w:line="263" w:lineRule="auto"/>
        <w:rPr>
          <w:sz w:val="20"/>
          <w:szCs w:val="20"/>
          <w:color w:val="auto"/>
        </w:rPr>
      </w:pPr>
      <w:r>
        <w:rPr>
          <w:rFonts w:ascii="Arial" w:cs="Arial" w:eastAsia="Arial" w:hAnsi="Arial"/>
          <w:sz w:val="13"/>
          <w:szCs w:val="13"/>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the Investment Industry</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Our results of operations depend upon the market value and composition of AUM, which can fluctuate significantly based on various factors, some of which are beyond our control.</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Our revenues are primarily generated from fees derived as a percentage of AUM. The value of our AUM can be negatively impacted by several factors, including:</w:t>
      </w:r>
    </w:p>
    <w:p>
      <w:pPr>
        <w:spacing w:after="0" w:line="86" w:lineRule="exact"/>
        <w:rPr>
          <w:sz w:val="20"/>
          <w:szCs w:val="20"/>
          <w:color w:val="auto"/>
        </w:rPr>
      </w:pPr>
    </w:p>
    <w:p>
      <w:pPr>
        <w:ind w:left="360" w:right="140" w:hanging="244"/>
        <w:spacing w:after="0" w:line="259" w:lineRule="auto"/>
        <w:tabs>
          <w:tab w:leader="none" w:pos="357" w:val="left"/>
        </w:tabs>
        <w:numPr>
          <w:ilvl w:val="0"/>
          <w:numId w:val="7"/>
        </w:numPr>
        <w:rPr>
          <w:rFonts w:ascii="Arial" w:cs="Arial" w:eastAsia="Arial" w:hAnsi="Arial"/>
          <w:sz w:val="13"/>
          <w:szCs w:val="13"/>
          <w:color w:val="auto"/>
        </w:rPr>
      </w:pPr>
      <w:r>
        <w:rPr>
          <w:rFonts w:ascii="Arial" w:cs="Arial" w:eastAsia="Arial" w:hAnsi="Arial"/>
          <w:sz w:val="13"/>
          <w:szCs w:val="13"/>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60" w:lineRule="exact"/>
        <w:rPr>
          <w:rFonts w:ascii="Arial" w:cs="Arial" w:eastAsia="Arial" w:hAnsi="Arial"/>
          <w:sz w:val="13"/>
          <w:szCs w:val="13"/>
          <w:color w:val="auto"/>
        </w:rPr>
      </w:pPr>
    </w:p>
    <w:p>
      <w:pPr>
        <w:ind w:left="360" w:right="100" w:hanging="244"/>
        <w:spacing w:after="0" w:line="311" w:lineRule="auto"/>
        <w:tabs>
          <w:tab w:leader="none" w:pos="357" w:val="left"/>
        </w:tabs>
        <w:numPr>
          <w:ilvl w:val="0"/>
          <w:numId w:val="7"/>
        </w:numPr>
        <w:rPr>
          <w:rFonts w:ascii="Arial" w:cs="Arial" w:eastAsia="Arial" w:hAnsi="Arial"/>
          <w:sz w:val="11"/>
          <w:szCs w:val="11"/>
          <w:color w:val="auto"/>
        </w:rPr>
      </w:pPr>
      <w:r>
        <w:rPr>
          <w:rFonts w:ascii="Arial" w:cs="Arial" w:eastAsia="Arial" w:hAnsi="Arial"/>
          <w:sz w:val="11"/>
          <w:szCs w:val="11"/>
          <w:color w:val="auto"/>
        </w:rPr>
        <w:t>Investment performance: Because we compete with many asset management firms on the basis of our investment strategies, the maintenance and growth of AUM is dependent, to a significant extent,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received in the past should not be considered indicative of the future results of these strategies or of any other strategies that we may develop in the future. The investment performance we achieve for our customers varies over time and variances can be wide. In addition, certain of our investment strategies have capacity constraints, as there may be a limit to the number of securities available for certain strategies to operate effectively. In those instances, we may choose to limit access to new or existing investors.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768" w:right="339" w:bottom="1440" w:gutter="0" w:footer="0" w:header="0"/>
        </w:sectPr>
      </w:pPr>
    </w:p>
    <w:bookmarkStart w:id="12" w:name="page13"/>
    <w:bookmarkEnd w:id="12"/>
    <w:p>
      <w:pPr>
        <w:ind w:left="360"/>
        <w:spacing w:after="0"/>
        <w:rPr>
          <w:sz w:val="20"/>
          <w:szCs w:val="20"/>
          <w:color w:val="auto"/>
        </w:rPr>
      </w:pPr>
      <w:r>
        <w:rPr>
          <w:rFonts w:ascii="Arial" w:cs="Arial" w:eastAsia="Arial" w:hAnsi="Arial"/>
          <w:sz w:val="13"/>
          <w:szCs w:val="13"/>
          <w:b w:val="1"/>
          <w:bCs w:val="1"/>
          <w:color w:val="auto"/>
        </w:rPr>
        <w:t>The investment management and wealth management industry is highly competitive and innovative.</w:t>
      </w:r>
    </w:p>
    <w:p>
      <w:pPr>
        <w:spacing w:after="0" w:line="90" w:lineRule="exact"/>
        <w:rPr>
          <w:sz w:val="20"/>
          <w:szCs w:val="20"/>
          <w:color w:val="auto"/>
        </w:rPr>
      </w:pPr>
    </w:p>
    <w:p>
      <w:pPr>
        <w:ind w:right="40" w:firstLine="353"/>
        <w:spacing w:after="0" w:line="318" w:lineRule="auto"/>
        <w:rPr>
          <w:sz w:val="20"/>
          <w:szCs w:val="20"/>
          <w:color w:val="auto"/>
        </w:rPr>
      </w:pPr>
      <w:r>
        <w:rPr>
          <w:rFonts w:ascii="Arial" w:cs="Arial" w:eastAsia="Arial" w:hAnsi="Arial"/>
          <w:sz w:val="12"/>
          <w:szCs w:val="12"/>
          <w:color w:val="auto"/>
        </w:rPr>
        <w:t>The investment management and wealth management industry is highly competitive based on a variety of factors, including investment performance, fee rates, continuity of investment professionals and client relationships, the quality of services provided to clients, corporate positioning, business reputation and differentiated products. A number of factors increase our competitive risks, including the following:</w:t>
      </w:r>
    </w:p>
    <w:p>
      <w:pPr>
        <w:spacing w:after="0" w:line="26" w:lineRule="exact"/>
        <w:rPr>
          <w:sz w:val="20"/>
          <w:szCs w:val="20"/>
          <w:color w:val="auto"/>
        </w:rPr>
      </w:pPr>
    </w:p>
    <w:p>
      <w:pPr>
        <w:ind w:left="340" w:hanging="224"/>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Potential competitors have a relatively low cost of entering the investment management industry;</w:t>
      </w:r>
    </w:p>
    <w:p>
      <w:pPr>
        <w:spacing w:after="0" w:line="85" w:lineRule="exact"/>
        <w:rPr>
          <w:rFonts w:ascii="Arial" w:cs="Arial" w:eastAsia="Arial" w:hAnsi="Arial"/>
          <w:sz w:val="13"/>
          <w:szCs w:val="13"/>
          <w:color w:val="auto"/>
        </w:rPr>
      </w:pPr>
    </w:p>
    <w:p>
      <w:pPr>
        <w:ind w:left="340" w:hanging="224"/>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Many competitors have greater financial, technological, marketing and other resources, more comprehensive name recognition and more personnel than we do;</w:t>
      </w:r>
    </w:p>
    <w:p>
      <w:pPr>
        <w:spacing w:after="0" w:line="85" w:lineRule="exact"/>
        <w:rPr>
          <w:rFonts w:ascii="Arial" w:cs="Arial" w:eastAsia="Arial" w:hAnsi="Arial"/>
          <w:sz w:val="13"/>
          <w:szCs w:val="13"/>
          <w:color w:val="auto"/>
        </w:rPr>
      </w:pPr>
    </w:p>
    <w:p>
      <w:pPr>
        <w:ind w:left="340" w:hanging="224"/>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continuing trend toward consolidation in the investment management industry, and the securities business in general, has served to increase the size and strength of some of our competitors;</w:t>
      </w:r>
    </w:p>
    <w:p>
      <w:pPr>
        <w:spacing w:after="0" w:line="97" w:lineRule="exact"/>
        <w:rPr>
          <w:rFonts w:ascii="Arial" w:cs="Arial" w:eastAsia="Arial" w:hAnsi="Arial"/>
          <w:sz w:val="12"/>
          <w:szCs w:val="12"/>
          <w:color w:val="auto"/>
        </w:rPr>
      </w:pPr>
    </w:p>
    <w:p>
      <w:pPr>
        <w:ind w:left="340" w:hanging="224"/>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Recent changes in consumer demand for technological capabilities, including the enhanced ability for firms to offer lower fees for passive management strategies, has increased competition in our industry;</w:t>
      </w:r>
    </w:p>
    <w:p>
      <w:pPr>
        <w:spacing w:after="0" w:line="97" w:lineRule="exact"/>
        <w:rPr>
          <w:rFonts w:ascii="Arial" w:cs="Arial" w:eastAsia="Arial" w:hAnsi="Arial"/>
          <w:sz w:val="12"/>
          <w:szCs w:val="12"/>
          <w:color w:val="auto"/>
        </w:rPr>
      </w:pPr>
    </w:p>
    <w:p>
      <w:pPr>
        <w:ind w:left="340" w:hanging="224"/>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Shifts in demand for alternative investment styles, asset classes and distribution vehicles may cause our competitors to be perceived as more attractive;</w:t>
      </w:r>
    </w:p>
    <w:p>
      <w:pPr>
        <w:spacing w:after="0" w:line="85" w:lineRule="exact"/>
        <w:rPr>
          <w:rFonts w:ascii="Arial" w:cs="Arial" w:eastAsia="Arial" w:hAnsi="Arial"/>
          <w:sz w:val="13"/>
          <w:szCs w:val="13"/>
          <w:color w:val="auto"/>
        </w:rPr>
      </w:pPr>
    </w:p>
    <w:p>
      <w:pPr>
        <w:ind w:left="340" w:hanging="224"/>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Other industry participants, hedge funds and alternative asset managers may seek to recruit our investment professionals;</w:t>
      </w:r>
    </w:p>
    <w:p>
      <w:pPr>
        <w:spacing w:after="0" w:line="85" w:lineRule="exact"/>
        <w:rPr>
          <w:rFonts w:ascii="Arial" w:cs="Arial" w:eastAsia="Arial" w:hAnsi="Arial"/>
          <w:sz w:val="13"/>
          <w:szCs w:val="13"/>
          <w:color w:val="auto"/>
        </w:rPr>
      </w:pPr>
    </w:p>
    <w:p>
      <w:pPr>
        <w:ind w:left="340" w:hanging="224"/>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Some competitors charge lower fees for their investment management services than we do;</w:t>
      </w:r>
    </w:p>
    <w:p>
      <w:pPr>
        <w:spacing w:after="0" w:line="85" w:lineRule="exact"/>
        <w:rPr>
          <w:rFonts w:ascii="Arial" w:cs="Arial" w:eastAsia="Arial" w:hAnsi="Arial"/>
          <w:sz w:val="13"/>
          <w:szCs w:val="13"/>
          <w:color w:val="auto"/>
        </w:rPr>
      </w:pPr>
    </w:p>
    <w:p>
      <w:pPr>
        <w:ind w:left="340" w:hanging="224"/>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Some competitors may provide more comprehensive client services, including banking, financial planning and tax planning at levels beyond what we currently provide; and</w:t>
      </w:r>
    </w:p>
    <w:p>
      <w:pPr>
        <w:spacing w:after="0" w:line="85" w:lineRule="exact"/>
        <w:rPr>
          <w:rFonts w:ascii="Arial" w:cs="Arial" w:eastAsia="Arial" w:hAnsi="Arial"/>
          <w:sz w:val="13"/>
          <w:szCs w:val="13"/>
          <w:color w:val="auto"/>
        </w:rPr>
      </w:pPr>
    </w:p>
    <w:p>
      <w:pPr>
        <w:ind w:left="340" w:hanging="224"/>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Some competitors may have more sophisticated, innovative or advanced distribution networks than we do.</w:t>
      </w:r>
    </w:p>
    <w:p>
      <w:pPr>
        <w:spacing w:after="0" w:line="86" w:lineRule="exact"/>
        <w:rPr>
          <w:sz w:val="20"/>
          <w:szCs w:val="20"/>
          <w:color w:val="auto"/>
        </w:rPr>
      </w:pPr>
    </w:p>
    <w:p>
      <w:pPr>
        <w:ind w:right="20" w:firstLine="353"/>
        <w:spacing w:after="0" w:line="263" w:lineRule="auto"/>
        <w:rPr>
          <w:sz w:val="20"/>
          <w:szCs w:val="20"/>
          <w:color w:val="auto"/>
        </w:rPr>
      </w:pPr>
      <w:r>
        <w:rPr>
          <w:rFonts w:ascii="Arial" w:cs="Arial" w:eastAsia="Arial" w:hAnsi="Arial"/>
          <w:sz w:val="13"/>
          <w:szCs w:val="13"/>
          <w:color w:val="auto"/>
        </w:rPr>
        <w:t>In particular, we have faced significant competition from competitors with lower fee, passive investment strategies. Investment advisors that emphasize passive products have gained, and may continue to gain, significant market share from active managers like us, which could have a material adverse effect on our business. If we are unable to compete effectively, our earnings could be reduced and our business could be adversely affected.</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Some of our strategies invest in the securities of non-U.S. companies, which involve foreign currency exchange, tax, political, social and economic uncertainties and risks.</w:t>
      </w:r>
    </w:p>
    <w:p>
      <w:pPr>
        <w:spacing w:after="0" w:line="90" w:lineRule="exact"/>
        <w:rPr>
          <w:sz w:val="20"/>
          <w:szCs w:val="20"/>
          <w:color w:val="auto"/>
        </w:rPr>
      </w:pPr>
    </w:p>
    <w:p>
      <w:pPr>
        <w:ind w:firstLine="353"/>
        <w:spacing w:after="0" w:line="311" w:lineRule="auto"/>
        <w:rPr>
          <w:sz w:val="20"/>
          <w:szCs w:val="20"/>
          <w:color w:val="auto"/>
        </w:rPr>
      </w:pPr>
      <w:r>
        <w:rPr>
          <w:rFonts w:ascii="Arial" w:cs="Arial" w:eastAsia="Arial" w:hAnsi="Arial"/>
          <w:sz w:val="11"/>
          <w:szCs w:val="11"/>
          <w:color w:val="auto"/>
        </w:rPr>
        <w:t>Over the past five years, approximately 18% of our AUM was invested in strategies offering access to global markets with significant exposure to non-U.S. companies. Fluctuations in foreign currency exchange rates could negatively affect the returns of clients invested in these strategies. Investments in non-U.S. issuers may also be affected by tax positions taken in countries or regions in which we are invested, as well as political, social and economic uncertainty or other diplomatic developments. Many financial markets are less developed or efficient than U.S. financial markets with limited liquidity and higher price volatility, and may lack an established regulatory framework. Liquidity and price volatility may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emerging or less developed markets. As a result, we may be unable to attract or retain client investments in these strategies, or assets invested in these strategies may experience significant declines in value and our results of operations may be negatively affected.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Legal and Regulatory Risks</w:t>
      </w:r>
    </w:p>
    <w:p>
      <w:pPr>
        <w:spacing w:after="0" w:line="86" w:lineRule="exact"/>
        <w:rPr>
          <w:sz w:val="20"/>
          <w:szCs w:val="20"/>
          <w:color w:val="auto"/>
        </w:rPr>
      </w:pPr>
    </w:p>
    <w:p>
      <w:pPr>
        <w:ind w:right="140" w:firstLine="353"/>
        <w:spacing w:after="0" w:line="282" w:lineRule="auto"/>
        <w:rPr>
          <w:sz w:val="20"/>
          <w:szCs w:val="20"/>
          <w:color w:val="auto"/>
        </w:rPr>
      </w:pPr>
      <w:r>
        <w:rPr>
          <w:rFonts w:ascii="Arial" w:cs="Arial" w:eastAsia="Arial" w:hAnsi="Arial"/>
          <w:sz w:val="13"/>
          <w:szCs w:val="13"/>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45" w:lineRule="exact"/>
        <w:rPr>
          <w:sz w:val="20"/>
          <w:szCs w:val="20"/>
          <w:color w:val="auto"/>
        </w:rPr>
      </w:pPr>
    </w:p>
    <w:p>
      <w:pPr>
        <w:ind w:firstLine="353"/>
        <w:spacing w:after="0" w:line="257" w:lineRule="auto"/>
        <w:rPr>
          <w:sz w:val="20"/>
          <w:szCs w:val="20"/>
          <w:color w:val="auto"/>
        </w:rPr>
      </w:pPr>
      <w:r>
        <w:rPr>
          <w:rFonts w:ascii="Arial" w:cs="Arial" w:eastAsia="Arial" w:hAnsi="Arial"/>
          <w:sz w:val="13"/>
          <w:szCs w:val="13"/>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62" w:lineRule="exact"/>
        <w:rPr>
          <w:sz w:val="20"/>
          <w:szCs w:val="20"/>
          <w:color w:val="auto"/>
        </w:rPr>
      </w:pPr>
    </w:p>
    <w:p>
      <w:pPr>
        <w:ind w:right="300" w:firstLine="353"/>
        <w:spacing w:after="0" w:line="275" w:lineRule="auto"/>
        <w:rPr>
          <w:sz w:val="20"/>
          <w:szCs w:val="20"/>
          <w:color w:val="auto"/>
        </w:rPr>
      </w:pPr>
      <w:r>
        <w:rPr>
          <w:rFonts w:ascii="Arial" w:cs="Arial" w:eastAsia="Arial" w:hAnsi="Arial"/>
          <w:sz w:val="13"/>
          <w:szCs w:val="13"/>
          <w:color w:val="auto"/>
        </w:rPr>
        <w:t>In addition, the regulatory environment in which we operate is subject to change. We may be adversely affected as a result of new or revised legislation or regulations or by changes in the interpretation or enforcement of existing laws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13" w:name="page14"/>
    <w:bookmarkEnd w:id="13"/>
    <w:p>
      <w:pPr>
        <w:ind w:right="160"/>
        <w:spacing w:after="0" w:line="275" w:lineRule="auto"/>
        <w:rPr>
          <w:sz w:val="20"/>
          <w:szCs w:val="20"/>
          <w:color w:val="auto"/>
        </w:rPr>
      </w:pPr>
      <w:r>
        <w:rPr>
          <w:rFonts w:ascii="Arial" w:cs="Arial" w:eastAsia="Arial" w:hAnsi="Arial"/>
          <w:sz w:val="13"/>
          <w:szCs w:val="13"/>
          <w:color w:val="auto"/>
        </w:rPr>
        <w:t>regulations. In recent years, regulators have increased their oversight of the financial services industry. Some regulations are focused directly on the investment management industry, while others are more broadly focused but affect our industry as well.</w:t>
      </w:r>
    </w:p>
    <w:p>
      <w:pPr>
        <w:spacing w:after="0" w:line="49" w:lineRule="exact"/>
        <w:rPr>
          <w:sz w:val="20"/>
          <w:szCs w:val="20"/>
          <w:color w:val="auto"/>
        </w:rPr>
      </w:pPr>
    </w:p>
    <w:p>
      <w:pPr>
        <w:ind w:right="200" w:firstLine="353"/>
        <w:spacing w:after="0" w:line="321" w:lineRule="auto"/>
        <w:rPr>
          <w:sz w:val="20"/>
          <w:szCs w:val="20"/>
          <w:color w:val="auto"/>
        </w:rPr>
      </w:pPr>
      <w:r>
        <w:rPr>
          <w:rFonts w:ascii="Arial" w:cs="Arial" w:eastAsia="Arial" w:hAnsi="Arial"/>
          <w:sz w:val="11"/>
          <w:szCs w:val="11"/>
          <w:color w:val="auto"/>
        </w:rPr>
        <w:t>The Dodd-Frank Act of 2010 significantly increased and revised the federal rules and regulations governing the financial services industry and, in addition to other regulations, has generally resulted in increased compliance and administrative requirements. For example, the SEC’s adoption of Form PF and revisions to Form ADV impose additional reporting requirements for SEC-registered investment advisors. Additionally, ERISA Section 408(b)(2) and related regulations require additional information to be provided to ERISA-governed retirement plans. While we believe that changes in laws, rules and regulations, including those discussed above, have increased our administrative and compliance costs, we are unable to quantify the increased costs attributable to such changes. See “Item 1. Business — Regulation.”</w:t>
      </w:r>
    </w:p>
    <w:p>
      <w:pPr>
        <w:spacing w:after="0" w:line="29" w:lineRule="exact"/>
        <w:rPr>
          <w:sz w:val="20"/>
          <w:szCs w:val="20"/>
          <w:color w:val="auto"/>
        </w:rPr>
      </w:pPr>
    </w:p>
    <w:p>
      <w:pPr>
        <w:ind w:right="40" w:firstLine="353"/>
        <w:spacing w:after="0" w:line="256" w:lineRule="auto"/>
        <w:rPr>
          <w:sz w:val="20"/>
          <w:szCs w:val="20"/>
          <w:color w:val="auto"/>
        </w:rPr>
      </w:pPr>
      <w:r>
        <w:rPr>
          <w:rFonts w:ascii="Arial" w:cs="Arial" w:eastAsia="Arial" w:hAnsi="Arial"/>
          <w:sz w:val="13"/>
          <w:szCs w:val="13"/>
          <w:color w:val="auto"/>
        </w:rPr>
        <w:t>We engage in product offerings and international business activities through our global multi-asset securities product offerings that we make available to our international and domestic clients. As of December 31, 2021, approximately 1% of our AUM is managed for clients who are domiciled outside the U. S. As a result, we face increased operational, regulatory, compliance, marketing, client service, reputational and foreign exchange rate risks. In particular, rapid regulatory change is occurring internationally with respect to financial institutions, including, but not limited to, anticipated revisions to the European Communities (Undertakings for Collective Investment in Transferable Securities, or "UCITS") Regulations 2011 and the Markets in Financial Instruments Directive.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63" w:lineRule="exact"/>
        <w:rPr>
          <w:sz w:val="20"/>
          <w:szCs w:val="20"/>
          <w:color w:val="auto"/>
        </w:rPr>
      </w:pPr>
    </w:p>
    <w:p>
      <w:pPr>
        <w:ind w:right="100" w:firstLine="353"/>
        <w:spacing w:after="0" w:line="275" w:lineRule="auto"/>
        <w:rPr>
          <w:sz w:val="20"/>
          <w:szCs w:val="20"/>
          <w:color w:val="auto"/>
        </w:rPr>
      </w:pPr>
      <w:r>
        <w:rPr>
          <w:rFonts w:ascii="Arial" w:cs="Arial" w:eastAsia="Arial" w:hAnsi="Arial"/>
          <w:sz w:val="13"/>
          <w:szCs w:val="13"/>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Our business involves risks of being engaged in litigation and liability that could increase our expenses and reduce our results of operations.</w:t>
      </w:r>
    </w:p>
    <w:p>
      <w:pPr>
        <w:spacing w:after="0" w:line="90" w:lineRule="exact"/>
        <w:rPr>
          <w:sz w:val="20"/>
          <w:szCs w:val="20"/>
          <w:color w:val="auto"/>
        </w:rPr>
      </w:pPr>
    </w:p>
    <w:p>
      <w:pPr>
        <w:ind w:right="80" w:firstLine="353"/>
        <w:spacing w:after="0" w:line="279" w:lineRule="auto"/>
        <w:rPr>
          <w:sz w:val="20"/>
          <w:szCs w:val="20"/>
          <w:color w:val="auto"/>
        </w:rPr>
      </w:pPr>
      <w:r>
        <w:rPr>
          <w:rFonts w:ascii="Arial" w:cs="Arial" w:eastAsia="Arial" w:hAnsi="Arial"/>
          <w:sz w:val="12"/>
          <w:szCs w:val="12"/>
          <w:color w:val="auto"/>
        </w:rPr>
        <w:t>Many aspects of our business involve substantial risks of liability. We could be named as defendants or co-defendants in lawsuits or could be involved in disputes that involve the threat of lawsuits seeking substantial damages. As an SEC-RIA, mutual fund adviser, trustee to certain Trust clients and publicly-traded entity, we are subject to governmental and self-regulatory organization examinations, investigations and proceedings. Similarly, the investment strategies that we manage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of litigation and regulatory investigations in the asset management industry in recent years, including customer claims, as well as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Business and Operational Risks</w:t>
      </w:r>
    </w:p>
    <w:p>
      <w:pPr>
        <w:spacing w:after="0" w:line="86" w:lineRule="exact"/>
        <w:rPr>
          <w:sz w:val="20"/>
          <w:szCs w:val="20"/>
          <w:color w:val="auto"/>
        </w:rPr>
      </w:pPr>
    </w:p>
    <w:p>
      <w:pPr>
        <w:ind w:right="80" w:firstLine="353"/>
        <w:spacing w:after="0" w:line="282" w:lineRule="auto"/>
        <w:rPr>
          <w:sz w:val="20"/>
          <w:szCs w:val="20"/>
          <w:color w:val="auto"/>
        </w:rPr>
      </w:pPr>
      <w:r>
        <w:rPr>
          <w:rFonts w:ascii="Arial" w:cs="Arial" w:eastAsia="Arial" w:hAnsi="Arial"/>
          <w:sz w:val="13"/>
          <w:szCs w:val="13"/>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45" w:lineRule="exact"/>
        <w:rPr>
          <w:sz w:val="20"/>
          <w:szCs w:val="20"/>
          <w:color w:val="auto"/>
        </w:rPr>
      </w:pPr>
    </w:p>
    <w:p>
      <w:pPr>
        <w:ind w:right="140" w:firstLine="353"/>
        <w:spacing w:after="0" w:line="275" w:lineRule="auto"/>
        <w:rPr>
          <w:sz w:val="20"/>
          <w:szCs w:val="20"/>
          <w:color w:val="auto"/>
        </w:rPr>
      </w:pPr>
      <w:r>
        <w:rPr>
          <w:rFonts w:ascii="Arial" w:cs="Arial" w:eastAsia="Arial" w:hAnsi="Arial"/>
          <w:sz w:val="13"/>
          <w:szCs w:val="13"/>
          <w:color w:val="auto"/>
        </w:rPr>
        <w:t>We have incurred significant costs to develop new investment strategies, launch new mutual funds under the Westwood Funds® name, and upgrade our business infrastructure. We expect to continue to incur significant costs related to such improvements.</w:t>
      </w:r>
    </w:p>
    <w:p>
      <w:pPr>
        <w:spacing w:after="0" w:line="49" w:lineRule="exact"/>
        <w:rPr>
          <w:sz w:val="20"/>
          <w:szCs w:val="20"/>
          <w:color w:val="auto"/>
        </w:rPr>
      </w:pPr>
    </w:p>
    <w:p>
      <w:pPr>
        <w:ind w:firstLine="353"/>
        <w:spacing w:after="0" w:line="255" w:lineRule="auto"/>
        <w:rPr>
          <w:sz w:val="20"/>
          <w:szCs w:val="20"/>
          <w:color w:val="auto"/>
        </w:rPr>
      </w:pPr>
      <w:r>
        <w:rPr>
          <w:rFonts w:ascii="Arial" w:cs="Arial" w:eastAsia="Arial" w:hAnsi="Arial"/>
          <w:sz w:val="13"/>
          <w:szCs w:val="13"/>
          <w:color w:val="auto"/>
        </w:rPr>
        <w:t>The development of new investment strategies, whether through acquisition or internal development, requires a substantial amount of time and significant financial resources, including expenses related to compensation, sales and marketing, 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kind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14" w:name="page15"/>
    <w:bookmarkEnd w:id="14"/>
    <w:p>
      <w:pPr>
        <w:ind w:right="120" w:firstLine="353"/>
        <w:spacing w:after="0" w:line="257" w:lineRule="auto"/>
        <w:rPr>
          <w:sz w:val="20"/>
          <w:szCs w:val="20"/>
          <w:color w:val="auto"/>
        </w:rPr>
      </w:pPr>
      <w:r>
        <w:rPr>
          <w:rFonts w:ascii="Arial" w:cs="Arial" w:eastAsia="Arial" w:hAnsi="Arial"/>
          <w:sz w:val="13"/>
          <w:szCs w:val="13"/>
          <w:color w:val="auto"/>
        </w:rPr>
        <w:t>To introduce new investment strategies, we may seek to add new investment teams. To the extent we are unable to recruit and retain investment teams to complement our existing business model, we may not be successful in further diversifying and increasing our investment strategies and client assets, which could have a material adverse effect on our business and future prospects. The addition of a new team using an investment strategy with which we may have limited or no experience may require additional resources to update our operational platform and could strain our operational resources and increase the possibility of operational errors. Additional investments may be required to improve our operational platform. If any new teams or strategies perform poorly and fail to attract sufficient assets, our results of operations and reputation may be adversely affected.</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Damage to our reputation could harm our business and have a material adverse effect on our results of operations.</w:t>
      </w:r>
    </w:p>
    <w:p>
      <w:pPr>
        <w:spacing w:after="0" w:line="90" w:lineRule="exact"/>
        <w:rPr>
          <w:sz w:val="20"/>
          <w:szCs w:val="20"/>
          <w:color w:val="auto"/>
        </w:rPr>
      </w:pPr>
    </w:p>
    <w:p>
      <w:pPr>
        <w:ind w:right="80" w:firstLine="353"/>
        <w:spacing w:after="0" w:line="259" w:lineRule="auto"/>
        <w:rPr>
          <w:sz w:val="20"/>
          <w:szCs w:val="20"/>
          <w:color w:val="auto"/>
        </w:rPr>
      </w:pPr>
      <w:r>
        <w:rPr>
          <w:rFonts w:ascii="Arial" w:cs="Arial" w:eastAsia="Arial" w:hAnsi="Arial"/>
          <w:sz w:val="13"/>
          <w:szCs w:val="13"/>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Public perception of our brand could be negatively affected by decreases in our profitability, AUM or stock price. Damage to our brand could impede our ability to attract and retain customers and key employees and could reduce our AUM, which could have a material adverse effect on our results of operations.</w:t>
      </w:r>
    </w:p>
    <w:p>
      <w:pPr>
        <w:spacing w:after="0" w:line="56" w:lineRule="exact"/>
        <w:rPr>
          <w:sz w:val="20"/>
          <w:szCs w:val="20"/>
          <w:color w:val="auto"/>
        </w:rPr>
      </w:pPr>
    </w:p>
    <w:p>
      <w:pPr>
        <w:ind w:right="260" w:firstLine="353"/>
        <w:spacing w:after="0" w:line="282" w:lineRule="auto"/>
        <w:rPr>
          <w:sz w:val="20"/>
          <w:szCs w:val="20"/>
          <w:color w:val="auto"/>
        </w:rPr>
      </w:pPr>
      <w:r>
        <w:rPr>
          <w:rFonts w:ascii="Arial" w:cs="Arial" w:eastAsia="Arial" w:hAnsi="Arial"/>
          <w:sz w:val="13"/>
          <w:szCs w:val="13"/>
          <w:b w:val="1"/>
          <w:bCs w:val="1"/>
          <w:color w:val="auto"/>
        </w:rPr>
        <w:t>Our success depends on certain key employees and our ability to attract and develop new, talented professionals. Our inability to attract and retain key employees could compromise our future success.</w:t>
      </w:r>
    </w:p>
    <w:p>
      <w:pPr>
        <w:spacing w:after="0" w:line="45" w:lineRule="exact"/>
        <w:rPr>
          <w:sz w:val="20"/>
          <w:szCs w:val="20"/>
          <w:color w:val="auto"/>
        </w:rPr>
      </w:pPr>
    </w:p>
    <w:p>
      <w:pPr>
        <w:ind w:right="60" w:firstLine="353"/>
        <w:spacing w:after="0" w:line="288" w:lineRule="auto"/>
        <w:rPr>
          <w:sz w:val="20"/>
          <w:szCs w:val="20"/>
          <w:color w:val="auto"/>
        </w:rPr>
      </w:pPr>
      <w:r>
        <w:rPr>
          <w:rFonts w:ascii="Arial" w:cs="Arial" w:eastAsia="Arial" w:hAnsi="Arial"/>
          <w:sz w:val="12"/>
          <w:szCs w:val="12"/>
          <w:color w:val="auto"/>
        </w:rPr>
        <w:t>Our future success depends upon our ability to attract and retain professional and executive employees, including investment, marketing, client service and management personnel. There is substantial competition for skilled personnel within the asset management business, and the failure to attract, develop, retain and motivate qualified personnel could negatively impact our business, financial condition, results of operations and future prospects. In order to retain or replace key personnel, we may be required to increase compensation, which would decrease net income. Investment and sales professionals often maintain strong relationships with their clients, and their departure may cause us to lose client accounts, which could have a material impact on our revenues and results of operations.</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Failure to perform operational tasks or the misrepresentation of products and services could have an adverse effect on our reputation and our business, financial condition and results of operations.</w:t>
      </w:r>
    </w:p>
    <w:p>
      <w:pPr>
        <w:spacing w:after="0" w:line="113" w:lineRule="exact"/>
        <w:rPr>
          <w:sz w:val="20"/>
          <w:szCs w:val="20"/>
          <w:color w:val="auto"/>
        </w:rPr>
      </w:pPr>
    </w:p>
    <w:p>
      <w:pPr>
        <w:ind w:right="200" w:firstLine="353"/>
        <w:spacing w:after="0" w:line="369" w:lineRule="auto"/>
        <w:rPr>
          <w:sz w:val="20"/>
          <w:szCs w:val="20"/>
          <w:color w:val="auto"/>
        </w:rPr>
      </w:pPr>
      <w:r>
        <w:rPr>
          <w:rFonts w:ascii="Arial" w:cs="Arial" w:eastAsia="Arial" w:hAnsi="Arial"/>
          <w:sz w:val="11"/>
          <w:szCs w:val="11"/>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3" w:lineRule="exact"/>
        <w:rPr>
          <w:sz w:val="20"/>
          <w:szCs w:val="20"/>
          <w:color w:val="auto"/>
        </w:rPr>
      </w:pPr>
    </w:p>
    <w:p>
      <w:pPr>
        <w:ind w:right="200" w:firstLine="353"/>
        <w:spacing w:after="0" w:line="275" w:lineRule="auto"/>
        <w:rPr>
          <w:sz w:val="20"/>
          <w:szCs w:val="20"/>
          <w:color w:val="auto"/>
        </w:rPr>
      </w:pPr>
      <w:r>
        <w:rPr>
          <w:rFonts w:ascii="Arial" w:cs="Arial" w:eastAsia="Arial" w:hAnsi="Arial"/>
          <w:sz w:val="13"/>
          <w:szCs w:val="13"/>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Damage to our reputation could impede our ability to attract and retain customers and key employees and could reduce our AUM, which could have a material adverse effect on our results of operations.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Significant regulatory sanctions, fines, penalties, and litigation could also materially adversely affect our financial condition and results of operations.</w:t>
      </w:r>
    </w:p>
    <w:p>
      <w:pPr>
        <w:spacing w:after="0" w:line="74" w:lineRule="exact"/>
        <w:rPr>
          <w:sz w:val="20"/>
          <w:szCs w:val="20"/>
          <w:color w:val="auto"/>
        </w:rPr>
      </w:pPr>
    </w:p>
    <w:p>
      <w:pPr>
        <w:ind w:right="80" w:firstLine="353"/>
        <w:spacing w:after="0" w:line="282" w:lineRule="auto"/>
        <w:rPr>
          <w:sz w:val="20"/>
          <w:szCs w:val="20"/>
          <w:color w:val="auto"/>
        </w:rPr>
      </w:pPr>
      <w:r>
        <w:rPr>
          <w:rFonts w:ascii="Arial" w:cs="Arial" w:eastAsia="Arial" w:hAnsi="Arial"/>
          <w:sz w:val="13"/>
          <w:szCs w:val="13"/>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45" w:lineRule="exact"/>
        <w:rPr>
          <w:sz w:val="20"/>
          <w:szCs w:val="20"/>
          <w:color w:val="auto"/>
        </w:rPr>
      </w:pPr>
    </w:p>
    <w:p>
      <w:pPr>
        <w:ind w:right="80" w:firstLine="353"/>
        <w:spacing w:after="0" w:line="259" w:lineRule="auto"/>
        <w:rPr>
          <w:sz w:val="20"/>
          <w:szCs w:val="20"/>
          <w:color w:val="auto"/>
        </w:rPr>
      </w:pPr>
      <w:r>
        <w:rPr>
          <w:rFonts w:ascii="Arial" w:cs="Arial" w:eastAsia="Arial" w:hAnsi="Arial"/>
          <w:sz w:val="13"/>
          <w:szCs w:val="13"/>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 procedures could result in the loss of clients, significant regulatory sanctions, fines, penalties and litigation, which could have a material adverse effect on our business, financial condition and results of operations.</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We are a holding company dependent on the operations and funds of our subsidiaries.</w:t>
      </w:r>
    </w:p>
    <w:p>
      <w:pPr>
        <w:spacing w:after="0" w:line="90" w:lineRule="exact"/>
        <w:rPr>
          <w:sz w:val="20"/>
          <w:szCs w:val="20"/>
          <w:color w:val="auto"/>
        </w:rPr>
      </w:pPr>
    </w:p>
    <w:p>
      <w:pPr>
        <w:ind w:right="60" w:firstLine="353"/>
        <w:spacing w:after="0" w:line="318" w:lineRule="auto"/>
        <w:rPr>
          <w:sz w:val="20"/>
          <w:szCs w:val="20"/>
          <w:color w:val="auto"/>
        </w:rPr>
      </w:pPr>
      <w:r>
        <w:rPr>
          <w:rFonts w:ascii="Arial" w:cs="Arial" w:eastAsia="Arial" w:hAnsi="Arial"/>
          <w:sz w:val="12"/>
          <w:szCs w:val="12"/>
          <w:color w:val="auto"/>
        </w:rPr>
        <w:t>We are a holding company, with no revenue-generating operations or assets other than our ownership interests in Westwood Management and Westwood Trust. Accordingly, we are dependent on the cash flow generated by these operating subsidiaries and rely on dividends or other intercompany transfers from our operating subsidiaries to generate the funds necessary to meet our obligations.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Technology and Privacy Risks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15" w:name="page16"/>
    <w:bookmarkEnd w:id="15"/>
    <w:p>
      <w:pPr>
        <w:ind w:left="360"/>
        <w:spacing w:after="0"/>
        <w:rPr>
          <w:sz w:val="20"/>
          <w:szCs w:val="20"/>
          <w:color w:val="auto"/>
        </w:rPr>
      </w:pPr>
      <w:r>
        <w:rPr>
          <w:rFonts w:ascii="Arial" w:cs="Arial" w:eastAsia="Arial" w:hAnsi="Arial"/>
          <w:sz w:val="12"/>
          <w:szCs w:val="12"/>
          <w:b w:val="1"/>
          <w:bCs w:val="1"/>
          <w:color w:val="auto"/>
        </w:rPr>
        <w:t>Failure to implement and maintain effective cyber security controls could disrupt our operations and have a material adverse effect on our results of operations, reputation and stock price.</w:t>
      </w:r>
    </w:p>
    <w:p>
      <w:pPr>
        <w:spacing w:after="0" w:line="101" w:lineRule="exact"/>
        <w:rPr>
          <w:sz w:val="20"/>
          <w:szCs w:val="20"/>
          <w:color w:val="auto"/>
        </w:rPr>
      </w:pPr>
    </w:p>
    <w:p>
      <w:pPr>
        <w:ind w:right="120" w:firstLine="353"/>
        <w:spacing w:after="0" w:line="279" w:lineRule="auto"/>
        <w:rPr>
          <w:sz w:val="20"/>
          <w:szCs w:val="20"/>
          <w:color w:val="auto"/>
        </w:rPr>
      </w:pPr>
      <w:r>
        <w:rPr>
          <w:rFonts w:ascii="Arial" w:cs="Arial" w:eastAsia="Arial" w:hAnsi="Arial"/>
          <w:sz w:val="12"/>
          <w:szCs w:val="12"/>
          <w:color w:val="auto"/>
        </w:rPr>
        <w:t>Our business is dependent on information technology systems and the cyber security controls we and our third party vendors have in place to protect those systems and the information contained therein. Despite the implementation of protective measures and endeavoring to modify them as circumstances warrant, our computer systems, software, networks and vendors may be vulnerable to human error, natural disasters, power loss, spam attacks, unauthorized access, distributed denial of service attacks, computer viruses and other malicious code, and other events that could result in significant liability and damage to our reputation, and have an ongoing impact on the security and stability of our operations. The techniques used in these attacks are increasingly sophisticated, change frequently and are often not recognized until launched. A failure of our and our third party vendors'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 As attempted attacks continue to evolve in scope and sophistication, we may be required to expend substantial additional resources to modify or enhance our protective measures, to investigate and remediate vulnerabilities or other exposures or to communicate about cyber attacks to our customers.</w:t>
      </w:r>
    </w:p>
    <w:p>
      <w:pPr>
        <w:spacing w:after="0" w:line="50" w:lineRule="exact"/>
        <w:rPr>
          <w:sz w:val="20"/>
          <w:szCs w:val="20"/>
          <w:color w:val="auto"/>
        </w:rPr>
      </w:pPr>
    </w:p>
    <w:p>
      <w:pPr>
        <w:ind w:right="200" w:firstLine="353"/>
        <w:spacing w:after="0" w:line="259" w:lineRule="auto"/>
        <w:rPr>
          <w:sz w:val="20"/>
          <w:szCs w:val="20"/>
          <w:color w:val="auto"/>
        </w:rPr>
      </w:pPr>
      <w:r>
        <w:rPr>
          <w:rFonts w:ascii="Arial" w:cs="Arial" w:eastAsia="Arial" w:hAnsi="Arial"/>
          <w:sz w:val="13"/>
          <w:szCs w:val="13"/>
          <w:color w:val="auto"/>
        </w:rPr>
        <w:t>Additionally, the SEC issued guidance in February 2018 stating that, as a public company, we are expected to have controls and procedures that relate to cyber security disclosure, and are required under the federal securities laws to disclose information relating to certain cyber attacks or other information security breaches. Successful cyber attacks at other asset management companies or other market participants, whether or not we are affected, could lead to a general loss of customer confidence in the industry that could negatively affect us, including harming the market perception of the effectiveness of our security measures, which could result in a loss of business.</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Our business is vulnerable to systems failures that could have a material adverse effect on our business, financial condition and results of operations.</w:t>
      </w:r>
    </w:p>
    <w:p>
      <w:pPr>
        <w:spacing w:after="0" w:line="90" w:lineRule="exact"/>
        <w:rPr>
          <w:sz w:val="20"/>
          <w:szCs w:val="20"/>
          <w:color w:val="auto"/>
        </w:rPr>
      </w:pPr>
    </w:p>
    <w:p>
      <w:pPr>
        <w:ind w:firstLine="353"/>
        <w:spacing w:after="0" w:line="259" w:lineRule="auto"/>
        <w:rPr>
          <w:sz w:val="20"/>
          <w:szCs w:val="20"/>
          <w:color w:val="auto"/>
        </w:rPr>
      </w:pPr>
      <w:r>
        <w:rPr>
          <w:rFonts w:ascii="Arial" w:cs="Arial" w:eastAsia="Arial" w:hAnsi="Arial"/>
          <w:sz w:val="13"/>
          <w:szCs w:val="13"/>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 certain software. We, or our third-party vendors, may suffer a systems failure or interruption, whether caused by an earthquake, fire, other natural disaster, power or telecommunications failure, unauthorized access, force majeure, act of war or otherwise, and our back-up procedures and capabilities may be inadequate to prevent the risk of extended interruptions in operations.</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Misuse of assets and information in the possession of our employees and third-party vendors could damage our reputation and result in costly litigation and liability for our clients and us.</w:t>
      </w:r>
    </w:p>
    <w:p>
      <w:pPr>
        <w:spacing w:after="0" w:line="101" w:lineRule="exact"/>
        <w:rPr>
          <w:sz w:val="20"/>
          <w:szCs w:val="20"/>
          <w:color w:val="auto"/>
        </w:rPr>
      </w:pPr>
    </w:p>
    <w:p>
      <w:pPr>
        <w:ind w:right="80" w:firstLine="353"/>
        <w:spacing w:after="0" w:line="288" w:lineRule="auto"/>
        <w:rPr>
          <w:sz w:val="20"/>
          <w:szCs w:val="20"/>
          <w:color w:val="auto"/>
        </w:rPr>
      </w:pPr>
      <w:r>
        <w:rPr>
          <w:rFonts w:ascii="Arial" w:cs="Arial" w:eastAsia="Arial" w:hAnsi="Arial"/>
          <w:sz w:val="12"/>
          <w:szCs w:val="12"/>
          <w:color w:val="auto"/>
        </w:rPr>
        <w:t>Our employees and certain third-party vendors handle significant amounts of assets along with financial and personal information for our clients. Our employees or third party vendors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or third party vendors.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39" w:lineRule="exact"/>
        <w:rPr>
          <w:sz w:val="20"/>
          <w:szCs w:val="20"/>
          <w:color w:val="auto"/>
        </w:rPr>
      </w:pPr>
    </w:p>
    <w:p>
      <w:pPr>
        <w:jc w:val="right"/>
        <w:ind w:right="7680"/>
        <w:spacing w:after="0"/>
        <w:rPr>
          <w:sz w:val="20"/>
          <w:szCs w:val="20"/>
          <w:color w:val="auto"/>
        </w:rPr>
      </w:pPr>
      <w:r>
        <w:rPr>
          <w:rFonts w:ascii="Arial" w:cs="Arial" w:eastAsia="Arial" w:hAnsi="Arial"/>
          <w:sz w:val="11"/>
          <w:szCs w:val="11"/>
          <w:b w:val="1"/>
          <w:bCs w:val="1"/>
          <w:u w:val="single" w:color="auto"/>
          <w:color w:val="auto"/>
        </w:rPr>
        <w:t>Risks Related to Ownership of Stock and Corporate Governance</w:t>
      </w:r>
    </w:p>
    <w:p>
      <w:pPr>
        <w:spacing w:after="0" w:line="109" w:lineRule="exact"/>
        <w:rPr>
          <w:sz w:val="20"/>
          <w:szCs w:val="20"/>
          <w:color w:val="auto"/>
        </w:rPr>
      </w:pPr>
    </w:p>
    <w:p>
      <w:pPr>
        <w:jc w:val="right"/>
        <w:ind w:right="7680"/>
        <w:spacing w:after="0"/>
        <w:rPr>
          <w:sz w:val="20"/>
          <w:szCs w:val="20"/>
          <w:color w:val="auto"/>
        </w:rPr>
      </w:pPr>
      <w:r>
        <w:rPr>
          <w:rFonts w:ascii="Arial" w:cs="Arial" w:eastAsia="Arial" w:hAnsi="Arial"/>
          <w:sz w:val="13"/>
          <w:szCs w:val="13"/>
          <w:b w:val="1"/>
          <w:bCs w:val="1"/>
          <w:color w:val="auto"/>
        </w:rPr>
        <w:t>Our stock is thinly traded and may be subject to volatility.</w:t>
      </w:r>
    </w:p>
    <w:p>
      <w:pPr>
        <w:spacing w:after="0" w:line="90" w:lineRule="exact"/>
        <w:rPr>
          <w:sz w:val="20"/>
          <w:szCs w:val="20"/>
          <w:color w:val="auto"/>
        </w:rPr>
      </w:pPr>
    </w:p>
    <w:p>
      <w:pPr>
        <w:ind w:right="40" w:firstLine="353"/>
        <w:spacing w:after="0" w:line="263" w:lineRule="auto"/>
        <w:rPr>
          <w:sz w:val="20"/>
          <w:szCs w:val="20"/>
          <w:color w:val="auto"/>
        </w:rPr>
      </w:pPr>
      <w:r>
        <w:rPr>
          <w:rFonts w:ascii="Arial" w:cs="Arial" w:eastAsia="Arial" w:hAnsi="Arial"/>
          <w:sz w:val="13"/>
          <w:szCs w:val="13"/>
          <w:color w:val="auto"/>
        </w:rPr>
        <w:t>Although our common stock is traded on the New York Stock Exchange, it may be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any such limited trading in our stock continues, it may be difficult for holders to sell their shares in the public market at any given time at prevailing prices.</w:t>
      </w:r>
    </w:p>
    <w:p>
      <w:pPr>
        <w:spacing w:after="0" w:line="57" w:lineRule="exact"/>
        <w:rPr>
          <w:sz w:val="20"/>
          <w:szCs w:val="20"/>
          <w:color w:val="auto"/>
        </w:rPr>
      </w:pPr>
    </w:p>
    <w:p>
      <w:pPr>
        <w:jc w:val="both"/>
        <w:ind w:right="20" w:firstLine="353"/>
        <w:spacing w:after="0" w:line="263" w:lineRule="auto"/>
        <w:rPr>
          <w:sz w:val="20"/>
          <w:szCs w:val="20"/>
          <w:color w:val="auto"/>
        </w:rPr>
      </w:pPr>
      <w:r>
        <w:rPr>
          <w:rFonts w:ascii="Arial" w:cs="Arial" w:eastAsia="Arial" w:hAnsi="Arial"/>
          <w:sz w:val="13"/>
          <w:szCs w:val="13"/>
          <w:color w:val="auto"/>
        </w:rPr>
        <w:t>The prevailing market price of our common stock may fluctuate significantly in response to a number of factors, some of which are beyond our control, including actual or anticipated fluctuations in operating results; changes in market valuations of other similar companies; additions or departures of key personnel; future sales of common stock; deviations in net revenues or in losses from levels expected by the investment community; and trading volume fluctuations.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Our organizational documents contain provisions that may prevent or deter another group from paying a premium over the market price to our stockholders to acquire our stock.</w:t>
      </w:r>
    </w:p>
    <w:p>
      <w:pPr>
        <w:spacing w:after="0" w:line="101" w:lineRule="exact"/>
        <w:rPr>
          <w:sz w:val="20"/>
          <w:szCs w:val="20"/>
          <w:color w:val="auto"/>
        </w:rPr>
      </w:pPr>
    </w:p>
    <w:p>
      <w:pPr>
        <w:ind w:right="40" w:firstLine="353"/>
        <w:spacing w:after="0" w:line="275" w:lineRule="auto"/>
        <w:rPr>
          <w:sz w:val="20"/>
          <w:szCs w:val="20"/>
          <w:color w:val="auto"/>
        </w:rPr>
      </w:pPr>
      <w:r>
        <w:rPr>
          <w:rFonts w:ascii="Arial" w:cs="Arial" w:eastAsia="Arial" w:hAnsi="Arial"/>
          <w:sz w:val="13"/>
          <w:szCs w:val="13"/>
          <w:color w:val="auto"/>
        </w:rPr>
        <w:t>Our organizational documents currently contain provisions that establish that stockholders cannot act by written consent, and that authorize our Board of Directors to issue, without shareholder approval, blank check preferred stock. In addition, as 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16" w:name="page17"/>
    <w:bookmarkEnd w:id="16"/>
    <w:p>
      <w:pPr>
        <w:ind w:right="40"/>
        <w:spacing w:after="0" w:line="263" w:lineRule="auto"/>
        <w:rPr>
          <w:sz w:val="20"/>
          <w:szCs w:val="20"/>
          <w:color w:val="auto"/>
        </w:rPr>
      </w:pPr>
      <w:r>
        <w:rPr>
          <w:rFonts w:ascii="Arial" w:cs="Arial" w:eastAsia="Arial" w:hAnsi="Arial"/>
          <w:sz w:val="13"/>
          <w:szCs w:val="13"/>
          <w:color w:val="auto"/>
        </w:rPr>
        <w:t>Delaware corporation, we are subject to Section 203 of the Delaware General Corporation Law relating to business combinations. These provisions could delay, deter or prevent a merger, consolidation, tender offer or other business combination or change of control involving us that could include a premium over the market price of our common stock that some or a majority of our stockholders might consider to be in their best interests.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Distributions to our common stockholders have included and may in the future include a return of capital.</w:t>
      </w:r>
    </w:p>
    <w:p>
      <w:pPr>
        <w:spacing w:after="0" w:line="90" w:lineRule="exact"/>
        <w:rPr>
          <w:sz w:val="20"/>
          <w:szCs w:val="20"/>
          <w:color w:val="auto"/>
        </w:rPr>
      </w:pPr>
    </w:p>
    <w:p>
      <w:pPr>
        <w:ind w:right="20" w:firstLine="353"/>
        <w:spacing w:after="0" w:line="257" w:lineRule="auto"/>
        <w:rPr>
          <w:sz w:val="20"/>
          <w:szCs w:val="20"/>
          <w:color w:val="auto"/>
        </w:rPr>
      </w:pPr>
      <w:r>
        <w:rPr>
          <w:rFonts w:ascii="Arial" w:cs="Arial" w:eastAsia="Arial" w:hAnsi="Arial"/>
          <w:sz w:val="13"/>
          <w:szCs w:val="13"/>
          <w:color w:val="auto"/>
        </w:rPr>
        <w:t>Future distributions to our common stockholders may include a return of capital. To the extent that we distribute amounts that exceed our accumulated earnings, these distributions would constitute a return of capital to the extent of the common stockholder’s adjusted tax basis in its shares of our common stock. A return of capital represents a return of a common stockholder’s original investment in shares of our common stock and should not be confused with a distribution from earnings. Although return of capital distributions may not be taxable, such distributions may increase an investor’s tax liability for capital gains upon the sale of our common stock by reducing the investor’s tax basis in its shares of our common stock. Such returns of capital reduce our asset base and could result in future needs for debt or capital infusions, which could have a material adverse impact on our business.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Our stockholder rights agreement (“</w:t>
      </w:r>
      <w:r>
        <w:rPr>
          <w:rFonts w:ascii="Arial" w:cs="Arial" w:eastAsia="Arial" w:hAnsi="Arial"/>
          <w:sz w:val="13"/>
          <w:szCs w:val="13"/>
          <w:b w:val="1"/>
          <w:bCs w:val="1"/>
          <w:u w:val="single" w:color="auto"/>
          <w:color w:val="auto"/>
        </w:rPr>
        <w:t>Rights Agreement</w:t>
      </w:r>
      <w:r>
        <w:rPr>
          <w:rFonts w:ascii="Arial" w:cs="Arial" w:eastAsia="Arial" w:hAnsi="Arial"/>
          <w:sz w:val="13"/>
          <w:szCs w:val="13"/>
          <w:b w:val="1"/>
          <w:bCs w:val="1"/>
          <w:color w:val="auto"/>
        </w:rPr>
        <w:t>”) may make it more difficult for others to obtain control over us, even if it would be beneficial to our stockholders.</w:t>
      </w:r>
    </w:p>
    <w:p>
      <w:pPr>
        <w:spacing w:after="0" w:line="90" w:lineRule="exact"/>
        <w:rPr>
          <w:sz w:val="20"/>
          <w:szCs w:val="20"/>
          <w:color w:val="auto"/>
        </w:rPr>
      </w:pPr>
    </w:p>
    <w:p>
      <w:pPr>
        <w:ind w:right="20" w:firstLine="353"/>
        <w:spacing w:after="0" w:line="259" w:lineRule="auto"/>
        <w:rPr>
          <w:sz w:val="20"/>
          <w:szCs w:val="20"/>
          <w:color w:val="auto"/>
        </w:rPr>
      </w:pPr>
      <w:r>
        <w:rPr>
          <w:rFonts w:ascii="Arial" w:cs="Arial" w:eastAsia="Arial" w:hAnsi="Arial"/>
          <w:sz w:val="13"/>
          <w:szCs w:val="13"/>
          <w:color w:val="auto"/>
        </w:rPr>
        <w:t>In May of 2021, our Board of Directors adopted a stockholder rights agreement. Pursuant to its terms, we have distributed a dividend of one right for each outstanding share of common stock of the Company to stockholders of record at the close of business on May 12, 2021. These rights would cause substantial dilution to the ownership of any person or group that attempts to acquire us on terms not approved by our Board of Directors and may have the effect of deterring hostile takeover attempts. These provisions could discourage a future takeover attempt which individual stockholders might deem to be in their best interests or in which stockholders could receive a premium for their shares over current prices.</w:t>
      </w:r>
    </w:p>
    <w:p>
      <w:pPr>
        <w:spacing w:after="0" w:line="60" w:lineRule="exact"/>
        <w:rPr>
          <w:sz w:val="20"/>
          <w:szCs w:val="20"/>
          <w:color w:val="auto"/>
        </w:rPr>
      </w:pPr>
    </w:p>
    <w:p>
      <w:pPr>
        <w:ind w:right="60" w:firstLine="353"/>
        <w:spacing w:after="0" w:line="295" w:lineRule="auto"/>
        <w:rPr>
          <w:sz w:val="20"/>
          <w:szCs w:val="20"/>
          <w:color w:val="auto"/>
        </w:rPr>
      </w:pPr>
      <w:r>
        <w:rPr>
          <w:rFonts w:ascii="Arial" w:cs="Arial" w:eastAsia="Arial" w:hAnsi="Arial"/>
          <w:sz w:val="12"/>
          <w:szCs w:val="12"/>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36" w:lineRule="exact"/>
        <w:rPr>
          <w:sz w:val="20"/>
          <w:szCs w:val="20"/>
          <w:color w:val="auto"/>
        </w:rPr>
      </w:pPr>
    </w:p>
    <w:p>
      <w:pPr>
        <w:ind w:right="420" w:firstLine="353"/>
        <w:spacing w:after="0" w:line="282" w:lineRule="auto"/>
        <w:rPr>
          <w:sz w:val="20"/>
          <w:szCs w:val="20"/>
          <w:color w:val="auto"/>
        </w:rPr>
      </w:pPr>
      <w:r>
        <w:rPr>
          <w:rFonts w:ascii="Arial" w:cs="Arial" w:eastAsia="Arial" w:hAnsi="Arial"/>
          <w:sz w:val="13"/>
          <w:szCs w:val="13"/>
          <w:b w:val="1"/>
          <w:bCs w:val="1"/>
          <w:color w:val="auto"/>
        </w:rPr>
        <w:t>Actions of activist stockholders could cause us to incur substantial costs, divert the attention and resources of our management and the Board of Directors, and have an adverse effect on our business and stock price.</w:t>
      </w:r>
    </w:p>
    <w:p>
      <w:pPr>
        <w:spacing w:after="0" w:line="45" w:lineRule="exact"/>
        <w:rPr>
          <w:sz w:val="20"/>
          <w:szCs w:val="20"/>
          <w:color w:val="auto"/>
        </w:rPr>
      </w:pPr>
    </w:p>
    <w:p>
      <w:pPr>
        <w:ind w:right="40" w:firstLine="353"/>
        <w:spacing w:after="0" w:line="281" w:lineRule="auto"/>
        <w:rPr>
          <w:sz w:val="20"/>
          <w:szCs w:val="20"/>
          <w:color w:val="auto"/>
        </w:rPr>
      </w:pPr>
      <w:r>
        <w:rPr>
          <w:rFonts w:ascii="Arial" w:cs="Arial" w:eastAsia="Arial" w:hAnsi="Arial"/>
          <w:sz w:val="12"/>
          <w:szCs w:val="12"/>
          <w:color w:val="auto"/>
        </w:rPr>
        <w:t>We have been and may continue to be subject to proposals by stockholders urging us to take certain corporate actions or seeking to acquire control over the Company. If activist stockholder activities continue or new activities arise, our business could be adversely affected as responding to actions by activist stockholders can be costly and time-consuming, disrupt our operations, and divert the attention of management and our Board of Directors, all of which could interfere with our ability to execute our strategic plan. We have retained, and may be required to continue to retain, the services of various professionals to advise us on activist stockholder matters, including legal, financial and communications advisors, the costs of which may adversely affect our financial results. In addition, the perceived uncertainties as to our future direction, strategy or leadership created as a consequence of activist stockholder initiatives may result in the loss of potential business opportunities, result in the loss of key personnel, harm our ability to attract new investors, clients and employees, and cause our stock price to experience periods of volatility or stagnation.</w:t>
      </w:r>
    </w:p>
    <w:p>
      <w:pPr>
        <w:spacing w:after="0" w:line="46" w:lineRule="exact"/>
        <w:rPr>
          <w:sz w:val="20"/>
          <w:szCs w:val="20"/>
          <w:color w:val="auto"/>
        </w:rPr>
      </w:pPr>
    </w:p>
    <w:p>
      <w:pPr>
        <w:ind w:right="100" w:firstLine="353"/>
        <w:spacing w:after="0" w:line="282" w:lineRule="auto"/>
        <w:rPr>
          <w:sz w:val="20"/>
          <w:szCs w:val="20"/>
          <w:color w:val="auto"/>
        </w:rPr>
      </w:pPr>
      <w:r>
        <w:rPr>
          <w:rFonts w:ascii="Arial" w:cs="Arial" w:eastAsia="Arial" w:hAnsi="Arial"/>
          <w:sz w:val="13"/>
          <w:szCs w:val="13"/>
          <w:b w:val="1"/>
          <w:bCs w:val="1"/>
          <w:color w:val="auto"/>
        </w:rPr>
        <w:t>In addition to our Rights Agreement, our organizational documents contain provisions that may prevent or deter another group from paying a premium over the market price to our stockholders to acquire our stock.</w:t>
      </w:r>
    </w:p>
    <w:p>
      <w:pPr>
        <w:spacing w:after="0" w:line="45" w:lineRule="exact"/>
        <w:rPr>
          <w:sz w:val="20"/>
          <w:szCs w:val="20"/>
          <w:color w:val="auto"/>
        </w:rPr>
      </w:pPr>
    </w:p>
    <w:p>
      <w:pPr>
        <w:ind w:firstLine="353"/>
        <w:spacing w:after="0" w:line="259" w:lineRule="auto"/>
        <w:rPr>
          <w:sz w:val="20"/>
          <w:szCs w:val="20"/>
          <w:color w:val="auto"/>
        </w:rPr>
      </w:pPr>
      <w:r>
        <w:rPr>
          <w:rFonts w:ascii="Arial" w:cs="Arial" w:eastAsia="Arial" w:hAnsi="Arial"/>
          <w:sz w:val="13"/>
          <w:szCs w:val="13"/>
          <w:color w:val="auto"/>
        </w:rPr>
        <w:t>Our organizational documents currently contain provisions that establish that stockholders cannot act by written consent, and that authorize our Board of Directors to issue, without shareholder approval, blank check preferred stock. In addition, as a Delaware corporation, we are subject to Section 203 of the Delaware General Corporation Law relating to business combinations. These provisions could delay, deter or prevent a merger, consolidation, tender offer or other business combination or change of control involving us that could include a premium over the market price of our common stock that some or a majority of our stockholders might consider to be in their best interests.</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Clients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Competitive fee pressures could reduce revenues and profit margins.</w:t>
      </w:r>
    </w:p>
    <w:p>
      <w:pPr>
        <w:spacing w:after="0" w:line="90" w:lineRule="exact"/>
        <w:rPr>
          <w:sz w:val="20"/>
          <w:szCs w:val="20"/>
          <w:color w:val="auto"/>
        </w:rPr>
      </w:pPr>
    </w:p>
    <w:p>
      <w:pPr>
        <w:ind w:right="280" w:firstLine="353"/>
        <w:spacing w:after="0" w:line="333" w:lineRule="auto"/>
        <w:rPr>
          <w:sz w:val="20"/>
          <w:szCs w:val="20"/>
          <w:color w:val="auto"/>
        </w:rPr>
      </w:pPr>
      <w:r>
        <w:rPr>
          <w:rFonts w:ascii="Arial" w:cs="Arial" w:eastAsia="Arial" w:hAnsi="Arial"/>
          <w:sz w:val="11"/>
          <w:szCs w:val="11"/>
          <w:color w:val="auto"/>
        </w:rPr>
        <w:t>To the extent we have to compete on the basis of price, we may not be able to maintain a profitable fee structure. In recent years, there has been a trend toward lower fees in the investment management industry driven in large part by low-cost, passive strategies, and we are actively marketing lower fee structures to stay competitive. We cannot be assured that we will succeed in providing investment returns and service levels that will allow us to maintain a profitable fee structure. Continued fee reductions on existing or future new business could have an adverse effect on our profit margins and results of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17" w:name="page18"/>
    <w:bookmarkEnd w:id="17"/>
    <w:p>
      <w:pPr>
        <w:ind w:firstLine="353"/>
        <w:spacing w:after="0" w:line="259" w:lineRule="auto"/>
        <w:rPr>
          <w:sz w:val="20"/>
          <w:szCs w:val="20"/>
          <w:color w:val="auto"/>
        </w:rPr>
      </w:pPr>
      <w:r>
        <w:rPr>
          <w:rFonts w:ascii="Arial" w:cs="Arial" w:eastAsia="Arial" w:hAnsi="Arial"/>
          <w:sz w:val="13"/>
          <w:szCs w:val="13"/>
          <w:color w:val="auto"/>
        </w:rPr>
        <w:t>In addition, we have performance fee agreements with certain clients, who pay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could fluctuate significantly between measurement periods, depending on how we perform relative to the indexes specified in these agreements. For example, we earned performance fees of $3.4 million in 2021, $3.2 million in 2020 and $0.8 million in 2019.</w:t>
      </w:r>
    </w:p>
    <w:p>
      <w:pPr>
        <w:spacing w:after="0" w:line="56" w:lineRule="exact"/>
        <w:rPr>
          <w:sz w:val="20"/>
          <w:szCs w:val="20"/>
          <w:color w:val="auto"/>
        </w:rPr>
      </w:pPr>
    </w:p>
    <w:p>
      <w:pPr>
        <w:ind w:right="160" w:firstLine="353"/>
        <w:spacing w:after="0" w:line="282" w:lineRule="auto"/>
        <w:rPr>
          <w:sz w:val="20"/>
          <w:szCs w:val="20"/>
          <w:color w:val="auto"/>
        </w:rPr>
      </w:pPr>
      <w:r>
        <w:rPr>
          <w:rFonts w:ascii="Arial" w:cs="Arial" w:eastAsia="Arial" w:hAnsi="Arial"/>
          <w:sz w:val="13"/>
          <w:szCs w:val="13"/>
          <w:b w:val="1"/>
          <w:bCs w:val="1"/>
          <w:color w:val="auto"/>
        </w:rPr>
        <w:t>Our business is dependent on investment advisory, sub-advisory, and trust agreements that are subject to termination or non-renewal and investments we manage under such agreements may be redeemed. As a result, we could lose clients on very short notice.</w:t>
      </w:r>
    </w:p>
    <w:p>
      <w:pPr>
        <w:spacing w:after="0" w:line="45" w:lineRule="exact"/>
        <w:rPr>
          <w:sz w:val="20"/>
          <w:szCs w:val="20"/>
          <w:color w:val="auto"/>
        </w:rPr>
      </w:pPr>
    </w:p>
    <w:p>
      <w:pPr>
        <w:ind w:right="160" w:firstLine="353"/>
        <w:spacing w:after="0" w:line="288" w:lineRule="auto"/>
        <w:rPr>
          <w:sz w:val="20"/>
          <w:szCs w:val="20"/>
          <w:color w:val="auto"/>
        </w:rPr>
      </w:pPr>
      <w:r>
        <w:rPr>
          <w:rFonts w:ascii="Arial" w:cs="Arial" w:eastAsia="Arial" w:hAnsi="Arial"/>
          <w:sz w:val="12"/>
          <w:szCs w:val="12"/>
          <w:color w:val="auto"/>
        </w:rPr>
        <w:t>Substantially all of our revenues are derived pursuant to investment advisory, sub-advisory and trust agreements with our clients that are subject to termination without advance notice. Investors in funds that we advise or sub-advise may redeem their investments at any time without prior notice, thereby reducing our AUM. These investors may redeem for any reason, including general financial market conditions, our absolute or relative investment performance or their own financial condition and requirements. In a declining stock market, the pace of redemptions could accelerate. Substantial additional redemptions or a termination or failure to renew a material number of these agreements would adversely affect our revenues and have a material adverse effect on our earnings and financial condition.</w:t>
      </w:r>
    </w:p>
    <w:p>
      <w:pPr>
        <w:spacing w:after="0" w:line="39" w:lineRule="exact"/>
        <w:rPr>
          <w:sz w:val="20"/>
          <w:szCs w:val="20"/>
          <w:color w:val="auto"/>
        </w:rPr>
      </w:pPr>
    </w:p>
    <w:p>
      <w:pPr>
        <w:ind w:right="480" w:firstLine="353"/>
        <w:spacing w:after="0" w:line="282" w:lineRule="auto"/>
        <w:rPr>
          <w:sz w:val="20"/>
          <w:szCs w:val="20"/>
          <w:color w:val="auto"/>
        </w:rPr>
      </w:pPr>
      <w:r>
        <w:rPr>
          <w:rFonts w:ascii="Arial" w:cs="Arial" w:eastAsia="Arial" w:hAnsi="Arial"/>
          <w:sz w:val="13"/>
          <w:szCs w:val="13"/>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45" w:lineRule="exact"/>
        <w:rPr>
          <w:sz w:val="20"/>
          <w:szCs w:val="20"/>
          <w:color w:val="auto"/>
        </w:rPr>
      </w:pPr>
    </w:p>
    <w:p>
      <w:pPr>
        <w:ind w:right="20" w:firstLine="353"/>
        <w:spacing w:after="0" w:line="259" w:lineRule="auto"/>
        <w:rPr>
          <w:sz w:val="20"/>
          <w:szCs w:val="20"/>
          <w:color w:val="auto"/>
        </w:rPr>
      </w:pPr>
      <w:r>
        <w:rPr>
          <w:rFonts w:ascii="Arial" w:cs="Arial" w:eastAsia="Arial" w:hAnsi="Arial"/>
          <w:sz w:val="13"/>
          <w:szCs w:val="13"/>
          <w:color w:val="auto"/>
        </w:rPr>
        <w:t>We are dependent to a significant degree on our ability to maintain our relationships with clients, consultants, managed account platforms and other intermediaries. Our ten largest clients accounted for approximately 22%, 24% and 20% of our fee revenues for the years ended December 31, 2021, 2020 and 2019, respectively. There can be no assurance that we will be successful in maintaining existing relationships, securing additional relationships or achieving the superior investment performance necessary to earn performance-based advisory fees. Our failure to retain one or more of these large relationships or to establish additional profitable relationships could have a material adverse effect on our business, financial condition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General Risk Factors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The recent COVID-19 pandemic, and other potential outbreaks, could negatively impact our business, financial condition and results of operations.</w:t>
      </w:r>
    </w:p>
    <w:p>
      <w:pPr>
        <w:spacing w:after="0" w:line="90" w:lineRule="exact"/>
        <w:rPr>
          <w:sz w:val="20"/>
          <w:szCs w:val="20"/>
          <w:color w:val="auto"/>
        </w:rPr>
      </w:pPr>
    </w:p>
    <w:p>
      <w:pPr>
        <w:ind w:right="80" w:firstLine="353"/>
        <w:spacing w:after="0" w:line="257" w:lineRule="auto"/>
        <w:rPr>
          <w:sz w:val="20"/>
          <w:szCs w:val="20"/>
          <w:color w:val="auto"/>
        </w:rPr>
      </w:pPr>
      <w:r>
        <w:rPr>
          <w:rFonts w:ascii="Arial" w:cs="Arial" w:eastAsia="Arial" w:hAnsi="Arial"/>
          <w:sz w:val="13"/>
          <w:szCs w:val="13"/>
          <w:color w:val="auto"/>
        </w:rPr>
        <w:t>We may face risks related to the outbreak of COVID-19, which has been declared a pandemic by the World Health Organization. The full impact of COVID-19 is unknown and rapidly evolving. The outbreak and any preventative or protective actions that governments, we or our clients may take in connection with this virus may result in a period of disruption, including with respect to our financial reporting capabilities and our operations generally, and could potentially impact our clients and third party vendors. Any resulting financial impact cannot be reasonably estimated at this time, but the COVID-19 pandemic could have a material adverse effect on the Company’s business, prospects, results of operations, reputation, financial condition, cash flows or ability to continue current operations without any direct or indirect impairment or disruption.</w:t>
      </w:r>
    </w:p>
    <w:p>
      <w:pPr>
        <w:spacing w:after="0" w:line="62" w:lineRule="exact"/>
        <w:rPr>
          <w:sz w:val="20"/>
          <w:szCs w:val="20"/>
          <w:color w:val="auto"/>
        </w:rPr>
      </w:pPr>
    </w:p>
    <w:p>
      <w:pPr>
        <w:ind w:right="380" w:firstLine="353"/>
        <w:spacing w:after="0" w:line="275" w:lineRule="auto"/>
        <w:rPr>
          <w:sz w:val="20"/>
          <w:szCs w:val="20"/>
          <w:color w:val="auto"/>
        </w:rPr>
      </w:pPr>
      <w:r>
        <w:rPr>
          <w:rFonts w:ascii="Arial" w:cs="Arial" w:eastAsia="Arial" w:hAnsi="Arial"/>
          <w:sz w:val="13"/>
          <w:szCs w:val="13"/>
          <w:color w:val="auto"/>
        </w:rPr>
        <w:t>The extent to which the COVID-19 pandemic impacts our results will depend on future developments, which are highly uncertain and cannot be predicted, including new information which may emerge concerning the severity and spread of COVID-19 and the effectiveness of actions to contain the virus or treat its impact, among others.</w:t>
      </w:r>
    </w:p>
    <w:p>
      <w:pPr>
        <w:spacing w:after="0" w:line="45" w:lineRule="exact"/>
        <w:rPr>
          <w:sz w:val="20"/>
          <w:szCs w:val="20"/>
          <w:color w:val="auto"/>
        </w:rPr>
      </w:pPr>
    </w:p>
    <w:p>
      <w:pPr>
        <w:ind w:right="320" w:firstLine="353"/>
        <w:spacing w:after="0" w:line="282" w:lineRule="auto"/>
        <w:rPr>
          <w:sz w:val="20"/>
          <w:szCs w:val="20"/>
          <w:color w:val="auto"/>
        </w:rPr>
      </w:pPr>
      <w:r>
        <w:rPr>
          <w:rFonts w:ascii="Arial" w:cs="Arial" w:eastAsia="Arial" w:hAnsi="Arial"/>
          <w:sz w:val="13"/>
          <w:szCs w:val="13"/>
          <w:b w:val="1"/>
          <w:bCs w:val="1"/>
          <w:color w:val="auto"/>
        </w:rPr>
        <w:t>Failure to correctly identify our strategic growth plan or execute our strategic plan could result in damage to our reputation and could have a material adverse effect on our business, financial condition and results of operations.</w:t>
      </w:r>
    </w:p>
    <w:p>
      <w:pPr>
        <w:spacing w:after="0" w:line="45" w:lineRule="exact"/>
        <w:rPr>
          <w:sz w:val="20"/>
          <w:szCs w:val="20"/>
          <w:color w:val="auto"/>
        </w:rPr>
      </w:pPr>
    </w:p>
    <w:p>
      <w:pPr>
        <w:ind w:right="460" w:firstLine="353"/>
        <w:spacing w:after="0" w:line="275" w:lineRule="auto"/>
        <w:rPr>
          <w:sz w:val="20"/>
          <w:szCs w:val="20"/>
          <w:color w:val="auto"/>
        </w:rPr>
      </w:pPr>
      <w:r>
        <w:rPr>
          <w:rFonts w:ascii="Arial" w:cs="Arial" w:eastAsia="Arial" w:hAnsi="Arial"/>
          <w:sz w:val="13"/>
          <w:szCs w:val="13"/>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49" w:lineRule="exact"/>
        <w:rPr>
          <w:sz w:val="20"/>
          <w:szCs w:val="20"/>
          <w:color w:val="auto"/>
        </w:rPr>
      </w:pPr>
    </w:p>
    <w:p>
      <w:pPr>
        <w:ind w:firstLine="353"/>
        <w:spacing w:after="0" w:line="281" w:lineRule="auto"/>
        <w:rPr>
          <w:sz w:val="20"/>
          <w:szCs w:val="20"/>
          <w:color w:val="auto"/>
        </w:rPr>
      </w:pPr>
      <w:r>
        <w:rPr>
          <w:rFonts w:ascii="Arial" w:cs="Arial" w:eastAsia="Arial" w:hAnsi="Arial"/>
          <w:sz w:val="12"/>
          <w:szCs w:val="12"/>
          <w:color w:val="auto"/>
        </w:rPr>
        <w:t>As part of our long-term business strategy, we may pursue corporate development transactions including the acquisition of asset management firms, mutual funds, wealth management firms and investment professionals or teams. Acquisitions involve inherent risks that could compromise the success of the combined business and dilute the holdings of current stockholders.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18" w:name="page19"/>
    <w:bookmarkEnd w:id="18"/>
    <w:p>
      <w:pPr>
        <w:ind w:right="40"/>
        <w:spacing w:after="0" w:line="257" w:lineRule="auto"/>
        <w:rPr>
          <w:sz w:val="20"/>
          <w:szCs w:val="20"/>
          <w:color w:val="auto"/>
        </w:rPr>
      </w:pPr>
      <w:r>
        <w:rPr>
          <w:rFonts w:ascii="Arial" w:cs="Arial" w:eastAsia="Arial" w:hAnsi="Arial"/>
          <w:sz w:val="13"/>
          <w:szCs w:val="13"/>
          <w:color w:val="auto"/>
        </w:rPr>
        <w:t>changes in management, potential litigation or other legal risks, potential write-downs related to goodwill impairments in connection with acquisitions and dilution to the stockholders of the combined company if the acquisition is made for stock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62" w:lineRule="exact"/>
        <w:rPr>
          <w:sz w:val="20"/>
          <w:szCs w:val="20"/>
          <w:color w:val="auto"/>
        </w:rPr>
      </w:pPr>
    </w:p>
    <w:p>
      <w:pPr>
        <w:ind w:right="100" w:firstLine="353"/>
        <w:spacing w:after="0" w:line="263" w:lineRule="auto"/>
        <w:rPr>
          <w:sz w:val="20"/>
          <w:szCs w:val="20"/>
          <w:color w:val="auto"/>
        </w:rPr>
      </w:pPr>
      <w:r>
        <w:rPr>
          <w:rFonts w:ascii="Arial" w:cs="Arial" w:eastAsia="Arial" w:hAnsi="Arial"/>
          <w:sz w:val="13"/>
          <w:szCs w:val="13"/>
          <w:color w:val="auto"/>
        </w:rPr>
        <w:t>Divestitures involve inherent risks that could compromise the success of our business. Risks related to divestitures can include difficulties in the separation of the divested business, loss of clients, retention or obligation to indemnify certain liabilities, the failure of counterparties to satisfy payment obligations, unfavorable market conditions that may impact any earnout or contingency payment due to us, unexpected difficulties in losing employees of the divested business or asset impairments.</w:t>
      </w:r>
    </w:p>
    <w:p>
      <w:pPr>
        <w:spacing w:after="0" w:line="57" w:lineRule="exact"/>
        <w:rPr>
          <w:sz w:val="20"/>
          <w:szCs w:val="20"/>
          <w:color w:val="auto"/>
        </w:rPr>
      </w:pPr>
    </w:p>
    <w:p>
      <w:pPr>
        <w:ind w:right="60" w:firstLine="353"/>
        <w:spacing w:after="0" w:line="333" w:lineRule="auto"/>
        <w:rPr>
          <w:sz w:val="20"/>
          <w:szCs w:val="20"/>
          <w:color w:val="auto"/>
        </w:rPr>
      </w:pPr>
      <w:r>
        <w:rPr>
          <w:rFonts w:ascii="Arial" w:cs="Arial" w:eastAsia="Arial" w:hAnsi="Arial"/>
          <w:sz w:val="11"/>
          <w:szCs w:val="11"/>
          <w:color w:val="auto"/>
        </w:rPr>
        <w:t>As consumer demand for digital interaction with investment advisors and portfolios continues to grow, we are exploring opportunities to develop digital solutions to enhance services to our clients. If we are incorrect in assessing the value, strengths, weaknesses and potential profitability of such solutions, or if we fail to adequately integrate the solutions,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22" w:lineRule="exact"/>
        <w:rPr>
          <w:sz w:val="20"/>
          <w:szCs w:val="20"/>
          <w:color w:val="auto"/>
        </w:rPr>
      </w:pPr>
    </w:p>
    <w:p>
      <w:pPr>
        <w:ind w:right="240" w:firstLine="353"/>
        <w:spacing w:after="0" w:line="275" w:lineRule="auto"/>
        <w:rPr>
          <w:sz w:val="20"/>
          <w:szCs w:val="20"/>
          <w:color w:val="auto"/>
        </w:rPr>
      </w:pPr>
      <w:r>
        <w:rPr>
          <w:rFonts w:ascii="Arial" w:cs="Arial" w:eastAsia="Arial" w:hAnsi="Arial"/>
          <w:sz w:val="13"/>
          <w:szCs w:val="13"/>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Various factors may hinder the declaration and payment of dividends.</w:t>
      </w:r>
    </w:p>
    <w:p>
      <w:pPr>
        <w:spacing w:after="0" w:line="90" w:lineRule="exact"/>
        <w:rPr>
          <w:sz w:val="20"/>
          <w:szCs w:val="20"/>
          <w:color w:val="auto"/>
        </w:rPr>
      </w:pPr>
    </w:p>
    <w:p>
      <w:pPr>
        <w:ind w:firstLine="353"/>
        <w:spacing w:after="0" w:line="255" w:lineRule="auto"/>
        <w:rPr>
          <w:sz w:val="20"/>
          <w:szCs w:val="20"/>
          <w:color w:val="auto"/>
        </w:rPr>
      </w:pPr>
      <w:r>
        <w:rPr>
          <w:rFonts w:ascii="Arial" w:cs="Arial" w:eastAsia="Arial" w:hAnsi="Arial"/>
          <w:sz w:val="13"/>
          <w:szCs w:val="13"/>
          <w:color w:val="auto"/>
        </w:rPr>
        <w:t>We have historically paid a quarterly dividend; however, payment of future dividends is subject to the discretion of our Board of Directors, and various factors may impact our ability to maintain the current dividend or pay dividends at all. We reinstated a dividend in the first quarter of 2021, following a suspension in the second quarter of 2020 as we preserved capital and provided additional financial flexibility amid the uncertainties created by the COVID-19 pandemic. Such factors include our financial position, capital requirements and liquidity, tax regulations, stock repurchase plans, state corporate and banking law restrictions, results of operations and other factors that our Board of Directors may consider relevant. As a holding company, our ability to pay dividends is dependent on the dividends and income we receive from our subsidiaries. Currently, our primary source of cash consists of dividends from Westwood Management or Westwood Trust. The payment of dividends by Westwood Trust is subject to the discretion of its Board of Directors and compliance with applicable laws, including the provisions of the Finance Code applicable to Westwood Trust. See “Item 7. Management’s Discussion and Analysis of Financial Condition and Results of Operations.”</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We may not be able to fund future capital requirements on favorable terms, if at all.</w:t>
      </w:r>
    </w:p>
    <w:p>
      <w:pPr>
        <w:spacing w:after="0" w:line="90" w:lineRule="exact"/>
        <w:rPr>
          <w:sz w:val="20"/>
          <w:szCs w:val="20"/>
          <w:color w:val="auto"/>
        </w:rPr>
      </w:pPr>
    </w:p>
    <w:p>
      <w:pPr>
        <w:ind w:firstLine="353"/>
        <w:spacing w:after="0" w:line="259" w:lineRule="auto"/>
        <w:rPr>
          <w:sz w:val="20"/>
          <w:szCs w:val="20"/>
          <w:color w:val="auto"/>
        </w:rPr>
      </w:pPr>
      <w:r>
        <w:rPr>
          <w:rFonts w:ascii="Arial" w:cs="Arial" w:eastAsia="Arial" w:hAnsi="Arial"/>
          <w:sz w:val="13"/>
          <w:szCs w:val="13"/>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technological investments and fluctuations in our operating results and financing activities. If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Failure to properly identify and address conflicts of interest could harm our reputation or cause clients to withdraw funds, which could adversely affect our business and results of operations.</w:t>
      </w:r>
    </w:p>
    <w:p>
      <w:pPr>
        <w:spacing w:after="0" w:line="101" w:lineRule="exact"/>
        <w:rPr>
          <w:sz w:val="20"/>
          <w:szCs w:val="20"/>
          <w:color w:val="auto"/>
        </w:rPr>
      </w:pPr>
    </w:p>
    <w:p>
      <w:pPr>
        <w:ind w:right="120" w:firstLine="353"/>
        <w:spacing w:after="0" w:line="263" w:lineRule="auto"/>
        <w:rPr>
          <w:sz w:val="20"/>
          <w:szCs w:val="20"/>
          <w:color w:val="auto"/>
        </w:rPr>
      </w:pPr>
      <w:r>
        <w:rPr>
          <w:rFonts w:ascii="Arial" w:cs="Arial" w:eastAsia="Arial" w:hAnsi="Arial"/>
          <w:sz w:val="13"/>
          <w:szCs w:val="13"/>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57" w:lineRule="exact"/>
        <w:rPr>
          <w:sz w:val="20"/>
          <w:szCs w:val="20"/>
          <w:color w:val="auto"/>
        </w:rPr>
      </w:pPr>
    </w:p>
    <w:p>
      <w:pPr>
        <w:ind w:right="20" w:firstLine="353"/>
        <w:spacing w:after="0" w:line="257" w:lineRule="auto"/>
        <w:rPr>
          <w:sz w:val="20"/>
          <w:szCs w:val="20"/>
          <w:color w:val="auto"/>
        </w:rPr>
      </w:pPr>
      <w:r>
        <w:rPr>
          <w:rFonts w:ascii="Arial" w:cs="Arial" w:eastAsia="Arial" w:hAnsi="Arial"/>
          <w:sz w:val="13"/>
          <w:szCs w:val="13"/>
          <w:color w:val="auto"/>
        </w:rPr>
        <w:t>As we expand the scope of our business and our client base, we must also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AUM and investment management fees may be negatively impacted. Similarly, we may establish or add new investment teams or expand operations into other geographic areas or jurisdictions if we believe such actions are in the best interest of our clients, even though our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19" w:name="page20"/>
    <w:bookmarkEnd w:id="19"/>
    <w:p>
      <w:pPr>
        <w:ind w:right="180"/>
        <w:spacing w:after="0" w:line="275" w:lineRule="auto"/>
        <w:rPr>
          <w:sz w:val="20"/>
          <w:szCs w:val="20"/>
          <w:color w:val="auto"/>
        </w:rPr>
      </w:pPr>
      <w:r>
        <w:rPr>
          <w:rFonts w:ascii="Arial" w:cs="Arial" w:eastAsia="Arial" w:hAnsi="Arial"/>
          <w:sz w:val="13"/>
          <w:szCs w:val="13"/>
          <w:color w:val="auto"/>
        </w:rPr>
        <w:t>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Insurance coverage may be inadequate to cover legal and regulatory proceedings.</w:t>
      </w:r>
    </w:p>
    <w:p>
      <w:pPr>
        <w:spacing w:after="0" w:line="90" w:lineRule="exact"/>
        <w:rPr>
          <w:sz w:val="20"/>
          <w:szCs w:val="20"/>
          <w:color w:val="auto"/>
        </w:rPr>
      </w:pPr>
    </w:p>
    <w:p>
      <w:pPr>
        <w:ind w:right="140" w:firstLine="353"/>
        <w:spacing w:after="0" w:line="263" w:lineRule="auto"/>
        <w:rPr>
          <w:sz w:val="20"/>
          <w:szCs w:val="20"/>
          <w:color w:val="auto"/>
        </w:rPr>
      </w:pPr>
      <w:r>
        <w:rPr>
          <w:rFonts w:ascii="Arial" w:cs="Arial" w:eastAsia="Arial" w:hAnsi="Arial"/>
          <w:sz w:val="13"/>
          <w:szCs w:val="13"/>
          <w:color w:val="auto"/>
        </w:rPr>
        <w:t>We maintain insurance coverage in amounts and on terms we believe appropriate to cover legal and regulatory matters and potential cyber security attacks; however, we can make no assurance that there will be adequate coverage or that a specific claim will be covered by our insurance policies. Additionally, insurance premiums may rise for substantially the same coverage amounts and terms, which will increase our expenses and reduce net income.</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Failure to maintain effective internal controls could have a material adverse effect on our business and stock price.</w:t>
      </w:r>
    </w:p>
    <w:p>
      <w:pPr>
        <w:spacing w:after="0" w:line="90" w:lineRule="exact"/>
        <w:rPr>
          <w:sz w:val="20"/>
          <w:szCs w:val="20"/>
          <w:color w:val="auto"/>
        </w:rPr>
      </w:pPr>
    </w:p>
    <w:p>
      <w:pPr>
        <w:ind w:right="200" w:firstLine="353"/>
        <w:spacing w:after="0" w:line="318" w:lineRule="auto"/>
        <w:rPr>
          <w:sz w:val="20"/>
          <w:szCs w:val="20"/>
          <w:color w:val="auto"/>
        </w:rPr>
      </w:pPr>
      <w:r>
        <w:rPr>
          <w:rFonts w:ascii="Arial" w:cs="Arial" w:eastAsia="Arial" w:hAnsi="Arial"/>
          <w:sz w:val="12"/>
          <w:szCs w:val="12"/>
          <w:color w:val="auto"/>
        </w:rPr>
        <w:t>Effective internal controls are necessary to provide reliable financial reports. If we cannot provide reliable financial reports, our brand and operating results could be harmed. All internal control systems, no matter how well designed, contain inherent limitations, and systems determined to be effective can provide only reasonable assurance with respect to financial statement preparation and presentation.</w:t>
      </w:r>
    </w:p>
    <w:p>
      <w:pPr>
        <w:spacing w:after="0" w:line="26" w:lineRule="exact"/>
        <w:rPr>
          <w:sz w:val="20"/>
          <w:szCs w:val="20"/>
          <w:color w:val="auto"/>
        </w:rPr>
      </w:pPr>
    </w:p>
    <w:p>
      <w:pPr>
        <w:ind w:right="40" w:firstLine="353"/>
        <w:spacing w:after="0" w:line="257" w:lineRule="auto"/>
        <w:rPr>
          <w:sz w:val="20"/>
          <w:szCs w:val="20"/>
          <w:color w:val="auto"/>
        </w:rPr>
      </w:pPr>
      <w:r>
        <w:rPr>
          <w:rFonts w:ascii="Arial" w:cs="Arial" w:eastAsia="Arial" w:hAnsi="Arial"/>
          <w:sz w:val="13"/>
          <w:szCs w:val="13"/>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1B. Unresolved Staff Comments.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129" w:lineRule="exact"/>
        <w:rPr>
          <w:sz w:val="20"/>
          <w:szCs w:val="20"/>
          <w:color w:val="auto"/>
        </w:rPr>
      </w:pPr>
    </w:p>
    <w:p>
      <w:pPr>
        <w:ind w:firstLine="353"/>
        <w:spacing w:after="0" w:line="263" w:lineRule="auto"/>
        <w:rPr>
          <w:sz w:val="20"/>
          <w:szCs w:val="20"/>
          <w:color w:val="auto"/>
        </w:rPr>
      </w:pPr>
      <w:r>
        <w:rPr>
          <w:rFonts w:ascii="Arial" w:cs="Arial" w:eastAsia="Arial" w:hAnsi="Arial"/>
          <w:sz w:val="13"/>
          <w:szCs w:val="13"/>
          <w:color w:val="auto"/>
        </w:rPr>
        <w:t>Westwood, Westwood Management and Westwood Trust conduct their principal operations using approximately 45,000 square feet of leased office space in Dallas, Texas pursuant to a lease with an initial term that expires in March 2026. In 2021 we entered into sublease agreements with third parties for approximately 15,000 square feet of our Dallas, Texas office space. Those agreements expire in 2025. In addition, we lease approximately 8,000 square feet of office space in Houston, Texas pursuant to a lease that expires in June 2024.</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continue to assess these facilities to ensure their adequacy to serve our anticipated business needs.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Legal Proceedings.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are subject from time to time to certain claims and legal proceedings arising in the ordinary course of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3"/>
          <w:szCs w:val="13"/>
          <w:b w:val="1"/>
          <w:bCs w:val="1"/>
          <w:color w:val="auto"/>
        </w:rPr>
        <w:t>PART II</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w:t>
      </w:r>
    </w:p>
    <w:p>
      <w:pPr>
        <w:spacing w:after="0" w:line="90" w:lineRule="exact"/>
        <w:rPr>
          <w:sz w:val="20"/>
          <w:szCs w:val="20"/>
          <w:color w:val="auto"/>
        </w:rPr>
      </w:pPr>
    </w:p>
    <w:p>
      <w:pPr>
        <w:ind w:right="100" w:firstLine="353"/>
        <w:spacing w:after="0" w:line="275" w:lineRule="auto"/>
        <w:rPr>
          <w:sz w:val="20"/>
          <w:szCs w:val="20"/>
          <w:color w:val="auto"/>
        </w:rPr>
      </w:pPr>
      <w:r>
        <w:rPr>
          <w:rFonts w:ascii="Arial" w:cs="Arial" w:eastAsia="Arial" w:hAnsi="Arial"/>
          <w:sz w:val="13"/>
          <w:szCs w:val="13"/>
          <w:color w:val="auto"/>
        </w:rPr>
        <w:t>Our common stock trades on the New York Stock Exchange (the “NYSE”) under the symbol “WHG.” At December 31, 2021, there were approximately 220 record holders of our common stock, although we believe that the number of beneficial owners of our common stock is substantially greater.</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90" w:lineRule="exact"/>
        <w:rPr>
          <w:sz w:val="20"/>
          <w:szCs w:val="20"/>
          <w:color w:val="auto"/>
        </w:rPr>
      </w:pPr>
    </w:p>
    <w:p>
      <w:pPr>
        <w:ind w:right="80" w:firstLine="353"/>
        <w:spacing w:after="0" w:line="318" w:lineRule="auto"/>
        <w:rPr>
          <w:sz w:val="20"/>
          <w:szCs w:val="20"/>
          <w:color w:val="auto"/>
        </w:rPr>
      </w:pPr>
      <w:r>
        <w:rPr>
          <w:rFonts w:ascii="Arial" w:cs="Arial" w:eastAsia="Arial" w:hAnsi="Arial"/>
          <w:sz w:val="12"/>
          <w:szCs w:val="12"/>
          <w:color w:val="auto"/>
        </w:rPr>
        <w:t>We reinstated a dividend in the first quarter of 2021, following a suspension in the second quarter of 2020 as we preserved capital and provided additional financial flexibility amid the uncertainties created by COVID-19. Any future payments of cash dividends will be at the discretion of the Board of Directors and subject to limitations under the Delaware General Corporation Law.</w:t>
      </w:r>
    </w:p>
    <w:p>
      <w:pPr>
        <w:spacing w:after="0" w:line="26" w:lineRule="exact"/>
        <w:rPr>
          <w:sz w:val="20"/>
          <w:szCs w:val="20"/>
          <w:color w:val="auto"/>
        </w:rPr>
      </w:pPr>
    </w:p>
    <w:p>
      <w:pPr>
        <w:ind w:right="100" w:firstLine="353"/>
        <w:spacing w:after="0" w:line="263" w:lineRule="auto"/>
        <w:rPr>
          <w:sz w:val="20"/>
          <w:szCs w:val="20"/>
          <w:color w:val="auto"/>
        </w:rPr>
      </w:pPr>
      <w:r>
        <w:rPr>
          <w:rFonts w:ascii="Arial" w:cs="Arial" w:eastAsia="Arial" w:hAnsi="Arial"/>
          <w:sz w:val="13"/>
          <w:szCs w:val="13"/>
          <w:color w:val="auto"/>
        </w:rPr>
        <w:t>Westwood Holdings Group is the sole stockholder of Westwood Management and Westwood Trust. Westwood Trust is limited under applicable Texas law in the payment of dividends to the amount of undivided profits, which is defined as that part of equity capital equal to the balance of net profits, income, gains and losses since its formation minus subsequent distributions to stockholders and transfers to surplus or capital under share dividends or appropriate Board of Directors’ resolutions.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29" w:lineRule="exact"/>
        <w:rPr>
          <w:sz w:val="20"/>
          <w:szCs w:val="20"/>
          <w:color w:val="auto"/>
        </w:rPr>
      </w:pPr>
    </w:p>
    <w:p>
      <w:pPr>
        <w:ind w:right="20" w:firstLine="353"/>
        <w:spacing w:after="0" w:line="263" w:lineRule="auto"/>
        <w:rPr>
          <w:sz w:val="20"/>
          <w:szCs w:val="20"/>
          <w:color w:val="auto"/>
        </w:rPr>
      </w:pPr>
      <w:r>
        <w:rPr>
          <w:rFonts w:ascii="Arial" w:cs="Arial" w:eastAsia="Arial" w:hAnsi="Arial"/>
          <w:sz w:val="13"/>
          <w:szCs w:val="13"/>
          <w:color w:val="auto"/>
        </w:rPr>
        <w:t>On July 20, 2012, our Board of Directors authorized management to repurchase up to $10.0 million of our outstanding common stock on the open market or in privately negotiated transactions. Our Board of Directors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97" w:lineRule="exact"/>
        <w:rPr>
          <w:sz w:val="20"/>
          <w:szCs w:val="20"/>
          <w:color w:val="auto"/>
        </w:rPr>
      </w:pPr>
    </w:p>
    <w:p>
      <w:pPr>
        <w:ind w:right="380" w:firstLine="353"/>
        <w:spacing w:after="0" w:line="291" w:lineRule="auto"/>
        <w:rPr>
          <w:sz w:val="20"/>
          <w:szCs w:val="20"/>
          <w:color w:val="auto"/>
        </w:rPr>
      </w:pPr>
      <w:r>
        <w:rPr>
          <w:rFonts w:ascii="Arial" w:cs="Arial" w:eastAsia="Arial" w:hAnsi="Arial"/>
          <w:sz w:val="12"/>
          <w:szCs w:val="12"/>
          <w:color w:val="auto"/>
        </w:rPr>
        <w:t>Between January 1, 2021 and December 31, 2021, under the share repurchase program, the Company repurchased 182,549 shares of our common stock at an average price of $16.38 per share, including commissions, for an aggregate purchase price of $3.0 million. The following table displays information with respect to the treasury shares we purchased during the year ended December 31, 2021:</w:t>
      </w:r>
    </w:p>
    <w:tbl>
      <w:tblPr>
        <w:tblLayout w:type="fixed"/>
        <w:tblInd w:w="0" w:type="dxa"/>
        <w:tblCellMar>
          <w:top w:w="0" w:type="dxa"/>
          <w:left w:w="0" w:type="dxa"/>
          <w:bottom w:w="0" w:type="dxa"/>
          <w:right w:w="0" w:type="dxa"/>
        </w:tblCellMar>
      </w:tblPr>
      <w:tr>
        <w:trPr>
          <w:trHeight w:val="105"/>
        </w:trPr>
        <w:tc>
          <w:tcPr>
            <w:tcW w:w="4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ind w:left="600"/>
              <w:spacing w:after="0"/>
              <w:rPr>
                <w:sz w:val="20"/>
                <w:szCs w:val="20"/>
                <w:color w:val="auto"/>
              </w:rPr>
            </w:pPr>
            <w:r>
              <w:rPr>
                <w:rFonts w:ascii="Arial" w:cs="Arial" w:eastAsia="Arial" w:hAnsi="Arial"/>
                <w:sz w:val="10"/>
                <w:szCs w:val="10"/>
                <w:b w:val="1"/>
                <w:bCs w:val="1"/>
                <w:color w:val="auto"/>
              </w:rPr>
              <w:t>Total</w:t>
            </w: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jc w:val="right"/>
              <w:ind w:right="320"/>
              <w:spacing w:after="0" w:line="106" w:lineRule="exact"/>
              <w:rPr>
                <w:sz w:val="20"/>
                <w:szCs w:val="20"/>
                <w:color w:val="auto"/>
              </w:rPr>
            </w:pPr>
            <w:r>
              <w:rPr>
                <w:rFonts w:ascii="Arial" w:cs="Arial" w:eastAsia="Arial" w:hAnsi="Arial"/>
                <w:sz w:val="10"/>
                <w:szCs w:val="10"/>
                <w:b w:val="1"/>
                <w:bCs w:val="1"/>
                <w:color w:val="auto"/>
              </w:rPr>
              <w:t>Total number</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20" w:type="dxa"/>
            <w:vAlign w:val="bottom"/>
          </w:tcPr>
          <w:p>
            <w:pPr>
              <w:jc w:val="right"/>
              <w:ind w:right="385"/>
              <w:spacing w:after="0" w:line="106" w:lineRule="exact"/>
              <w:rPr>
                <w:sz w:val="20"/>
                <w:szCs w:val="20"/>
                <w:color w:val="auto"/>
              </w:rPr>
            </w:pPr>
            <w:r>
              <w:rPr>
                <w:rFonts w:ascii="Arial" w:cs="Arial" w:eastAsia="Arial" w:hAnsi="Arial"/>
                <w:sz w:val="10"/>
                <w:szCs w:val="10"/>
                <w:b w:val="1"/>
                <w:bCs w:val="1"/>
                <w:color w:val="auto"/>
              </w:rPr>
              <w:t>Maximum number (or</w:t>
            </w:r>
          </w:p>
        </w:tc>
        <w:tc>
          <w:tcPr>
            <w:tcW w:w="0" w:type="dxa"/>
            <w:vAlign w:val="bottom"/>
          </w:tcPr>
          <w:p>
            <w:pPr>
              <w:spacing w:after="0"/>
              <w:rPr>
                <w:sz w:val="1"/>
                <w:szCs w:val="1"/>
                <w:color w:val="auto"/>
              </w:rPr>
            </w:pPr>
          </w:p>
        </w:tc>
      </w:tr>
      <w:tr>
        <w:trPr>
          <w:trHeight w:val="98"/>
        </w:trPr>
        <w:tc>
          <w:tcPr>
            <w:tcW w:w="4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Average</w:t>
            </w:r>
          </w:p>
        </w:tc>
        <w:tc>
          <w:tcPr>
            <w:tcW w:w="17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89"/>
              </w:rPr>
              <w:t>of shares</w:t>
            </w:r>
          </w:p>
        </w:tc>
        <w:tc>
          <w:tcPr>
            <w:tcW w:w="100" w:type="dxa"/>
            <w:vAlign w:val="bottom"/>
          </w:tcPr>
          <w:p>
            <w:pPr>
              <w:spacing w:after="0"/>
              <w:rPr>
                <w:sz w:val="8"/>
                <w:szCs w:val="8"/>
                <w:color w:val="auto"/>
              </w:rPr>
            </w:pPr>
          </w:p>
        </w:tc>
        <w:tc>
          <w:tcPr>
            <w:tcW w:w="2260" w:type="dxa"/>
            <w:vAlign w:val="bottom"/>
            <w:gridSpan w:val="2"/>
          </w:tcPr>
          <w:p>
            <w:pPr>
              <w:jc w:val="center"/>
              <w:spacing w:after="0" w:line="98" w:lineRule="exact"/>
              <w:rPr>
                <w:sz w:val="20"/>
                <w:szCs w:val="20"/>
                <w:color w:val="auto"/>
              </w:rPr>
            </w:pPr>
            <w:r>
              <w:rPr>
                <w:rFonts w:ascii="Arial" w:cs="Arial" w:eastAsia="Arial" w:hAnsi="Arial"/>
                <w:sz w:val="10"/>
                <w:szCs w:val="10"/>
                <w:b w:val="1"/>
                <w:bCs w:val="1"/>
                <w:color w:val="auto"/>
                <w:w w:val="94"/>
              </w:rPr>
              <w:t>approximate dollar value) of shares that</w:t>
            </w:r>
          </w:p>
        </w:tc>
        <w:tc>
          <w:tcPr>
            <w:tcW w:w="0" w:type="dxa"/>
            <w:vAlign w:val="bottom"/>
          </w:tcPr>
          <w:p>
            <w:pPr>
              <w:spacing w:after="0"/>
              <w:rPr>
                <w:sz w:val="1"/>
                <w:szCs w:val="1"/>
                <w:color w:val="auto"/>
              </w:rPr>
            </w:pPr>
          </w:p>
        </w:tc>
      </w:tr>
      <w:tr>
        <w:trPr>
          <w:trHeight w:val="98"/>
        </w:trPr>
        <w:tc>
          <w:tcPr>
            <w:tcW w:w="4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100"/>
              <w:spacing w:after="0" w:line="98" w:lineRule="exact"/>
              <w:rPr>
                <w:sz w:val="20"/>
                <w:szCs w:val="20"/>
                <w:color w:val="auto"/>
              </w:rPr>
            </w:pPr>
            <w:r>
              <w:rPr>
                <w:rFonts w:ascii="Arial" w:cs="Arial" w:eastAsia="Arial" w:hAnsi="Arial"/>
                <w:sz w:val="10"/>
                <w:szCs w:val="10"/>
                <w:b w:val="1"/>
                <w:bCs w:val="1"/>
                <w:color w:val="auto"/>
                <w:w w:val="98"/>
              </w:rPr>
              <w:t>number of</w:t>
            </w:r>
          </w:p>
        </w:tc>
        <w:tc>
          <w:tcPr>
            <w:tcW w:w="4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7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3"/>
              </w:rPr>
              <w:t>purchased as part of publicly</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20" w:type="dxa"/>
            <w:vAlign w:val="bottom"/>
          </w:tcPr>
          <w:p>
            <w:pPr>
              <w:jc w:val="center"/>
              <w:ind w:right="465"/>
              <w:spacing w:after="0" w:line="98" w:lineRule="exact"/>
              <w:rPr>
                <w:sz w:val="20"/>
                <w:szCs w:val="20"/>
                <w:color w:val="auto"/>
              </w:rPr>
            </w:pPr>
            <w:r>
              <w:rPr>
                <w:rFonts w:ascii="Arial" w:cs="Arial" w:eastAsia="Arial" w:hAnsi="Arial"/>
                <w:sz w:val="10"/>
                <w:szCs w:val="10"/>
                <w:b w:val="1"/>
                <w:bCs w:val="1"/>
                <w:color w:val="auto"/>
                <w:w w:val="91"/>
              </w:rPr>
              <w:t>may yet be purchased</w:t>
            </w:r>
          </w:p>
        </w:tc>
        <w:tc>
          <w:tcPr>
            <w:tcW w:w="0" w:type="dxa"/>
            <w:vAlign w:val="bottom"/>
          </w:tcPr>
          <w:p>
            <w:pPr>
              <w:spacing w:after="0"/>
              <w:rPr>
                <w:sz w:val="1"/>
                <w:szCs w:val="1"/>
                <w:color w:val="auto"/>
              </w:rPr>
            </w:pPr>
          </w:p>
        </w:tc>
      </w:tr>
      <w:tr>
        <w:trPr>
          <w:trHeight w:val="98"/>
        </w:trPr>
        <w:tc>
          <w:tcPr>
            <w:tcW w:w="4400" w:type="dxa"/>
            <w:vAlign w:val="bottom"/>
            <w:vMerge w:val="restart"/>
          </w:tcPr>
          <w:p>
            <w:pPr>
              <w:ind w:left="2200"/>
              <w:spacing w:after="0"/>
              <w:rPr>
                <w:sz w:val="20"/>
                <w:szCs w:val="20"/>
                <w:color w:val="auto"/>
              </w:rPr>
            </w:pPr>
            <w:r>
              <w:rPr>
                <w:rFonts w:ascii="Arial" w:cs="Arial" w:eastAsia="Arial" w:hAnsi="Arial"/>
                <w:sz w:val="12"/>
                <w:szCs w:val="12"/>
                <w:b w:val="1"/>
                <w:bCs w:val="1"/>
                <w:color w:val="auto"/>
              </w:rPr>
              <w:t>Period</w:t>
            </w:r>
          </w:p>
        </w:tc>
        <w:tc>
          <w:tcPr>
            <w:tcW w:w="100" w:type="dxa"/>
            <w:vAlign w:val="bottom"/>
            <w:vMerge w:val="restart"/>
          </w:tcPr>
          <w:p>
            <w:pPr>
              <w:spacing w:after="0"/>
              <w:rPr>
                <w:sz w:val="8"/>
                <w:szCs w:val="8"/>
                <w:color w:val="auto"/>
              </w:rPr>
            </w:pPr>
          </w:p>
        </w:tc>
        <w:tc>
          <w:tcPr>
            <w:tcW w:w="1180" w:type="dxa"/>
            <w:vAlign w:val="bottom"/>
            <w:gridSpan w:val="2"/>
          </w:tcPr>
          <w:p>
            <w:pPr>
              <w:jc w:val="center"/>
              <w:ind w:right="100"/>
              <w:spacing w:after="0" w:line="98" w:lineRule="exact"/>
              <w:rPr>
                <w:sz w:val="20"/>
                <w:szCs w:val="20"/>
                <w:color w:val="auto"/>
              </w:rPr>
            </w:pPr>
            <w:r>
              <w:rPr>
                <w:rFonts w:ascii="Arial" w:cs="Arial" w:eastAsia="Arial" w:hAnsi="Arial"/>
                <w:sz w:val="10"/>
                <w:szCs w:val="10"/>
                <w:b w:val="1"/>
                <w:bCs w:val="1"/>
                <w:color w:val="auto"/>
                <w:w w:val="86"/>
              </w:rPr>
              <w:t>shares</w:t>
            </w:r>
          </w:p>
        </w:tc>
        <w:tc>
          <w:tcPr>
            <w:tcW w:w="460" w:type="dxa"/>
            <w:vAlign w:val="bottom"/>
          </w:tcPr>
          <w:p>
            <w:pPr>
              <w:spacing w:after="0"/>
              <w:rPr>
                <w:sz w:val="8"/>
                <w:szCs w:val="8"/>
                <w:color w:val="auto"/>
              </w:rPr>
            </w:pPr>
          </w:p>
        </w:tc>
        <w:tc>
          <w:tcPr>
            <w:tcW w:w="104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price paid</w:t>
            </w:r>
          </w:p>
        </w:tc>
        <w:tc>
          <w:tcPr>
            <w:tcW w:w="17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89"/>
              </w:rPr>
              <w:t>announced</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20" w:type="dxa"/>
            <w:vAlign w:val="bottom"/>
          </w:tcPr>
          <w:p>
            <w:pPr>
              <w:jc w:val="center"/>
              <w:ind w:right="485"/>
              <w:spacing w:after="0" w:line="98" w:lineRule="exact"/>
              <w:rPr>
                <w:sz w:val="20"/>
                <w:szCs w:val="20"/>
                <w:color w:val="auto"/>
              </w:rPr>
            </w:pPr>
            <w:r>
              <w:rPr>
                <w:rFonts w:ascii="Arial" w:cs="Arial" w:eastAsia="Arial" w:hAnsi="Arial"/>
                <w:sz w:val="10"/>
                <w:szCs w:val="10"/>
                <w:b w:val="1"/>
                <w:bCs w:val="1"/>
                <w:color w:val="auto"/>
                <w:w w:val="93"/>
              </w:rPr>
              <w:t>under the plans or</w:t>
            </w:r>
          </w:p>
        </w:tc>
        <w:tc>
          <w:tcPr>
            <w:tcW w:w="0" w:type="dxa"/>
            <w:vAlign w:val="bottom"/>
          </w:tcPr>
          <w:p>
            <w:pPr>
              <w:spacing w:after="0"/>
              <w:rPr>
                <w:sz w:val="1"/>
                <w:szCs w:val="1"/>
                <w:color w:val="auto"/>
              </w:rPr>
            </w:pPr>
          </w:p>
        </w:tc>
      </w:tr>
      <w:tr>
        <w:trPr>
          <w:trHeight w:val="136"/>
        </w:trPr>
        <w:tc>
          <w:tcPr>
            <w:tcW w:w="44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purchased</w:t>
            </w: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w w:val="97"/>
              </w:rPr>
              <w:t>per share</w:t>
            </w:r>
          </w:p>
        </w:tc>
        <w:tc>
          <w:tcPr>
            <w:tcW w:w="10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plans or programs</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center"/>
              <w:ind w:right="485"/>
              <w:spacing w:after="0"/>
              <w:rPr>
                <w:sz w:val="20"/>
                <w:szCs w:val="20"/>
                <w:color w:val="auto"/>
              </w:rPr>
            </w:pPr>
            <w:r>
              <w:rPr>
                <w:rFonts w:ascii="Arial" w:cs="Arial" w:eastAsia="Arial" w:hAnsi="Arial"/>
                <w:sz w:val="10"/>
                <w:szCs w:val="10"/>
                <w:b w:val="1"/>
                <w:bCs w:val="1"/>
                <w:color w:val="auto"/>
                <w:w w:val="94"/>
              </w:rPr>
              <w:t>programs (1)</w:t>
            </w:r>
          </w:p>
        </w:tc>
        <w:tc>
          <w:tcPr>
            <w:tcW w:w="0" w:type="dxa"/>
            <w:vAlign w:val="bottom"/>
          </w:tcPr>
          <w:p>
            <w:pPr>
              <w:spacing w:after="0"/>
              <w:rPr>
                <w:sz w:val="1"/>
                <w:szCs w:val="1"/>
                <w:color w:val="auto"/>
              </w:rPr>
            </w:pPr>
          </w:p>
        </w:tc>
      </w:tr>
      <w:tr>
        <w:trPr>
          <w:trHeight w:val="157"/>
        </w:trPr>
        <w:tc>
          <w:tcPr>
            <w:tcW w:w="4400" w:type="dxa"/>
            <w:vAlign w:val="bottom"/>
            <w:shd w:val="clear" w:color="auto" w:fill="CCEEFF"/>
          </w:tcPr>
          <w:p>
            <w:pPr>
              <w:ind w:left="360"/>
              <w:spacing w:after="0" w:line="158" w:lineRule="exact"/>
              <w:rPr>
                <w:sz w:val="20"/>
                <w:szCs w:val="20"/>
                <w:color w:val="auto"/>
              </w:rPr>
            </w:pPr>
            <w:r>
              <w:rPr>
                <w:rFonts w:ascii="Arial" w:cs="Arial" w:eastAsia="Arial" w:hAnsi="Arial"/>
                <w:sz w:val="13"/>
                <w:szCs w:val="13"/>
                <w:color w:val="auto"/>
              </w:rPr>
              <w:t>Repurchase program</w:t>
            </w:r>
            <w:r>
              <w:rPr>
                <w:rFonts w:ascii="Arial" w:cs="Arial" w:eastAsia="Arial" w:hAnsi="Arial"/>
                <w:sz w:val="16"/>
                <w:szCs w:val="16"/>
                <w:color w:val="auto"/>
                <w:vertAlign w:val="superscript"/>
              </w:rPr>
              <w:t>(1)</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7,100,000</w:t>
            </w:r>
          </w:p>
        </w:tc>
        <w:tc>
          <w:tcPr>
            <w:tcW w:w="0" w:type="dxa"/>
            <w:vAlign w:val="bottom"/>
          </w:tcPr>
          <w:p>
            <w:pPr>
              <w:spacing w:after="0"/>
              <w:rPr>
                <w:sz w:val="1"/>
                <w:szCs w:val="1"/>
                <w:color w:val="auto"/>
              </w:rPr>
            </w:pPr>
          </w:p>
        </w:tc>
      </w:tr>
      <w:tr>
        <w:trPr>
          <w:trHeight w:val="166"/>
        </w:trPr>
        <w:tc>
          <w:tcPr>
            <w:tcW w:w="4500" w:type="dxa"/>
            <w:vAlign w:val="bottom"/>
            <w:gridSpan w:val="2"/>
          </w:tcPr>
          <w:p>
            <w:pPr>
              <w:ind w:left="520"/>
              <w:spacing w:after="0"/>
              <w:rPr>
                <w:sz w:val="20"/>
                <w:szCs w:val="20"/>
                <w:color w:val="auto"/>
              </w:rPr>
            </w:pPr>
            <w:r>
              <w:rPr>
                <w:rFonts w:ascii="Arial" w:cs="Arial" w:eastAsia="Arial" w:hAnsi="Arial"/>
                <w:sz w:val="13"/>
                <w:szCs w:val="13"/>
                <w:color w:val="auto"/>
              </w:rPr>
              <w:t>March 2021</w:t>
            </w:r>
          </w:p>
        </w:tc>
        <w:tc>
          <w:tcPr>
            <w:tcW w:w="1080" w:type="dxa"/>
            <w:vAlign w:val="bottom"/>
          </w:tcPr>
          <w:p>
            <w:pPr>
              <w:jc w:val="right"/>
              <w:spacing w:after="0"/>
              <w:rPr>
                <w:sz w:val="20"/>
                <w:szCs w:val="20"/>
                <w:color w:val="auto"/>
              </w:rPr>
            </w:pPr>
            <w:r>
              <w:rPr>
                <w:rFonts w:ascii="Arial" w:cs="Arial" w:eastAsia="Arial" w:hAnsi="Arial"/>
                <w:sz w:val="13"/>
                <w:szCs w:val="13"/>
                <w:color w:val="auto"/>
              </w:rPr>
              <w:t>92,491</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15.19</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92,491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April 2021</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gridSpan w:val="2"/>
          </w:tcPr>
          <w:p>
            <w:pPr>
              <w:ind w:left="520"/>
              <w:spacing w:after="0"/>
              <w:rPr>
                <w:sz w:val="20"/>
                <w:szCs w:val="20"/>
                <w:color w:val="auto"/>
              </w:rPr>
            </w:pPr>
            <w:r>
              <w:rPr>
                <w:rFonts w:ascii="Arial" w:cs="Arial" w:eastAsia="Arial" w:hAnsi="Arial"/>
                <w:sz w:val="13"/>
                <w:szCs w:val="13"/>
                <w:color w:val="auto"/>
              </w:rPr>
              <w:t>September 2021</w:t>
            </w:r>
          </w:p>
        </w:tc>
        <w:tc>
          <w:tcPr>
            <w:tcW w:w="1080" w:type="dxa"/>
            <w:vAlign w:val="bottom"/>
          </w:tcPr>
          <w:p>
            <w:pPr>
              <w:jc w:val="right"/>
              <w:spacing w:after="0"/>
              <w:rPr>
                <w:sz w:val="20"/>
                <w:szCs w:val="20"/>
                <w:color w:val="auto"/>
              </w:rPr>
            </w:pPr>
            <w:r>
              <w:rPr>
                <w:rFonts w:ascii="Arial" w:cs="Arial" w:eastAsia="Arial" w:hAnsi="Arial"/>
                <w:sz w:val="13"/>
                <w:szCs w:val="13"/>
                <w:color w:val="auto"/>
              </w:rPr>
              <w:t>25,502</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19.61</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25,502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October 2021</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gridSpan w:val="2"/>
          </w:tcPr>
          <w:p>
            <w:pPr>
              <w:ind w:left="520"/>
              <w:spacing w:after="0"/>
              <w:rPr>
                <w:sz w:val="20"/>
                <w:szCs w:val="20"/>
                <w:color w:val="auto"/>
              </w:rPr>
            </w:pPr>
            <w:r>
              <w:rPr>
                <w:rFonts w:ascii="Arial" w:cs="Arial" w:eastAsia="Arial" w:hAnsi="Arial"/>
                <w:sz w:val="13"/>
                <w:szCs w:val="13"/>
                <w:color w:val="auto"/>
              </w:rPr>
              <w:t>November 2021</w:t>
            </w:r>
          </w:p>
        </w:tc>
        <w:tc>
          <w:tcPr>
            <w:tcW w:w="1080" w:type="dxa"/>
            <w:vAlign w:val="bottom"/>
          </w:tcPr>
          <w:p>
            <w:pPr>
              <w:jc w:val="right"/>
              <w:spacing w:after="0"/>
              <w:rPr>
                <w:sz w:val="20"/>
                <w:szCs w:val="20"/>
                <w:color w:val="auto"/>
              </w:rPr>
            </w:pPr>
            <w:r>
              <w:rPr>
                <w:rFonts w:ascii="Arial" w:cs="Arial" w:eastAsia="Arial" w:hAnsi="Arial"/>
                <w:sz w:val="13"/>
                <w:szCs w:val="13"/>
                <w:color w:val="auto"/>
              </w:rPr>
              <w:t>17,547</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17.64</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17,547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December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00" w:type="dxa"/>
            <w:vAlign w:val="bottom"/>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gridSpan w:val="2"/>
          </w:tcPr>
          <w:p>
            <w:pPr>
              <w:ind w:left="360"/>
              <w:spacing w:after="0"/>
              <w:rPr>
                <w:sz w:val="20"/>
                <w:szCs w:val="20"/>
                <w:color w:val="auto"/>
              </w:rPr>
            </w:pPr>
            <w:r>
              <w:rPr>
                <w:rFonts w:ascii="Arial" w:cs="Arial" w:eastAsia="Arial" w:hAnsi="Arial"/>
                <w:sz w:val="13"/>
                <w:szCs w:val="13"/>
                <w:color w:val="auto"/>
              </w:rPr>
              <w:t>Total</w:t>
            </w:r>
          </w:p>
        </w:tc>
        <w:tc>
          <w:tcPr>
            <w:tcW w:w="1080" w:type="dxa"/>
            <w:vAlign w:val="bottom"/>
          </w:tcPr>
          <w:p>
            <w:pPr>
              <w:jc w:val="right"/>
              <w:spacing w:after="0"/>
              <w:rPr>
                <w:sz w:val="20"/>
                <w:szCs w:val="20"/>
                <w:color w:val="auto"/>
              </w:rPr>
            </w:pPr>
            <w:r>
              <w:rPr>
                <w:rFonts w:ascii="Arial" w:cs="Arial" w:eastAsia="Arial" w:hAnsi="Arial"/>
                <w:sz w:val="13"/>
                <w:szCs w:val="13"/>
                <w:color w:val="auto"/>
              </w:rPr>
              <w:t>182,549</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16.38</w:t>
            </w:r>
          </w:p>
        </w:tc>
        <w:tc>
          <w:tcPr>
            <w:tcW w:w="1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182,549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0"/>
          <w:szCs w:val="10"/>
          <w:color w:val="auto"/>
        </w:rPr>
        <w:t>(1) These purchases relate to the share repurchase program and were authorized in April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Performance Graph</w:t>
      </w:r>
    </w:p>
    <w:p>
      <w:pPr>
        <w:spacing w:after="0" w:line="168" w:lineRule="exact"/>
        <w:rPr>
          <w:sz w:val="20"/>
          <w:szCs w:val="20"/>
          <w:color w:val="auto"/>
        </w:rPr>
      </w:pPr>
    </w:p>
    <w:p>
      <w:pPr>
        <w:ind w:right="260" w:firstLine="353"/>
        <w:spacing w:after="0" w:line="275" w:lineRule="auto"/>
        <w:rPr>
          <w:sz w:val="20"/>
          <w:szCs w:val="20"/>
          <w:color w:val="auto"/>
        </w:rPr>
      </w:pPr>
      <w:r>
        <w:rPr>
          <w:rFonts w:ascii="Arial" w:cs="Arial" w:eastAsia="Arial" w:hAnsi="Arial"/>
          <w:sz w:val="13"/>
          <w:szCs w:val="13"/>
          <w:color w:val="auto"/>
        </w:rPr>
        <w:t>The following graph compares total stockholder returns of Westwood since December 31, 2016 with the total return of the Russell 2000 Index and the S&amp;P U.S. BMI Asset Management &amp; Custody Banks Index, a composite of various publicly-traded asset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4213860" cy="2806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13860" cy="280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tcPr>
          <w:p>
            <w:pPr>
              <w:ind w:left="160"/>
              <w:spacing w:after="0"/>
              <w:rPr>
                <w:sz w:val="20"/>
                <w:szCs w:val="20"/>
                <w:color w:val="auto"/>
              </w:rPr>
            </w:pPr>
            <w:r>
              <w:rPr>
                <w:rFonts w:ascii="Arial" w:cs="Arial" w:eastAsia="Arial" w:hAnsi="Arial"/>
                <w:sz w:val="10"/>
                <w:szCs w:val="10"/>
                <w:b w:val="1"/>
                <w:bCs w:val="1"/>
                <w:color w:val="auto"/>
              </w:rPr>
              <w:t>Period ended December 31,</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auto"/>
              </w:rPr>
              <w:t>Cumulative Five-Year Total</w:t>
            </w:r>
          </w:p>
        </w:tc>
        <w:tc>
          <w:tcPr>
            <w:tcW w:w="0" w:type="dxa"/>
            <w:vAlign w:val="bottom"/>
          </w:tcPr>
          <w:p>
            <w:pPr>
              <w:spacing w:after="0"/>
              <w:rPr>
                <w:sz w:val="1"/>
                <w:szCs w:val="1"/>
                <w:color w:val="auto"/>
              </w:rPr>
            </w:pPr>
          </w:p>
        </w:tc>
      </w:tr>
      <w:tr>
        <w:trPr>
          <w:trHeight w:val="34"/>
        </w:trPr>
        <w:tc>
          <w:tcPr>
            <w:tcW w:w="3560" w:type="dxa"/>
            <w:vAlign w:val="bottom"/>
            <w:vMerge w:val="restart"/>
          </w:tcPr>
          <w:p>
            <w:pPr>
              <w:ind w:left="20"/>
              <w:spacing w:after="0"/>
              <w:rPr>
                <w:sz w:val="20"/>
                <w:szCs w:val="20"/>
                <w:color w:val="auto"/>
              </w:rPr>
            </w:pPr>
            <w:r>
              <w:rPr>
                <w:rFonts w:ascii="Arial" w:cs="Arial" w:eastAsia="Arial" w:hAnsi="Arial"/>
                <w:sz w:val="10"/>
                <w:szCs w:val="10"/>
                <w:b w:val="1"/>
                <w:bCs w:val="1"/>
                <w:i w:val="1"/>
                <w:iCs w:val="1"/>
                <w:color w:val="auto"/>
              </w:rPr>
              <w:t>Index</w:t>
            </w: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303"/>
              <w:spacing w:after="0"/>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303"/>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304"/>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303"/>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30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30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35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b w:val="1"/>
                <w:bCs w:val="1"/>
                <w:color w:val="auto"/>
              </w:rPr>
              <w:t>Return</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Westwood Holdings Group, Inc.</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115.24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59.75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39.32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(60.68)%</w:t>
            </w:r>
          </w:p>
        </w:tc>
        <w:tc>
          <w:tcPr>
            <w:tcW w:w="0" w:type="dxa"/>
            <w:vAlign w:val="bottom"/>
          </w:tcPr>
          <w:p>
            <w:pPr>
              <w:spacing w:after="0"/>
              <w:rPr>
                <w:sz w:val="1"/>
                <w:szCs w:val="1"/>
                <w:color w:val="auto"/>
              </w:rPr>
            </w:pPr>
          </w:p>
        </w:tc>
      </w:tr>
      <w:tr>
        <w:trPr>
          <w:trHeight w:val="154"/>
        </w:trPr>
        <w:tc>
          <w:tcPr>
            <w:tcW w:w="3660" w:type="dxa"/>
            <w:vAlign w:val="bottom"/>
            <w:gridSpan w:val="2"/>
          </w:tcPr>
          <w:p>
            <w:pPr>
              <w:ind w:left="20"/>
              <w:spacing w:after="0"/>
              <w:rPr>
                <w:sz w:val="20"/>
                <w:szCs w:val="20"/>
                <w:color w:val="auto"/>
              </w:rPr>
            </w:pPr>
            <w:r>
              <w:rPr>
                <w:rFonts w:ascii="Arial" w:cs="Arial" w:eastAsia="Arial" w:hAnsi="Arial"/>
                <w:sz w:val="12"/>
                <w:szCs w:val="12"/>
                <w:color w:val="auto"/>
              </w:rPr>
              <w:t>Russell 2000 Index</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2"/>
                <w:szCs w:val="12"/>
                <w:color w:val="auto"/>
              </w:rPr>
              <w:t>114.65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102.02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2"/>
                <w:szCs w:val="12"/>
                <w:color w:val="auto"/>
              </w:rPr>
              <w:t>128.06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153.62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2"/>
                <w:szCs w:val="12"/>
                <w:color w:val="auto"/>
              </w:rPr>
              <w:t>176.39</w:t>
            </w:r>
          </w:p>
        </w:tc>
        <w:tc>
          <w:tcPr>
            <w:tcW w:w="1540" w:type="dxa"/>
            <w:vAlign w:val="bottom"/>
            <w:gridSpan w:val="2"/>
          </w:tcPr>
          <w:p>
            <w:pPr>
              <w:jc w:val="right"/>
              <w:spacing w:after="0"/>
              <w:rPr>
                <w:sz w:val="20"/>
                <w:szCs w:val="20"/>
                <w:color w:val="auto"/>
              </w:rPr>
            </w:pPr>
            <w:r>
              <w:rPr>
                <w:rFonts w:ascii="Arial" w:cs="Arial" w:eastAsia="Arial" w:hAnsi="Arial"/>
                <w:sz w:val="12"/>
                <w:szCs w:val="12"/>
                <w:color w:val="auto"/>
              </w:rPr>
              <w:t>76.39 %</w:t>
            </w:r>
          </w:p>
        </w:tc>
        <w:tc>
          <w:tcPr>
            <w:tcW w:w="0" w:type="dxa"/>
            <w:vAlign w:val="bottom"/>
          </w:tcPr>
          <w:p>
            <w:pPr>
              <w:spacing w:after="0"/>
              <w:rPr>
                <w:sz w:val="1"/>
                <w:szCs w:val="1"/>
                <w:color w:val="auto"/>
              </w:rPr>
            </w:pPr>
          </w:p>
        </w:tc>
      </w:tr>
      <w:tr>
        <w:trPr>
          <w:trHeight w:val="15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S&amp;P U.S. BMI Asset Management &amp; Custody Banks Index</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129.40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96.50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121.83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208.40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108.40 %</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right="280" w:firstLine="353"/>
        <w:spacing w:after="0" w:line="275" w:lineRule="auto"/>
        <w:rPr>
          <w:sz w:val="20"/>
          <w:szCs w:val="20"/>
          <w:color w:val="auto"/>
        </w:rPr>
      </w:pPr>
      <w:r>
        <w:rPr>
          <w:rFonts w:ascii="Arial" w:cs="Arial" w:eastAsia="Arial" w:hAnsi="Arial"/>
          <w:sz w:val="13"/>
          <w:szCs w:val="13"/>
          <w:color w:val="auto"/>
        </w:rPr>
        <w:t>The total return for our stock and for each index assumes $100 invested on December 31, 2016 in our common stock, the Russell 2000 Index, and the S&amp;P U.S. BMI Asset Management &amp; Custody Banks Index, including reinvestment of dividends. Our common stock is traded on the NYSE under the ticker symbol “WHG.”</w:t>
      </w:r>
    </w:p>
    <w:p>
      <w:pPr>
        <w:spacing w:after="0" w:line="49" w:lineRule="exact"/>
        <w:rPr>
          <w:sz w:val="20"/>
          <w:szCs w:val="20"/>
          <w:color w:val="auto"/>
        </w:rPr>
      </w:pPr>
    </w:p>
    <w:p>
      <w:pPr>
        <w:ind w:right="420" w:firstLine="353"/>
        <w:spacing w:after="0" w:line="275" w:lineRule="auto"/>
        <w:rPr>
          <w:sz w:val="20"/>
          <w:szCs w:val="20"/>
          <w:color w:val="auto"/>
        </w:rPr>
      </w:pPr>
      <w:r>
        <w:rPr>
          <w:rFonts w:ascii="Arial" w:cs="Arial" w:eastAsia="Arial" w:hAnsi="Arial"/>
          <w:sz w:val="13"/>
          <w:szCs w:val="13"/>
          <w:color w:val="auto"/>
        </w:rPr>
        <w:t>The closing price of our common stock on the last trading day of the year ended December 31, 2021 was $16.94 per share. Historical stock price performance is not necessarily indicative of future price performance.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22" w:name="page23"/>
    <w:bookmarkEnd w:id="22"/>
    <w:p>
      <w:pPr>
        <w:spacing w:after="0"/>
        <w:tabs>
          <w:tab w:leader="none" w:pos="5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CONSOLIDATED FINANCIAL DATA</w:t>
      </w:r>
    </w:p>
    <w:p>
      <w:pPr>
        <w:spacing w:after="0" w:line="90" w:lineRule="exact"/>
        <w:rPr>
          <w:sz w:val="20"/>
          <w:szCs w:val="20"/>
          <w:color w:val="auto"/>
        </w:rPr>
      </w:pPr>
    </w:p>
    <w:p>
      <w:pPr>
        <w:ind w:right="260" w:firstLine="353"/>
        <w:spacing w:after="0" w:line="268" w:lineRule="auto"/>
        <w:rPr>
          <w:sz w:val="20"/>
          <w:szCs w:val="20"/>
          <w:color w:val="auto"/>
        </w:rPr>
      </w:pPr>
      <w:r>
        <w:rPr>
          <w:rFonts w:ascii="Arial" w:cs="Arial" w:eastAsia="Arial" w:hAnsi="Arial"/>
          <w:sz w:val="13"/>
          <w:szCs w:val="13"/>
          <w:color w:val="auto"/>
        </w:rPr>
        <w:t>The selected consolidated financial data, together with AUM data presented below, should be read in conjunction with “Item 1. Business” and “Item 7. Management’s Discussion and Analysis of Financial Condition and Results of Operations” included elsewhere in this Report. Historical results are not necessarily indicative of future results.</w:t>
      </w:r>
    </w:p>
    <w:tbl>
      <w:tblPr>
        <w:tblLayout w:type="fixed"/>
        <w:tblInd w:w="0" w:type="dxa"/>
        <w:tblCellMar>
          <w:top w:w="0" w:type="dxa"/>
          <w:left w:w="0" w:type="dxa"/>
          <w:bottom w:w="0" w:type="dxa"/>
          <w:right w:w="0" w:type="dxa"/>
        </w:tblCellMar>
      </w:tblPr>
      <w:tr>
        <w:trPr>
          <w:trHeight w:val="106"/>
        </w:trPr>
        <w:tc>
          <w:tcPr>
            <w:tcW w:w="2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0" w:type="dxa"/>
            <w:vAlign w:val="bottom"/>
            <w:gridSpan w:val="4"/>
          </w:tcPr>
          <w:p>
            <w:pPr>
              <w:ind w:left="40"/>
              <w:spacing w:after="0" w:line="106" w:lineRule="exact"/>
              <w:rPr>
                <w:sz w:val="20"/>
                <w:szCs w:val="20"/>
                <w:color w:val="auto"/>
              </w:rPr>
            </w:pPr>
            <w:r>
              <w:rPr>
                <w:rFonts w:ascii="Arial" w:cs="Arial" w:eastAsia="Arial" w:hAnsi="Arial"/>
                <w:sz w:val="10"/>
                <w:szCs w:val="10"/>
                <w:b w:val="1"/>
                <w:bCs w:val="1"/>
                <w:color w:val="auto"/>
              </w:rPr>
              <w:t>Year ended December 31,</w:t>
            </w: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7"/>
          </w:tcPr>
          <w:p>
            <w:pPr>
              <w:ind w:left="180"/>
              <w:spacing w:after="0"/>
              <w:rPr>
                <w:sz w:val="20"/>
                <w:szCs w:val="20"/>
                <w:color w:val="auto"/>
              </w:rPr>
            </w:pPr>
            <w:r>
              <w:rPr>
                <w:rFonts w:ascii="Arial" w:cs="Arial" w:eastAsia="Arial" w:hAnsi="Arial"/>
                <w:sz w:val="10"/>
                <w:szCs w:val="10"/>
                <w:b w:val="1"/>
                <w:bCs w:val="1"/>
                <w:color w:val="auto"/>
                <w:w w:val="96"/>
              </w:rPr>
              <w:t>(in thousands, except per share and % amounts)</w:t>
            </w: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62"/>
              <w:spacing w:after="0" w:line="128"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13"/>
                <w:szCs w:val="13"/>
                <w:b w:val="1"/>
                <w:bCs w:val="1"/>
                <w:color w:val="auto"/>
                <w:vertAlign w:val="superscript"/>
              </w:rPr>
              <w:t>(1)</w:t>
            </w: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82"/>
              <w:spacing w:after="0" w:line="128" w:lineRule="exact"/>
              <w:rPr>
                <w:sz w:val="20"/>
                <w:szCs w:val="20"/>
                <w:color w:val="auto"/>
              </w:rPr>
            </w:pPr>
            <w:r>
              <w:rPr>
                <w:rFonts w:ascii="Arial" w:cs="Arial" w:eastAsia="Arial" w:hAnsi="Arial"/>
                <w:sz w:val="10"/>
                <w:szCs w:val="10"/>
                <w:b w:val="1"/>
                <w:bCs w:val="1"/>
                <w:color w:val="auto"/>
              </w:rPr>
              <w:t>2020</w:t>
            </w:r>
            <w:r>
              <w:rPr>
                <w:rFonts w:ascii="Arial" w:cs="Arial" w:eastAsia="Arial" w:hAnsi="Arial"/>
                <w:sz w:val="13"/>
                <w:szCs w:val="13"/>
                <w:b w:val="1"/>
                <w:bCs w:val="1"/>
                <w:color w:val="auto"/>
                <w:vertAlign w:val="superscript"/>
              </w:rPr>
              <w:t>(2)</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42"/>
              <w:spacing w:after="0" w:line="128" w:lineRule="exact"/>
              <w:rPr>
                <w:sz w:val="20"/>
                <w:szCs w:val="20"/>
                <w:color w:val="auto"/>
              </w:rPr>
            </w:pPr>
            <w:r>
              <w:rPr>
                <w:rFonts w:ascii="Arial" w:cs="Arial" w:eastAsia="Arial" w:hAnsi="Arial"/>
                <w:sz w:val="10"/>
                <w:szCs w:val="10"/>
                <w:b w:val="1"/>
                <w:bCs w:val="1"/>
                <w:color w:val="auto"/>
              </w:rPr>
              <w:t>2019</w:t>
            </w:r>
            <w:r>
              <w:rPr>
                <w:rFonts w:ascii="Arial" w:cs="Arial" w:eastAsia="Arial" w:hAnsi="Arial"/>
                <w:sz w:val="13"/>
                <w:szCs w:val="13"/>
                <w:b w:val="1"/>
                <w:bCs w:val="1"/>
                <w:color w:val="auto"/>
                <w:vertAlign w:val="superscript"/>
              </w:rPr>
              <w:t>(3)</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82"/>
              <w:spacing w:after="0" w:line="128" w:lineRule="exact"/>
              <w:rPr>
                <w:sz w:val="20"/>
                <w:szCs w:val="20"/>
                <w:color w:val="auto"/>
              </w:rPr>
            </w:pPr>
            <w:r>
              <w:rPr>
                <w:rFonts w:ascii="Arial" w:cs="Arial" w:eastAsia="Arial" w:hAnsi="Arial"/>
                <w:sz w:val="10"/>
                <w:szCs w:val="10"/>
                <w:b w:val="1"/>
                <w:bCs w:val="1"/>
                <w:color w:val="auto"/>
              </w:rPr>
              <w:t>2018</w:t>
            </w:r>
            <w:r>
              <w:rPr>
                <w:rFonts w:ascii="Arial" w:cs="Arial" w:eastAsia="Arial" w:hAnsi="Arial"/>
                <w:sz w:val="13"/>
                <w:szCs w:val="13"/>
                <w:b w:val="1"/>
                <w:bCs w:val="1"/>
                <w:color w:val="auto"/>
                <w:vertAlign w:val="superscript"/>
              </w:rPr>
              <w:t>(4)</w:t>
            </w: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82"/>
              <w:spacing w:after="0" w:line="128" w:lineRule="exact"/>
              <w:rPr>
                <w:sz w:val="20"/>
                <w:szCs w:val="20"/>
                <w:color w:val="auto"/>
              </w:rPr>
            </w:pPr>
            <w:r>
              <w:rPr>
                <w:rFonts w:ascii="Arial" w:cs="Arial" w:eastAsia="Arial" w:hAnsi="Arial"/>
                <w:sz w:val="10"/>
                <w:szCs w:val="10"/>
                <w:b w:val="1"/>
                <w:bCs w:val="1"/>
                <w:color w:val="auto"/>
              </w:rPr>
              <w:t>2017</w:t>
            </w:r>
            <w:r>
              <w:rPr>
                <w:rFonts w:ascii="Arial" w:cs="Arial" w:eastAsia="Arial" w:hAnsi="Arial"/>
                <w:sz w:val="13"/>
                <w:szCs w:val="13"/>
                <w:b w:val="1"/>
                <w:bCs w:val="1"/>
                <w:color w:val="auto"/>
                <w:vertAlign w:val="superscript"/>
              </w:rPr>
              <w:t>(5)</w:t>
            </w:r>
          </w:p>
        </w:tc>
        <w:tc>
          <w:tcPr>
            <w:tcW w:w="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shd w:val="clear" w:color="auto" w:fill="CCEEFF"/>
          </w:tcPr>
          <w:p>
            <w:pPr>
              <w:ind w:left="360"/>
              <w:spacing w:after="0" w:line="99" w:lineRule="exact"/>
              <w:rPr>
                <w:sz w:val="20"/>
                <w:szCs w:val="20"/>
                <w:color w:val="auto"/>
              </w:rPr>
            </w:pPr>
            <w:r>
              <w:rPr>
                <w:rFonts w:ascii="Arial" w:cs="Arial" w:eastAsia="Arial" w:hAnsi="Arial"/>
                <w:sz w:val="11"/>
                <w:szCs w:val="11"/>
                <w:b w:val="1"/>
                <w:bCs w:val="1"/>
                <w:color w:val="auto"/>
              </w:rPr>
              <w:t>Consolidated Statements of Income</w:t>
            </w:r>
          </w:p>
        </w:tc>
        <w:tc>
          <w:tcPr>
            <w:tcW w:w="6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(Loss) Data:</w:t>
            </w:r>
          </w:p>
        </w:tc>
        <w:tc>
          <w:tcPr>
            <w:tcW w:w="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360"/>
              <w:spacing w:after="0"/>
              <w:rPr>
                <w:sz w:val="20"/>
                <w:szCs w:val="20"/>
                <w:color w:val="auto"/>
              </w:rPr>
            </w:pPr>
            <w:r>
              <w:rPr>
                <w:rFonts w:ascii="Arial" w:cs="Arial" w:eastAsia="Arial" w:hAnsi="Arial"/>
                <w:sz w:val="12"/>
                <w:szCs w:val="12"/>
                <w:color w:val="auto"/>
              </w:rPr>
              <w:t>Total revenues</w:t>
            </w: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42"/>
              <w:spacing w:after="0"/>
              <w:rPr>
                <w:sz w:val="20"/>
                <w:szCs w:val="20"/>
                <w:color w:val="auto"/>
              </w:rPr>
            </w:pPr>
            <w:r>
              <w:rPr>
                <w:rFonts w:ascii="Arial" w:cs="Arial" w:eastAsia="Arial" w:hAnsi="Arial"/>
                <w:sz w:val="12"/>
                <w:szCs w:val="12"/>
                <w:color w:val="auto"/>
              </w:rPr>
              <w:t>73,054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65,111</w:t>
            </w: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84,079</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122,300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133,785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Employee compensation and benefits</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42,532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42,141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50,152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59,959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64,955</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360"/>
              <w:spacing w:after="0" w:line="121" w:lineRule="exact"/>
              <w:rPr>
                <w:sz w:val="20"/>
                <w:szCs w:val="20"/>
                <w:color w:val="auto"/>
              </w:rPr>
            </w:pPr>
            <w:r>
              <w:rPr>
                <w:rFonts w:ascii="Arial" w:cs="Arial" w:eastAsia="Arial" w:hAnsi="Arial"/>
                <w:sz w:val="12"/>
                <w:szCs w:val="12"/>
                <w:color w:val="auto"/>
                <w:w w:val="89"/>
              </w:rPr>
              <w:t>Employee compensation and benefits as a</w:t>
            </w:r>
          </w:p>
        </w:tc>
        <w:tc>
          <w:tcPr>
            <w:tcW w:w="640" w:type="dxa"/>
            <w:vAlign w:val="bottom"/>
          </w:tcPr>
          <w:p>
            <w:pPr>
              <w:spacing w:after="0"/>
              <w:rPr>
                <w:sz w:val="10"/>
                <w:szCs w:val="10"/>
                <w:color w:val="auto"/>
              </w:rPr>
            </w:pPr>
          </w:p>
        </w:tc>
        <w:tc>
          <w:tcPr>
            <w:tcW w:w="740" w:type="dxa"/>
            <w:vAlign w:val="bottom"/>
            <w:vMerge w:val="restart"/>
          </w:tcPr>
          <w:p>
            <w:pPr>
              <w:jc w:val="right"/>
              <w:ind w:right="142"/>
              <w:spacing w:after="0"/>
              <w:rPr>
                <w:sz w:val="20"/>
                <w:szCs w:val="20"/>
                <w:color w:val="auto"/>
              </w:rPr>
            </w:pPr>
            <w:r>
              <w:rPr>
                <w:rFonts w:ascii="Arial" w:cs="Arial" w:eastAsia="Arial" w:hAnsi="Arial"/>
                <w:sz w:val="12"/>
                <w:szCs w:val="12"/>
                <w:color w:val="auto"/>
              </w:rPr>
              <w:t>58.2</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12"/>
                <w:szCs w:val="12"/>
                <w:color w:val="auto"/>
              </w:rPr>
              <w:t>64.7</w:t>
            </w:r>
          </w:p>
        </w:tc>
        <w:tc>
          <w:tcPr>
            <w:tcW w:w="280" w:type="dxa"/>
            <w:vAlign w:val="bottom"/>
            <w:vMerge w:val="restart"/>
          </w:tcPr>
          <w:p>
            <w:pPr>
              <w:ind w:left="180"/>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vMerge w:val="restart"/>
          </w:tcPr>
          <w:p>
            <w:pPr>
              <w:jc w:val="right"/>
              <w:ind w:right="122"/>
              <w:spacing w:after="0"/>
              <w:rPr>
                <w:sz w:val="20"/>
                <w:szCs w:val="20"/>
                <w:color w:val="auto"/>
              </w:rPr>
            </w:pPr>
            <w:r>
              <w:rPr>
                <w:rFonts w:ascii="Arial" w:cs="Arial" w:eastAsia="Arial" w:hAnsi="Arial"/>
                <w:sz w:val="12"/>
                <w:szCs w:val="12"/>
                <w:color w:val="auto"/>
              </w:rPr>
              <w:t>59.6</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12"/>
                <w:szCs w:val="12"/>
                <w:color w:val="auto"/>
              </w:rPr>
              <w:t>49.0</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12"/>
                <w:szCs w:val="12"/>
                <w:color w:val="auto"/>
              </w:rPr>
              <w:t>48.6</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2400" w:type="dxa"/>
            <w:vAlign w:val="bottom"/>
            <w:vMerge w:val="restart"/>
          </w:tcPr>
          <w:p>
            <w:pPr>
              <w:ind w:left="20"/>
              <w:spacing w:after="0"/>
              <w:rPr>
                <w:sz w:val="20"/>
                <w:szCs w:val="20"/>
                <w:color w:val="auto"/>
              </w:rPr>
            </w:pPr>
            <w:r>
              <w:rPr>
                <w:rFonts w:ascii="Arial" w:cs="Arial" w:eastAsia="Arial" w:hAnsi="Arial"/>
                <w:sz w:val="12"/>
                <w:szCs w:val="12"/>
                <w:color w:val="auto"/>
              </w:rPr>
              <w:t>% of total revenues</w:t>
            </w:r>
          </w:p>
        </w:tc>
        <w:tc>
          <w:tcPr>
            <w:tcW w:w="6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4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4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Income (loss) before income taxes</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14,003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(7,588)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9,402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36,462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33,893</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400" w:type="dxa"/>
            <w:vAlign w:val="bottom"/>
          </w:tcPr>
          <w:p>
            <w:pPr>
              <w:ind w:left="360"/>
              <w:spacing w:after="0" w:line="121" w:lineRule="exact"/>
              <w:rPr>
                <w:sz w:val="20"/>
                <w:szCs w:val="20"/>
                <w:color w:val="auto"/>
              </w:rPr>
            </w:pPr>
            <w:r>
              <w:rPr>
                <w:rFonts w:ascii="Arial" w:cs="Arial" w:eastAsia="Arial" w:hAnsi="Arial"/>
                <w:sz w:val="12"/>
                <w:szCs w:val="12"/>
                <w:color w:val="auto"/>
                <w:w w:val="90"/>
              </w:rPr>
              <w:t>Income (loss) before income taxes as a %</w:t>
            </w:r>
          </w:p>
        </w:tc>
        <w:tc>
          <w:tcPr>
            <w:tcW w:w="640" w:type="dxa"/>
            <w:vAlign w:val="bottom"/>
          </w:tcPr>
          <w:p>
            <w:pPr>
              <w:spacing w:after="0"/>
              <w:rPr>
                <w:sz w:val="10"/>
                <w:szCs w:val="10"/>
                <w:color w:val="auto"/>
              </w:rPr>
            </w:pPr>
          </w:p>
        </w:tc>
        <w:tc>
          <w:tcPr>
            <w:tcW w:w="740" w:type="dxa"/>
            <w:vAlign w:val="bottom"/>
            <w:vMerge w:val="restart"/>
          </w:tcPr>
          <w:p>
            <w:pPr>
              <w:jc w:val="right"/>
              <w:ind w:right="142"/>
              <w:spacing w:after="0"/>
              <w:rPr>
                <w:sz w:val="20"/>
                <w:szCs w:val="20"/>
                <w:color w:val="auto"/>
              </w:rPr>
            </w:pPr>
            <w:r>
              <w:rPr>
                <w:rFonts w:ascii="Arial" w:cs="Arial" w:eastAsia="Arial" w:hAnsi="Arial"/>
                <w:sz w:val="12"/>
                <w:szCs w:val="12"/>
                <w:color w:val="auto"/>
              </w:rPr>
              <w:t>19.2</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vMerge w:val="restart"/>
          </w:tcPr>
          <w:p>
            <w:pPr>
              <w:jc w:val="right"/>
              <w:ind w:right="122"/>
              <w:spacing w:after="0"/>
              <w:rPr>
                <w:sz w:val="20"/>
                <w:szCs w:val="20"/>
                <w:color w:val="auto"/>
              </w:rPr>
            </w:pPr>
            <w:r>
              <w:rPr>
                <w:rFonts w:ascii="Arial" w:cs="Arial" w:eastAsia="Arial" w:hAnsi="Arial"/>
                <w:sz w:val="12"/>
                <w:szCs w:val="12"/>
                <w:color w:val="auto"/>
              </w:rPr>
              <w:t>(11.7)</w:t>
            </w:r>
          </w:p>
        </w:tc>
        <w:tc>
          <w:tcPr>
            <w:tcW w:w="280" w:type="dxa"/>
            <w:vAlign w:val="bottom"/>
            <w:vMerge w:val="restart"/>
          </w:tcPr>
          <w:p>
            <w:pPr>
              <w:ind w:left="180"/>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vMerge w:val="restart"/>
          </w:tcPr>
          <w:p>
            <w:pPr>
              <w:jc w:val="right"/>
              <w:ind w:right="122"/>
              <w:spacing w:after="0"/>
              <w:rPr>
                <w:sz w:val="20"/>
                <w:szCs w:val="20"/>
                <w:color w:val="auto"/>
              </w:rPr>
            </w:pPr>
            <w:r>
              <w:rPr>
                <w:rFonts w:ascii="Arial" w:cs="Arial" w:eastAsia="Arial" w:hAnsi="Arial"/>
                <w:sz w:val="12"/>
                <w:szCs w:val="12"/>
                <w:color w:val="auto"/>
              </w:rPr>
              <w:t>11.2</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12"/>
                <w:szCs w:val="12"/>
                <w:color w:val="auto"/>
              </w:rPr>
              <w:t>29.8</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12"/>
                <w:szCs w:val="12"/>
                <w:color w:val="auto"/>
              </w:rPr>
              <w:t>25.3</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2400" w:type="dxa"/>
            <w:vAlign w:val="bottom"/>
            <w:vMerge w:val="restart"/>
          </w:tcPr>
          <w:p>
            <w:pPr>
              <w:ind w:left="20"/>
              <w:spacing w:after="0"/>
              <w:rPr>
                <w:sz w:val="20"/>
                <w:szCs w:val="20"/>
                <w:color w:val="auto"/>
              </w:rPr>
            </w:pPr>
            <w:r>
              <w:rPr>
                <w:rFonts w:ascii="Arial" w:cs="Arial" w:eastAsia="Arial" w:hAnsi="Arial"/>
                <w:sz w:val="12"/>
                <w:szCs w:val="12"/>
                <w:color w:val="auto"/>
              </w:rPr>
              <w:t>of total revenues</w:t>
            </w:r>
          </w:p>
        </w:tc>
        <w:tc>
          <w:tcPr>
            <w:tcW w:w="6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4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360"/>
              <w:spacing w:after="0"/>
              <w:rPr>
                <w:sz w:val="20"/>
                <w:szCs w:val="20"/>
                <w:color w:val="auto"/>
              </w:rPr>
            </w:pPr>
            <w:r>
              <w:rPr>
                <w:rFonts w:ascii="Arial" w:cs="Arial" w:eastAsia="Arial" w:hAnsi="Arial"/>
                <w:sz w:val="12"/>
                <w:szCs w:val="12"/>
                <w:color w:val="auto"/>
              </w:rPr>
              <w:t>Net income (loss)</w:t>
            </w: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42"/>
              <w:spacing w:after="0"/>
              <w:rPr>
                <w:sz w:val="20"/>
                <w:szCs w:val="20"/>
                <w:color w:val="auto"/>
              </w:rPr>
            </w:pPr>
            <w:r>
              <w:rPr>
                <w:rFonts w:ascii="Arial" w:cs="Arial" w:eastAsia="Arial" w:hAnsi="Arial"/>
                <w:sz w:val="12"/>
                <w:szCs w:val="12"/>
                <w:color w:val="auto"/>
              </w:rPr>
              <w:t>9,763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22"/>
              <w:spacing w:after="0"/>
              <w:rPr>
                <w:sz w:val="20"/>
                <w:szCs w:val="20"/>
                <w:color w:val="auto"/>
              </w:rPr>
            </w:pPr>
            <w:r>
              <w:rPr>
                <w:rFonts w:ascii="Arial" w:cs="Arial" w:eastAsia="Arial" w:hAnsi="Arial"/>
                <w:sz w:val="12"/>
                <w:szCs w:val="12"/>
                <w:color w:val="auto"/>
              </w:rPr>
              <w:t>(8,947)</w:t>
            </w: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5,911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26,751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19,989</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Earnings (loss) per share – basic</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1.24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(1.12)</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0.70</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3.20</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2.45</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ind w:left="360"/>
              <w:spacing w:after="0"/>
              <w:rPr>
                <w:sz w:val="20"/>
                <w:szCs w:val="20"/>
                <w:color w:val="auto"/>
              </w:rPr>
            </w:pPr>
            <w:r>
              <w:rPr>
                <w:rFonts w:ascii="Arial" w:cs="Arial" w:eastAsia="Arial" w:hAnsi="Arial"/>
                <w:sz w:val="12"/>
                <w:szCs w:val="12"/>
                <w:color w:val="auto"/>
              </w:rPr>
              <w:t>Earnings (loss) per share – diluted</w:t>
            </w: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42"/>
              <w:spacing w:after="0"/>
              <w:rPr>
                <w:sz w:val="20"/>
                <w:szCs w:val="20"/>
                <w:color w:val="auto"/>
              </w:rPr>
            </w:pPr>
            <w:r>
              <w:rPr>
                <w:rFonts w:ascii="Arial" w:cs="Arial" w:eastAsia="Arial" w:hAnsi="Arial"/>
                <w:sz w:val="12"/>
                <w:szCs w:val="12"/>
                <w:color w:val="auto"/>
              </w:rPr>
              <w:t>1.23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22"/>
              <w:spacing w:after="0"/>
              <w:rPr>
                <w:sz w:val="20"/>
                <w:szCs w:val="20"/>
                <w:color w:val="auto"/>
              </w:rPr>
            </w:pPr>
            <w:r>
              <w:rPr>
                <w:rFonts w:ascii="Arial" w:cs="Arial" w:eastAsia="Arial" w:hAnsi="Arial"/>
                <w:sz w:val="12"/>
                <w:szCs w:val="12"/>
                <w:color w:val="auto"/>
              </w:rPr>
              <w:t>(1.12)</w:t>
            </w: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0.70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3.13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2.38</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400" w:type="dxa"/>
            <w:vAlign w:val="bottom"/>
            <w:shd w:val="clear" w:color="auto" w:fill="CCEEFF"/>
          </w:tcPr>
          <w:p>
            <w:pPr>
              <w:ind w:left="360"/>
              <w:spacing w:after="0" w:line="123" w:lineRule="exact"/>
              <w:rPr>
                <w:sz w:val="20"/>
                <w:szCs w:val="20"/>
                <w:color w:val="auto"/>
              </w:rPr>
            </w:pPr>
            <w:r>
              <w:rPr>
                <w:rFonts w:ascii="Arial" w:cs="Arial" w:eastAsia="Arial" w:hAnsi="Arial"/>
                <w:sz w:val="12"/>
                <w:szCs w:val="12"/>
                <w:color w:val="auto"/>
              </w:rPr>
              <w:t>Cash dividends declared per common</w:t>
            </w:r>
          </w:p>
        </w:tc>
        <w:tc>
          <w:tcPr>
            <w:tcW w:w="64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2.95</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0.43</w:t>
            </w:r>
          </w:p>
        </w:tc>
        <w:tc>
          <w:tcPr>
            <w:tcW w:w="8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2.88</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2.76</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2.54</w:t>
            </w:r>
          </w:p>
        </w:tc>
        <w:tc>
          <w:tcPr>
            <w:tcW w:w="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4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share</w:t>
            </w:r>
          </w:p>
        </w:tc>
        <w:tc>
          <w:tcPr>
            <w:tcW w:w="640" w:type="dxa"/>
            <w:vAlign w:val="bottom"/>
            <w:vMerge w:val="continue"/>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820" w:type="dxa"/>
            <w:vAlign w:val="bottom"/>
            <w:gridSpan w:val="3"/>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400" w:type="dxa"/>
            <w:vAlign w:val="bottom"/>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400" w:type="dxa"/>
            <w:vAlign w:val="bottom"/>
            <w:shd w:val="clear" w:color="auto" w:fill="CCEEFF"/>
          </w:tcPr>
          <w:p>
            <w:pPr>
              <w:ind w:left="360"/>
              <w:spacing w:after="0" w:line="157" w:lineRule="exact"/>
              <w:rPr>
                <w:sz w:val="20"/>
                <w:szCs w:val="20"/>
                <w:color w:val="auto"/>
              </w:rPr>
            </w:pPr>
            <w:r>
              <w:rPr>
                <w:rFonts w:ascii="Arial" w:cs="Arial" w:eastAsia="Arial" w:hAnsi="Arial"/>
                <w:sz w:val="12"/>
                <w:szCs w:val="12"/>
                <w:color w:val="auto"/>
              </w:rPr>
              <w:t>Economic Earnings</w:t>
            </w:r>
            <w:r>
              <w:rPr>
                <w:rFonts w:ascii="Arial" w:cs="Arial" w:eastAsia="Arial" w:hAnsi="Arial"/>
                <w:sz w:val="15"/>
                <w:szCs w:val="15"/>
                <w:color w:val="auto"/>
                <w:vertAlign w:val="superscript"/>
              </w:rPr>
              <w:t>(6)</w:t>
            </w: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17,458</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7,284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18,179</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43,943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38,917</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00" w:type="dxa"/>
            <w:vAlign w:val="bottom"/>
          </w:tcPr>
          <w:p>
            <w:pPr>
              <w:ind w:left="360"/>
              <w:spacing w:after="0"/>
              <w:rPr>
                <w:sz w:val="20"/>
                <w:szCs w:val="20"/>
                <w:color w:val="auto"/>
              </w:rPr>
            </w:pPr>
            <w:r>
              <w:rPr>
                <w:rFonts w:ascii="Arial" w:cs="Arial" w:eastAsia="Arial" w:hAnsi="Arial"/>
                <w:sz w:val="12"/>
                <w:szCs w:val="12"/>
                <w:color w:val="auto"/>
                <w:w w:val="97"/>
              </w:rPr>
              <w:t>Economic Earnings per common share</w:t>
            </w: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42"/>
              <w:spacing w:after="0"/>
              <w:rPr>
                <w:sz w:val="20"/>
                <w:szCs w:val="20"/>
                <w:color w:val="auto"/>
              </w:rPr>
            </w:pPr>
            <w:r>
              <w:rPr>
                <w:rFonts w:ascii="Arial" w:cs="Arial" w:eastAsia="Arial" w:hAnsi="Arial"/>
                <w:sz w:val="12"/>
                <w:szCs w:val="12"/>
                <w:color w:val="auto"/>
              </w:rPr>
              <w:t>2.20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0.91</w:t>
            </w: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2.15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5.14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2"/>
              <w:spacing w:after="0"/>
              <w:rPr>
                <w:sz w:val="20"/>
                <w:szCs w:val="20"/>
                <w:color w:val="auto"/>
              </w:rPr>
            </w:pPr>
            <w:r>
              <w:rPr>
                <w:rFonts w:ascii="Arial" w:cs="Arial" w:eastAsia="Arial" w:hAnsi="Arial"/>
                <w:sz w:val="12"/>
                <w:szCs w:val="12"/>
                <w:color w:val="auto"/>
              </w:rPr>
              <w:t>4.63</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w:t>
      </w:r>
    </w:p>
    <w:p>
      <w:pPr>
        <w:spacing w:after="0" w:line="11" w:lineRule="exact"/>
        <w:rPr>
          <w:sz w:val="20"/>
          <w:szCs w:val="20"/>
          <w:color w:val="auto"/>
        </w:rPr>
      </w:pPr>
    </w:p>
    <w:p>
      <w:pPr>
        <w:ind w:left="360" w:right="20" w:hanging="244"/>
        <w:spacing w:after="0" w:line="245" w:lineRule="auto"/>
        <w:tabs>
          <w:tab w:leader="none" w:pos="354" w:val="left"/>
        </w:tabs>
        <w:numPr>
          <w:ilvl w:val="0"/>
          <w:numId w:val="9"/>
        </w:numPr>
        <w:rPr>
          <w:rFonts w:ascii="Arial" w:cs="Arial" w:eastAsia="Arial" w:hAnsi="Arial"/>
          <w:sz w:val="10"/>
          <w:szCs w:val="10"/>
          <w:color w:val="auto"/>
        </w:rPr>
      </w:pPr>
      <w:r>
        <w:rPr>
          <w:rFonts w:ascii="Arial" w:cs="Arial" w:eastAsia="Arial" w:hAnsi="Arial"/>
          <w:sz w:val="10"/>
          <w:szCs w:val="10"/>
          <w:color w:val="auto"/>
        </w:rPr>
        <w:t>Our 2021 financial results were impacted by an $8.4 million gain on a private investment, which positively impacted both diluted and basic earnings per share by $1.06 per share, and a net change in unrealized depreciation on private investments of $1.8 million, which negatively impacted both diluted and basic earnings per share by $0.23 per share.</w:t>
      </w:r>
    </w:p>
    <w:p>
      <w:pPr>
        <w:ind w:left="360" w:right="100" w:hanging="244"/>
        <w:spacing w:after="0" w:line="245" w:lineRule="auto"/>
        <w:tabs>
          <w:tab w:leader="none" w:pos="354" w:val="left"/>
        </w:tabs>
        <w:numPr>
          <w:ilvl w:val="0"/>
          <w:numId w:val="9"/>
        </w:numPr>
        <w:rPr>
          <w:rFonts w:ascii="Arial" w:cs="Arial" w:eastAsia="Arial" w:hAnsi="Arial"/>
          <w:sz w:val="10"/>
          <w:szCs w:val="10"/>
          <w:color w:val="auto"/>
        </w:rPr>
      </w:pPr>
      <w:r>
        <w:rPr>
          <w:rFonts w:ascii="Arial" w:cs="Arial" w:eastAsia="Arial" w:hAnsi="Arial"/>
          <w:sz w:val="10"/>
          <w:szCs w:val="10"/>
          <w:color w:val="auto"/>
        </w:rPr>
        <w:t>Our 2020 financial results were impacted by a $4.2 million reclassification of foreign currency translation adjustments from Accumulated Other Comprehensive Income (Loss) to Net Income (Loss) following the closure of Westwood International Advisors, $1.1 million in incremental Canadian withholding taxes (net of U.S. federal tax deduction) paid to repatriate more than $37.0 million from Westwood International Advisors to the U.S., and a $3.4 million goodwill impairment. These items negatively impacted both basic and diluted earnings per share by $0.52 per share, $0.14 per share and $0.43 per share, respectively.</w:t>
      </w:r>
    </w:p>
    <w:p>
      <w:pPr>
        <w:ind w:left="360" w:right="120" w:hanging="244"/>
        <w:spacing w:after="0" w:line="257" w:lineRule="auto"/>
        <w:tabs>
          <w:tab w:leader="none" w:pos="354" w:val="left"/>
        </w:tabs>
        <w:numPr>
          <w:ilvl w:val="0"/>
          <w:numId w:val="9"/>
        </w:numPr>
        <w:rPr>
          <w:rFonts w:ascii="Arial" w:cs="Arial" w:eastAsia="Arial" w:hAnsi="Arial"/>
          <w:sz w:val="10"/>
          <w:szCs w:val="10"/>
          <w:color w:val="auto"/>
        </w:rPr>
      </w:pPr>
      <w:r>
        <w:rPr>
          <w:rFonts w:ascii="Arial" w:cs="Arial" w:eastAsia="Arial" w:hAnsi="Arial"/>
          <w:sz w:val="10"/>
          <w:szCs w:val="10"/>
          <w:color w:val="auto"/>
        </w:rPr>
        <w:t>Our 2019 financial results were impacted by unrealized gains on private investments of $3.3 million, which positively impacted both diluted and basic earnings per share by $0.31 per share and a $1.9 million foreign currency transaction loss, which negatively impacted both diluted and basic earnings per share by $0.17 per share.</w:t>
      </w:r>
    </w:p>
    <w:p>
      <w:pPr>
        <w:ind w:left="340" w:hanging="224"/>
        <w:spacing w:after="0"/>
        <w:tabs>
          <w:tab w:leader="none" w:pos="340" w:val="left"/>
        </w:tabs>
        <w:numPr>
          <w:ilvl w:val="0"/>
          <w:numId w:val="9"/>
        </w:numPr>
        <w:rPr>
          <w:rFonts w:ascii="Arial" w:cs="Arial" w:eastAsia="Arial" w:hAnsi="Arial"/>
          <w:sz w:val="10"/>
          <w:szCs w:val="10"/>
          <w:color w:val="auto"/>
        </w:rPr>
      </w:pPr>
      <w:r>
        <w:rPr>
          <w:rFonts w:ascii="Arial" w:cs="Arial" w:eastAsia="Arial" w:hAnsi="Arial"/>
          <w:sz w:val="10"/>
          <w:szCs w:val="10"/>
          <w:color w:val="auto"/>
        </w:rPr>
        <w:t>Our 2018 financial results were impacted by a $2.8 million foreign currency transaction gain, which positively impacted both diluted and basic earnings per share by $0.26 per share.</w:t>
      </w:r>
    </w:p>
    <w:p>
      <w:pPr>
        <w:spacing w:after="0" w:line="32" w:lineRule="exact"/>
        <w:rPr>
          <w:rFonts w:ascii="Arial" w:cs="Arial" w:eastAsia="Arial" w:hAnsi="Arial"/>
          <w:sz w:val="10"/>
          <w:szCs w:val="10"/>
          <w:color w:val="auto"/>
        </w:rPr>
      </w:pPr>
    </w:p>
    <w:p>
      <w:pPr>
        <w:ind w:left="360" w:right="420" w:hanging="244"/>
        <w:spacing w:after="0" w:line="276" w:lineRule="auto"/>
        <w:tabs>
          <w:tab w:leader="none" w:pos="354" w:val="left"/>
        </w:tabs>
        <w:numPr>
          <w:ilvl w:val="0"/>
          <w:numId w:val="9"/>
        </w:numPr>
        <w:rPr>
          <w:rFonts w:ascii="Arial" w:cs="Arial" w:eastAsia="Arial" w:hAnsi="Arial"/>
          <w:sz w:val="10"/>
          <w:szCs w:val="10"/>
          <w:color w:val="auto"/>
        </w:rPr>
      </w:pPr>
      <w:r>
        <w:rPr>
          <w:rFonts w:ascii="Arial" w:cs="Arial" w:eastAsia="Arial" w:hAnsi="Arial"/>
          <w:sz w:val="10"/>
          <w:szCs w:val="10"/>
          <w:color w:val="auto"/>
        </w:rPr>
        <w:t>Our 2017 financial results were impacted by a $3.4 million incremental income tax expense related to tax reform, a $2.5 million legal settlement charge, net of insurance recovery and tax and a $1.6 million foreign currency transaction loss. These items negatively impacted diluted earnings per share by $0.40 per share, $0.30 per share and $0.12 per share, respectively.</w:t>
      </w:r>
    </w:p>
    <w:p>
      <w:pPr>
        <w:ind w:left="360" w:right="580" w:hanging="244"/>
        <w:spacing w:after="0" w:line="279" w:lineRule="auto"/>
        <w:tabs>
          <w:tab w:leader="none" w:pos="354" w:val="left"/>
        </w:tabs>
        <w:numPr>
          <w:ilvl w:val="0"/>
          <w:numId w:val="9"/>
        </w:numPr>
        <w:rPr>
          <w:rFonts w:ascii="Arial" w:cs="Arial" w:eastAsia="Arial" w:hAnsi="Arial"/>
          <w:sz w:val="10"/>
          <w:szCs w:val="10"/>
          <w:color w:val="auto"/>
        </w:rPr>
      </w:pPr>
      <w:r>
        <w:rPr>
          <w:rFonts w:ascii="Arial" w:cs="Arial" w:eastAsia="Arial" w:hAnsi="Arial"/>
          <w:sz w:val="10"/>
          <w:szCs w:val="10"/>
          <w:color w:val="auto"/>
        </w:rPr>
        <w:t>Economic Earnings is a non–U.S. generally accepted accounting principles (“non-GAAP”) performance measure that is provided as supplemental information. See the definition of Economic Earnings and the reconciliation to Net income in Item 7, “Management’s Discussion and Analysis of Financial Condition and Results of Operations – Supplemental Financial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8"/>
              </w:rPr>
              <w:t>As of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7"/>
        </w:trPr>
        <w:tc>
          <w:tcPr>
            <w:tcW w:w="55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2"/>
                <w:szCs w:val="12"/>
                <w:color w:val="auto"/>
              </w:rPr>
            </w:pPr>
          </w:p>
        </w:tc>
      </w:tr>
      <w:tr>
        <w:trPr>
          <w:trHeight w:val="159"/>
        </w:trPr>
        <w:tc>
          <w:tcPr>
            <w:tcW w:w="5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Consolidated Balance Sheets Data (in thousands):</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6"/>
        </w:trPr>
        <w:tc>
          <w:tcPr>
            <w:tcW w:w="5540" w:type="dxa"/>
            <w:vAlign w:val="bottom"/>
          </w:tcPr>
          <w:p>
            <w:pPr>
              <w:ind w:left="80"/>
              <w:spacing w:after="0"/>
              <w:rPr>
                <w:sz w:val="20"/>
                <w:szCs w:val="20"/>
                <w:color w:val="auto"/>
              </w:rPr>
            </w:pPr>
            <w:r>
              <w:rPr>
                <w:rFonts w:ascii="Arial" w:cs="Arial" w:eastAsia="Arial" w:hAnsi="Arial"/>
                <w:sz w:val="13"/>
                <w:szCs w:val="13"/>
                <w:color w:val="auto"/>
              </w:rPr>
              <w:t>Cash and investments</w:t>
            </w:r>
          </w:p>
        </w:tc>
        <w:tc>
          <w:tcPr>
            <w:tcW w:w="300" w:type="dxa"/>
            <w:vAlign w:val="bottom"/>
          </w:tcPr>
          <w:p>
            <w:pPr>
              <w:jc w:val="right"/>
              <w:ind w:right="157"/>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80,230</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82,558</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100,090</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118,230</w:t>
            </w:r>
          </w:p>
        </w:tc>
        <w:tc>
          <w:tcPr>
            <w:tcW w:w="100" w:type="dxa"/>
            <w:vAlign w:val="bottom"/>
          </w:tcPr>
          <w:p>
            <w:pPr>
              <w:spacing w:after="0"/>
              <w:rPr>
                <w:sz w:val="14"/>
                <w:szCs w:val="14"/>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105,573</w:t>
            </w:r>
          </w:p>
        </w:tc>
        <w:tc>
          <w:tcPr>
            <w:tcW w:w="40" w:type="dxa"/>
            <w:vAlign w:val="bottom"/>
          </w:tcPr>
          <w:p>
            <w:pPr>
              <w:spacing w:after="0"/>
              <w:rPr>
                <w:sz w:val="14"/>
                <w:szCs w:val="14"/>
                <w:color w:val="auto"/>
              </w:rPr>
            </w:pPr>
          </w:p>
        </w:tc>
      </w:tr>
      <w:tr>
        <w:trPr>
          <w:trHeight w:val="167"/>
        </w:trPr>
        <w:tc>
          <w:tcPr>
            <w:tcW w:w="5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assets</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149,152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178,708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199,183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192,659</w:t>
            </w:r>
          </w:p>
        </w:tc>
        <w:tc>
          <w:tcPr>
            <w:tcW w:w="40" w:type="dxa"/>
            <w:vAlign w:val="bottom"/>
          </w:tcPr>
          <w:p>
            <w:pPr>
              <w:spacing w:after="0"/>
              <w:rPr>
                <w:sz w:val="14"/>
                <w:szCs w:val="14"/>
                <w:color w:val="auto"/>
              </w:rPr>
            </w:pPr>
          </w:p>
        </w:tc>
      </w:tr>
      <w:tr>
        <w:trPr>
          <w:trHeight w:val="166"/>
        </w:trPr>
        <w:tc>
          <w:tcPr>
            <w:tcW w:w="5540" w:type="dxa"/>
            <w:vAlign w:val="bottom"/>
          </w:tcPr>
          <w:p>
            <w:pPr>
              <w:ind w:left="80"/>
              <w:spacing w:after="0"/>
              <w:rPr>
                <w:sz w:val="20"/>
                <w:szCs w:val="20"/>
                <w:color w:val="auto"/>
              </w:rPr>
            </w:pPr>
            <w:r>
              <w:rPr>
                <w:rFonts w:ascii="Arial" w:cs="Arial" w:eastAsia="Arial" w:hAnsi="Arial"/>
                <w:sz w:val="13"/>
                <w:szCs w:val="13"/>
                <w:color w:val="auto"/>
              </w:rPr>
              <w:t>Stockholders’ equity</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117,906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130,711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148,287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161,149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156,396</w:t>
            </w:r>
          </w:p>
        </w:tc>
        <w:tc>
          <w:tcPr>
            <w:tcW w:w="40" w:type="dxa"/>
            <w:vAlign w:val="bottom"/>
          </w:tcPr>
          <w:p>
            <w:pPr>
              <w:spacing w:after="0"/>
              <w:rPr>
                <w:sz w:val="14"/>
                <w:szCs w:val="14"/>
                <w:color w:val="auto"/>
              </w:rPr>
            </w:pPr>
          </w:p>
        </w:tc>
      </w:tr>
      <w:tr>
        <w:trPr>
          <w:trHeight w:val="157"/>
        </w:trPr>
        <w:tc>
          <w:tcPr>
            <w:tcW w:w="5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AUM (in millions)</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13,045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16,606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24,229</w:t>
            </w:r>
          </w:p>
        </w:tc>
        <w:tc>
          <w:tcPr>
            <w:tcW w:w="40" w:type="dxa"/>
            <w:vAlign w:val="bottom"/>
          </w:tcPr>
          <w:p>
            <w:pPr>
              <w:spacing w:after="0"/>
              <w:rPr>
                <w:sz w:val="13"/>
                <w:szCs w:val="13"/>
                <w:color w:val="auto"/>
              </w:rPr>
            </w:pPr>
          </w:p>
        </w:tc>
      </w:tr>
      <w:tr>
        <w:trPr>
          <w:trHeight w:val="822"/>
        </w:trPr>
        <w:tc>
          <w:tcPr>
            <w:tcW w:w="5540" w:type="dxa"/>
            <w:vAlign w:val="bottom"/>
          </w:tcPr>
          <w:p>
            <w:pPr>
              <w:spacing w:after="0"/>
              <w:rPr>
                <w:sz w:val="24"/>
                <w:szCs w:val="24"/>
                <w:color w:val="auto"/>
              </w:rPr>
            </w:pPr>
          </w:p>
        </w:tc>
        <w:tc>
          <w:tcPr>
            <w:tcW w:w="300" w:type="dxa"/>
            <w:vAlign w:val="bottom"/>
          </w:tcPr>
          <w:p>
            <w:pPr>
              <w:jc w:val="right"/>
              <w:ind w:right="77"/>
              <w:spacing w:after="0"/>
              <w:rPr>
                <w:sz w:val="20"/>
                <w:szCs w:val="20"/>
                <w:color w:val="auto"/>
              </w:rPr>
            </w:pPr>
            <w:r>
              <w:rPr>
                <w:rFonts w:ascii="Arial" w:cs="Arial" w:eastAsia="Arial" w:hAnsi="Arial"/>
                <w:sz w:val="13"/>
                <w:szCs w:val="13"/>
                <w:color w:val="auto"/>
                <w:w w:val="96"/>
              </w:rPr>
              <w:t>21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55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81" w:right="319" w:bottom="1440" w:gutter="0" w:footer="0" w:header="0"/>
        </w:sectPr>
      </w:pPr>
    </w:p>
    <w:bookmarkStart w:id="23" w:name="page24"/>
    <w:bookmarkEnd w:id="23"/>
    <w:p>
      <w:pPr>
        <w:spacing w:after="0"/>
        <w:tabs>
          <w:tab w:leader="none" w:pos="5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90" w:lineRule="exact"/>
        <w:rPr>
          <w:sz w:val="20"/>
          <w:szCs w:val="20"/>
          <w:color w:val="auto"/>
        </w:rPr>
      </w:pPr>
    </w:p>
    <w:p>
      <w:pPr>
        <w:ind w:right="400" w:firstLine="353"/>
        <w:spacing w:after="0" w:line="275" w:lineRule="auto"/>
        <w:rPr>
          <w:sz w:val="20"/>
          <w:szCs w:val="20"/>
          <w:color w:val="auto"/>
        </w:rPr>
      </w:pPr>
      <w:r>
        <w:rPr>
          <w:rFonts w:ascii="Arial" w:cs="Arial" w:eastAsia="Arial" w:hAnsi="Arial"/>
          <w:sz w:val="13"/>
          <w:szCs w:val="13"/>
          <w:i w:val="1"/>
          <w:iCs w:val="1"/>
          <w:color w:val="auto"/>
        </w:rPr>
        <w:t>You should read the following discussion and analysis in conjunction with “Selected Financial Data” included in this Report, as well as our Consolidated Financial Statements and related notes thereto appearing elsewhere in this Report.</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Forward-Looking Statements</w:t>
      </w:r>
    </w:p>
    <w:p>
      <w:pPr>
        <w:spacing w:after="0" w:line="86" w:lineRule="exact"/>
        <w:rPr>
          <w:sz w:val="20"/>
          <w:szCs w:val="20"/>
          <w:color w:val="auto"/>
        </w:rPr>
      </w:pPr>
    </w:p>
    <w:p>
      <w:pPr>
        <w:ind w:firstLine="353"/>
        <w:spacing w:after="0" w:line="281" w:lineRule="auto"/>
        <w:rPr>
          <w:sz w:val="20"/>
          <w:szCs w:val="20"/>
          <w:color w:val="auto"/>
        </w:rPr>
      </w:pPr>
      <w:r>
        <w:rPr>
          <w:rFonts w:ascii="Arial" w:cs="Arial" w:eastAsia="Arial" w:hAnsi="Arial"/>
          <w:sz w:val="12"/>
          <w:szCs w:val="12"/>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“explore,” “believe,” “plan,” “estimate,” “expect,” “intend,” “should,” "potentially," “could,” “goal,” “may,” “target,” “designed”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50" w:lineRule="exact"/>
        <w:rPr>
          <w:sz w:val="20"/>
          <w:szCs w:val="20"/>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composition and market value of our AUM;</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maintain our fee structure in light of competitive fee pressures;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stockholder rights agreement may make it more difficult for others to obtain control over us, even if it would be beneficial to our stockholders;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risks associated with actions of activist stockholders;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distributions to our common stockholders have included and may in the future include a return of capital;</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inclusion of foreign company investments in our AUM;</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regulations adversely affecting the financial services industry;</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maintain effective cyber security;</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litigation risks;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develop and market new investment strategies successfully;</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reputation and our relationships with current and potential customers;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attract and retain qualified personnel;</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perform operational tasks;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select and oversee third-party vendors;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dependence on the operations and funds of our subsidiaries;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maintain effective information systems;</w:t>
      </w:r>
    </w:p>
    <w:p>
      <w:pPr>
        <w:spacing w:after="0" w:line="85" w:lineRule="exact"/>
        <w:rPr>
          <w:rFonts w:ascii="Arial" w:cs="Arial" w:eastAsia="Arial" w:hAnsi="Arial"/>
          <w:sz w:val="13"/>
          <w:szCs w:val="13"/>
          <w:color w:val="auto"/>
        </w:rPr>
      </w:pPr>
    </w:p>
    <w:p>
      <w:pPr>
        <w:ind w:left="700" w:right="120" w:hanging="231"/>
        <w:spacing w:after="0" w:line="275" w:lineRule="auto"/>
        <w:tabs>
          <w:tab w:leader="none" w:pos="697"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prevent misuse of assets and information in the possession of our employees and third-party vendors, which could damage our reputation and result in costly litigation and liability for our clients and us;</w:t>
      </w:r>
    </w:p>
    <w:p>
      <w:pPr>
        <w:spacing w:after="0" w:line="49"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stock is thinly traded and may be subject to volatility;</w:t>
      </w:r>
    </w:p>
    <w:p>
      <w:pPr>
        <w:spacing w:after="0" w:line="85" w:lineRule="exact"/>
        <w:rPr>
          <w:rFonts w:ascii="Arial" w:cs="Arial" w:eastAsia="Arial" w:hAnsi="Arial"/>
          <w:sz w:val="13"/>
          <w:szCs w:val="13"/>
          <w:color w:val="auto"/>
        </w:rPr>
      </w:pPr>
    </w:p>
    <w:p>
      <w:pPr>
        <w:ind w:left="700" w:right="660" w:hanging="231"/>
        <w:spacing w:after="0" w:line="275" w:lineRule="auto"/>
        <w:tabs>
          <w:tab w:leader="none" w:pos="697"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addition to our stockholder rights agreement, our organizational documents contain provisions that may prevent or deter another group from paying a premium over the market price to our stockholders to acquire our stock;</w:t>
      </w:r>
    </w:p>
    <w:p>
      <w:pPr>
        <w:spacing w:after="0" w:line="49"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competition in the investment management industry;</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avoid termination of client agreements and the related investment redemptions;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significant concentration of our revenues in a small number of customers;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relationships with investment consulting firms;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the COVID-19 pandemic;</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identify and execute on our strategic initiatives;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declare and pay dividends;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881" w:right="319" w:bottom="1440" w:gutter="0" w:footer="0" w:header="0"/>
        </w:sectPr>
      </w:pPr>
    </w:p>
    <w:bookmarkStart w:id="24" w:name="page25"/>
    <w:bookmarkEnd w:id="24"/>
    <w:p>
      <w:pPr>
        <w:ind w:left="700" w:hanging="231"/>
        <w:spacing w:after="0"/>
        <w:tabs>
          <w:tab w:leader="none" w:pos="7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fund future capital requirements on favorable terms;</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properly address conflicts of interest;</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maintain adequate insurance coverage; and</w:t>
      </w:r>
    </w:p>
    <w:p>
      <w:pPr>
        <w:spacing w:after="0" w:line="85" w:lineRule="exact"/>
        <w:rPr>
          <w:rFonts w:ascii="Arial" w:cs="Arial" w:eastAsia="Arial" w:hAnsi="Arial"/>
          <w:sz w:val="13"/>
          <w:szCs w:val="13"/>
          <w:color w:val="auto"/>
        </w:rPr>
      </w:pPr>
    </w:p>
    <w:p>
      <w:pPr>
        <w:ind w:left="700" w:hanging="231"/>
        <w:spacing w:after="0"/>
        <w:tabs>
          <w:tab w:leader="none" w:pos="7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maintain an effective system of internal controls.</w:t>
      </w:r>
    </w:p>
    <w:p>
      <w:pPr>
        <w:spacing w:after="0" w:line="86" w:lineRule="exact"/>
        <w:rPr>
          <w:sz w:val="20"/>
          <w:szCs w:val="20"/>
          <w:color w:val="auto"/>
        </w:rPr>
      </w:pPr>
    </w:p>
    <w:p>
      <w:pPr>
        <w:ind w:right="120" w:firstLine="353"/>
        <w:spacing w:after="0" w:line="259" w:lineRule="auto"/>
        <w:rPr>
          <w:sz w:val="20"/>
          <w:szCs w:val="20"/>
          <w:color w:val="auto"/>
        </w:rPr>
      </w:pPr>
      <w:r>
        <w:rPr>
          <w:rFonts w:ascii="Arial" w:cs="Arial" w:eastAsia="Arial" w:hAnsi="Arial"/>
          <w:sz w:val="13"/>
          <w:szCs w:val="13"/>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90" w:lineRule="exact"/>
        <w:rPr>
          <w:sz w:val="20"/>
          <w:szCs w:val="20"/>
          <w:color w:val="auto"/>
        </w:rPr>
      </w:pPr>
    </w:p>
    <w:p>
      <w:pPr>
        <w:jc w:val="both"/>
        <w:ind w:right="320" w:firstLine="353"/>
        <w:spacing w:after="0" w:line="263" w:lineRule="auto"/>
        <w:rPr>
          <w:sz w:val="20"/>
          <w:szCs w:val="20"/>
          <w:color w:val="auto"/>
        </w:rPr>
      </w:pPr>
      <w:r>
        <w:rPr>
          <w:rFonts w:ascii="Arial" w:cs="Arial" w:eastAsia="Arial" w:hAnsi="Arial"/>
          <w:sz w:val="13"/>
          <w:szCs w:val="13"/>
          <w:color w:val="auto"/>
        </w:rPr>
        <w:t>We manage investment assets and provide services for our clients through our subsidiaries, Westwood Management Corp. and Westwood Advisors, L.L.C.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57" w:lineRule="exact"/>
        <w:rPr>
          <w:sz w:val="20"/>
          <w:szCs w:val="20"/>
          <w:color w:val="auto"/>
        </w:rPr>
      </w:pPr>
    </w:p>
    <w:p>
      <w:pPr>
        <w:ind w:right="40" w:firstLine="353"/>
        <w:spacing w:after="0" w:line="263" w:lineRule="auto"/>
        <w:rPr>
          <w:sz w:val="20"/>
          <w:szCs w:val="20"/>
          <w:color w:val="auto"/>
        </w:rPr>
      </w:pPr>
      <w:r>
        <w:rPr>
          <w:rFonts w:ascii="Arial" w:cs="Arial" w:eastAsia="Arial" w:hAnsi="Arial"/>
          <w:sz w:val="13"/>
          <w:szCs w:val="13"/>
          <w:color w:val="auto"/>
        </w:rPr>
        <w:t>Westwood Trust provides trust and custodial services and participation in common trust funds to institutions and high net worth individuals. Our revenues are generally derived from fees based on a percentage of AUM. Westwood International Advisors provided investment advisory services to an Irish investment company authorized pursuant to the European Communities (Undertakings for Collective Investment in Transferable Securities) Regulation 2011 (as amended) (the “UCITS Fund”), which was liquidated in June 2020.</w:t>
      </w:r>
    </w:p>
    <w:p>
      <w:pPr>
        <w:spacing w:after="0" w:line="57" w:lineRule="exact"/>
        <w:rPr>
          <w:sz w:val="20"/>
          <w:szCs w:val="20"/>
          <w:color w:val="auto"/>
        </w:rPr>
      </w:pPr>
    </w:p>
    <w:p>
      <w:pPr>
        <w:ind w:firstLine="353"/>
        <w:spacing w:after="0" w:line="288" w:lineRule="auto"/>
        <w:rPr>
          <w:sz w:val="20"/>
          <w:szCs w:val="20"/>
          <w:color w:val="auto"/>
        </w:rPr>
      </w:pPr>
      <w:r>
        <w:rPr>
          <w:rFonts w:ascii="Arial" w:cs="Arial" w:eastAsia="Arial" w:hAnsi="Arial"/>
          <w:sz w:val="12"/>
          <w:szCs w:val="12"/>
          <w:color w:val="auto"/>
        </w:rPr>
        <w:t>We continue to closely monitor the impact of the COVID-19 pandemic on all aspects of our business, particularly its impact on global stock markets. Beginning in 2020, we have taken a number of precautionary measures designed to help minimize the risk of spreading the virus to our employees, including enabling our employees to work remotely. The investments we have made in technology over the past several years, particularly our significant investments in cloud-based systems and business continuity planning, have allowed our team to serve our clients seamlessly from their homes or our offices. While our ability to meet with clients declined at the beginning of the pandemic, subsequently we were able to restore our communications to pre-pandemic levels as our clients embraced digital interactions.</w:t>
      </w:r>
    </w:p>
    <w:p>
      <w:pPr>
        <w:spacing w:after="0" w:line="43" w:lineRule="exact"/>
        <w:rPr>
          <w:sz w:val="20"/>
          <w:szCs w:val="20"/>
          <w:color w:val="auto"/>
        </w:rPr>
      </w:pPr>
    </w:p>
    <w:p>
      <w:pPr>
        <w:ind w:right="240" w:firstLine="353"/>
        <w:spacing w:after="0" w:line="275" w:lineRule="auto"/>
        <w:rPr>
          <w:sz w:val="20"/>
          <w:szCs w:val="20"/>
          <w:color w:val="auto"/>
        </w:rPr>
      </w:pPr>
      <w:r>
        <w:rPr>
          <w:rFonts w:ascii="Arial" w:cs="Arial" w:eastAsia="Arial" w:hAnsi="Arial"/>
          <w:sz w:val="13"/>
          <w:szCs w:val="13"/>
          <w:color w:val="auto"/>
        </w:rPr>
        <w:t>Our revenues are generally derived from fees based on a percentage of AUM, and at December 31, 2021, Westwood Management and Westwood Trust collectively managed assets valued at approximately $14.5 billion. We have established a track record of delivering competitive, risk-adjusted returns for our clients.</w:t>
      </w:r>
    </w:p>
    <w:p>
      <w:pPr>
        <w:spacing w:after="0" w:line="49" w:lineRule="exact"/>
        <w:rPr>
          <w:sz w:val="20"/>
          <w:szCs w:val="20"/>
          <w:color w:val="auto"/>
        </w:rPr>
      </w:pPr>
    </w:p>
    <w:p>
      <w:pPr>
        <w:ind w:firstLine="353"/>
        <w:spacing w:after="0" w:line="259" w:lineRule="auto"/>
        <w:rPr>
          <w:sz w:val="20"/>
          <w:szCs w:val="20"/>
          <w:color w:val="auto"/>
        </w:rPr>
      </w:pPr>
      <w:r>
        <w:rPr>
          <w:rFonts w:ascii="Arial" w:cs="Arial" w:eastAsia="Arial" w:hAnsi="Arial"/>
          <w:sz w:val="13"/>
          <w:szCs w:val="13"/>
          <w:color w:val="auto"/>
        </w:rPr>
        <w:t>With respect to most of our client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preserve capital during unfavorable periods and provide superior real returns over the long term. Our investment teams have significant industry experience. Our investment team members have average investment experience of over nineteen years.</w:t>
      </w:r>
    </w:p>
    <w:p>
      <w:pPr>
        <w:spacing w:after="0" w:line="60" w:lineRule="exact"/>
        <w:rPr>
          <w:sz w:val="20"/>
          <w:szCs w:val="20"/>
          <w:color w:val="auto"/>
        </w:rPr>
      </w:pPr>
    </w:p>
    <w:p>
      <w:pPr>
        <w:ind w:right="80" w:firstLine="353"/>
        <w:spacing w:after="0" w:line="259" w:lineRule="auto"/>
        <w:rPr>
          <w:sz w:val="20"/>
          <w:szCs w:val="20"/>
          <w:color w:val="auto"/>
        </w:rPr>
      </w:pPr>
      <w:r>
        <w:rPr>
          <w:rFonts w:ascii="Arial" w:cs="Arial" w:eastAsia="Arial" w:hAnsi="Arial"/>
          <w:sz w:val="13"/>
          <w:szCs w:val="13"/>
          <w:color w:val="auto"/>
        </w:rPr>
        <w:t>We have focused on building a foundation in terms of personnel and infrastructure to support a much larger business. We have also developed investment strategies that we believe will be desirable within our target institutional, wealth management and intermediary markets. The cost of developing new products and growing the organization as a whole has resulted in our incurring expenses that, in some cases, have not yet generated significant offsetting revenues. While we continue to evolve our products, we believe that the appropriate foundation and products are in place such that investors will recognize the value in these products and services, thereby generating new revenue streams for Westwood. However, there is no guarantee that this will occur.</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2021 Highlights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items were reported for the year ended December 31, 2021:</w:t>
      </w:r>
    </w:p>
    <w:p>
      <w:pPr>
        <w:spacing w:after="0" w:line="86" w:lineRule="exact"/>
        <w:rPr>
          <w:sz w:val="20"/>
          <w:szCs w:val="20"/>
          <w:color w:val="auto"/>
        </w:rPr>
      </w:pPr>
    </w:p>
    <w:p>
      <w:pPr>
        <w:ind w:left="700" w:right="520" w:hanging="349"/>
        <w:spacing w:after="0" w:line="275" w:lineRule="auto"/>
        <w:tabs>
          <w:tab w:leader="none" w:pos="697" w:val="left"/>
        </w:tabs>
        <w:numPr>
          <w:ilvl w:val="0"/>
          <w:numId w:val="12"/>
        </w:numPr>
        <w:rPr>
          <w:rFonts w:ascii="Arial" w:cs="Arial" w:eastAsia="Arial" w:hAnsi="Arial"/>
          <w:sz w:val="13"/>
          <w:szCs w:val="13"/>
          <w:color w:val="auto"/>
        </w:rPr>
      </w:pPr>
      <w:r>
        <w:rPr>
          <w:rFonts w:ascii="Arial" w:cs="Arial" w:eastAsia="Arial" w:hAnsi="Arial"/>
          <w:sz w:val="13"/>
          <w:szCs w:val="13"/>
          <w:color w:val="auto"/>
        </w:rPr>
        <w:t>AUM as of December 31, 2021 was $14.5 billion, an 11% increase compared to December 31, 2020. Quarterly average AUM increased 15% to $14.3 billion for 2021 compared to 2020, which contributed to the 12% increase in total revenue from 2020.</w:t>
      </w:r>
    </w:p>
    <w:p>
      <w:pPr>
        <w:spacing w:after="0" w:line="49" w:lineRule="exact"/>
        <w:rPr>
          <w:rFonts w:ascii="Arial" w:cs="Arial" w:eastAsia="Arial" w:hAnsi="Arial"/>
          <w:sz w:val="13"/>
          <w:szCs w:val="13"/>
          <w:color w:val="auto"/>
        </w:rPr>
      </w:pPr>
    </w:p>
    <w:p>
      <w:pPr>
        <w:ind w:left="700" w:hanging="349"/>
        <w:spacing w:after="0"/>
        <w:tabs>
          <w:tab w:leader="none" w:pos="7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LargeCap Value, SmallCap Value, Alternative Income and Select Equity strategies exhibited strong performance by beating their primary benchmarks for the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25" w:name="page26"/>
    <w:bookmarkEnd w:id="25"/>
    <w:p>
      <w:pPr>
        <w:ind w:left="700" w:hanging="349"/>
        <w:spacing w:after="0"/>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paid $22.9 million of dividends to our common stockholders.</w:t>
      </w:r>
    </w:p>
    <w:p>
      <w:pPr>
        <w:spacing w:after="0" w:line="85" w:lineRule="exact"/>
        <w:rPr>
          <w:rFonts w:ascii="Arial" w:cs="Arial" w:eastAsia="Arial" w:hAnsi="Arial"/>
          <w:sz w:val="13"/>
          <w:szCs w:val="13"/>
          <w:color w:val="auto"/>
        </w:rPr>
      </w:pPr>
    </w:p>
    <w:p>
      <w:pPr>
        <w:ind w:left="700" w:hanging="349"/>
        <w:spacing w:after="0"/>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repurchased 182,549 shares of our common stock for an aggregate purchase price of $3.0 million.</w:t>
      </w:r>
    </w:p>
    <w:p>
      <w:pPr>
        <w:spacing w:after="0" w:line="85" w:lineRule="exact"/>
        <w:rPr>
          <w:rFonts w:ascii="Arial" w:cs="Arial" w:eastAsia="Arial" w:hAnsi="Arial"/>
          <w:sz w:val="13"/>
          <w:szCs w:val="13"/>
          <w:color w:val="auto"/>
        </w:rPr>
      </w:pPr>
    </w:p>
    <w:p>
      <w:pPr>
        <w:ind w:left="700" w:hanging="349"/>
        <w:spacing w:after="0"/>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financial position remains strong with liquid cash and short-term investments of $80.2 million and no debt as of December 31, 2021</w:t>
      </w:r>
      <w:r>
        <w:rPr>
          <w:rFonts w:ascii="Arial" w:cs="Arial" w:eastAsia="Arial" w:hAnsi="Arial"/>
          <w:sz w:val="13"/>
          <w:szCs w:val="13"/>
          <w:i w:val="1"/>
          <w:iCs w:val="1"/>
          <w:color w:val="auto"/>
        </w:rPr>
        <w:t>.</w:t>
      </w:r>
    </w:p>
    <w:p>
      <w:pPr>
        <w:spacing w:after="0" w:line="1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i w:val="1"/>
          <w:iCs w:val="1"/>
          <w:color w:val="auto"/>
        </w:rPr>
        <w:t>Revenues</w:t>
      </w:r>
    </w:p>
    <w:p>
      <w:pPr>
        <w:spacing w:after="0" w:line="78" w:lineRule="exact"/>
        <w:rPr>
          <w:sz w:val="20"/>
          <w:szCs w:val="20"/>
          <w:color w:val="auto"/>
        </w:rPr>
      </w:pPr>
    </w:p>
    <w:p>
      <w:pPr>
        <w:ind w:right="20" w:firstLine="353"/>
        <w:spacing w:after="0" w:line="255" w:lineRule="auto"/>
        <w:rPr>
          <w:sz w:val="20"/>
          <w:szCs w:val="20"/>
          <w:color w:val="auto"/>
        </w:rPr>
      </w:pPr>
      <w:r>
        <w:rPr>
          <w:rFonts w:ascii="Arial" w:cs="Arial" w:eastAsia="Arial" w:hAnsi="Arial"/>
          <w:sz w:val="13"/>
          <w:szCs w:val="13"/>
          <w:color w:val="auto"/>
        </w:rPr>
        <w:t>We derive our revenues from investment advisory fees, trust fees and other revenues. 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64" w:lineRule="exact"/>
        <w:rPr>
          <w:sz w:val="20"/>
          <w:szCs w:val="20"/>
          <w:color w:val="auto"/>
        </w:rPr>
      </w:pPr>
    </w:p>
    <w:p>
      <w:pPr>
        <w:ind w:firstLine="353"/>
        <w:spacing w:after="0" w:line="295" w:lineRule="auto"/>
        <w:rPr>
          <w:sz w:val="20"/>
          <w:szCs w:val="20"/>
          <w:color w:val="auto"/>
        </w:rPr>
      </w:pPr>
      <w:r>
        <w:rPr>
          <w:rFonts w:ascii="Arial" w:cs="Arial" w:eastAsia="Arial" w:hAnsi="Arial"/>
          <w:sz w:val="12"/>
          <w:szCs w:val="12"/>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Our other revenues primarily consist of investment income from our seed money investments into new investment strategies and contract revenues.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Compensation and Benefits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Employee compensation and benefits costs generally consist of salaries, incentive compensation, stock-based compensation expense and benefits.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Sales and Marketing</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Sales and marketing costs relate to our marketing efforts, including travel and entertainment, direct marketing and advertising costs.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Westwood Mutual Funds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Westwood mutual funds expenses relate to our marketing, distribution and administration of the Westwood Funds</w:t>
      </w:r>
      <w:r>
        <w:rPr>
          <w:rFonts w:ascii="Arial" w:cs="Arial" w:eastAsia="Arial" w:hAnsi="Arial"/>
          <w:sz w:val="13"/>
          <w:szCs w:val="13"/>
          <w:b w:val="1"/>
          <w:bCs w:val="1"/>
          <w:i w:val="1"/>
          <w:iCs w:val="1"/>
          <w:color w:val="auto"/>
        </w:rPr>
        <w:t>®</w:t>
      </w:r>
      <w:r>
        <w:rPr>
          <w:rFonts w:ascii="Arial" w:cs="Arial" w:eastAsia="Arial" w:hAnsi="Arial"/>
          <w:sz w:val="13"/>
          <w:szCs w:val="13"/>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Information Technology</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1"/>
          <w:szCs w:val="11"/>
          <w:color w:val="auto"/>
        </w:rPr>
        <w:t>Information technology expenses include costs associated with proprietary investment research tools, maintenance and support, computing hardware, software licenses, telecommunications and other related</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costs.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Professional Services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Professional services expenses generally consist of costs associated with sub-advisory fees, audit, legal and other professional services.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General and Administrative</w:t>
      </w:r>
    </w:p>
    <w:p>
      <w:pPr>
        <w:spacing w:after="0" w:line="86" w:lineRule="exact"/>
        <w:rPr>
          <w:sz w:val="20"/>
          <w:szCs w:val="20"/>
          <w:color w:val="auto"/>
        </w:rPr>
      </w:pPr>
    </w:p>
    <w:p>
      <w:pPr>
        <w:ind w:right="120" w:firstLine="353"/>
        <w:spacing w:after="0" w:line="275" w:lineRule="auto"/>
        <w:rPr>
          <w:sz w:val="20"/>
          <w:szCs w:val="20"/>
          <w:color w:val="auto"/>
        </w:rPr>
      </w:pPr>
      <w:r>
        <w:rPr>
          <w:rFonts w:ascii="Arial" w:cs="Arial" w:eastAsia="Arial" w:hAnsi="Arial"/>
          <w:sz w:val="13"/>
          <w:szCs w:val="13"/>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expense</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Impairment expense consists of long-lived asset impairments, typically goodwill or intangible assets.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Gain (loss) on foreign currency transactions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Gain (loss) on foreign currency transactions consist of foreign currency transactions primarily related to Westwood International Advisors.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Realized Gains on Private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26" w:name="page27"/>
    <w:bookmarkEnd w:id="26"/>
    <w:p>
      <w:pPr>
        <w:ind w:left="360"/>
        <w:spacing w:after="0"/>
        <w:rPr>
          <w:sz w:val="20"/>
          <w:szCs w:val="20"/>
          <w:color w:val="auto"/>
        </w:rPr>
      </w:pPr>
      <w:r>
        <w:rPr>
          <w:rFonts w:ascii="Arial" w:cs="Arial" w:eastAsia="Arial" w:hAnsi="Arial"/>
          <w:sz w:val="13"/>
          <w:szCs w:val="13"/>
          <w:color w:val="auto"/>
        </w:rPr>
        <w:t>Realized gains on private investments includes amounts by which the net proceeds from the sale or redemption of our private investments exceeded costs.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change in unrealized appreciation (depreciation) on Private Investments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Net change in unrealized appreciation (depreciation) on private investments includes changes in the value of our private equity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Investment Income</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Investment income primarily includes interest and dividend income on fixed income securities and money market funds.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Income</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Other income primarily consists of income from the sublease of a portion of our corporate offices.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translation adjustments to net income (loss) upon liquidation of a foreign subsidiary</w:t>
      </w:r>
    </w:p>
    <w:p>
      <w:pPr>
        <w:spacing w:after="0" w:line="86" w:lineRule="exact"/>
        <w:rPr>
          <w:sz w:val="20"/>
          <w:szCs w:val="20"/>
          <w:color w:val="auto"/>
        </w:rPr>
      </w:pPr>
    </w:p>
    <w:p>
      <w:pPr>
        <w:ind w:firstLine="353"/>
        <w:spacing w:after="0" w:line="275" w:lineRule="auto"/>
        <w:rPr>
          <w:sz w:val="20"/>
          <w:szCs w:val="20"/>
          <w:color w:val="auto"/>
        </w:rPr>
      </w:pPr>
      <w:r>
        <w:rPr>
          <w:rFonts w:ascii="Arial" w:cs="Arial" w:eastAsia="Arial" w:hAnsi="Arial"/>
          <w:sz w:val="13"/>
          <w:szCs w:val="13"/>
          <w:color w:val="auto"/>
        </w:rPr>
        <w:t>Foreign currency translation adjustments to net income (loss) upon liquidation of a foreign subsidiary includes a cumulative adjustment following the substantially completed liquidation of a foreign subsidiary, Westwood International Advisors.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Under Management</w:t>
      </w:r>
    </w:p>
    <w:p>
      <w:pPr>
        <w:spacing w:after="0" w:line="129" w:lineRule="exact"/>
        <w:rPr>
          <w:sz w:val="20"/>
          <w:szCs w:val="20"/>
          <w:color w:val="auto"/>
        </w:rPr>
      </w:pPr>
    </w:p>
    <w:p>
      <w:pPr>
        <w:ind w:right="80" w:firstLine="353"/>
        <w:spacing w:after="0" w:line="275" w:lineRule="auto"/>
        <w:rPr>
          <w:sz w:val="20"/>
          <w:szCs w:val="20"/>
          <w:color w:val="auto"/>
        </w:rPr>
      </w:pPr>
      <w:r>
        <w:rPr>
          <w:rFonts w:ascii="Arial" w:cs="Arial" w:eastAsia="Arial" w:hAnsi="Arial"/>
          <w:sz w:val="13"/>
          <w:szCs w:val="13"/>
          <w:color w:val="auto"/>
        </w:rPr>
        <w:t>AUM increased $1.5 billion, or 11%, to $14.5 billion at December 31, 2021 compared to $13.0 billion at December 31, 2020. Quarterly average AUM increased $1.9 billion, up 15%, to $14.3 billion for 2021 compared with $12.4 billion for 2020. The increase in average AUM was primarily due to $2.2 billion of market appreciation in 2021.</w:t>
      </w:r>
    </w:p>
    <w:p>
      <w:pPr>
        <w:spacing w:after="0" w:line="89" w:lineRule="exact"/>
        <w:rPr>
          <w:sz w:val="20"/>
          <w:szCs w:val="20"/>
          <w:color w:val="auto"/>
        </w:rPr>
      </w:pPr>
    </w:p>
    <w:p>
      <w:pPr>
        <w:ind w:right="160" w:firstLine="353"/>
        <w:spacing w:after="0" w:line="318" w:lineRule="auto"/>
        <w:rPr>
          <w:sz w:val="20"/>
          <w:szCs w:val="20"/>
          <w:color w:val="auto"/>
        </w:rPr>
      </w:pPr>
      <w:r>
        <w:rPr>
          <w:rFonts w:ascii="Arial" w:cs="Arial" w:eastAsia="Arial" w:hAnsi="Arial"/>
          <w:sz w:val="12"/>
          <w:szCs w:val="12"/>
          <w:color w:val="auto"/>
        </w:rPr>
        <w:t>AUM decreased $2.2 billion, or 14%, to $13.0 billion at December 31, 2020 compared to $15.2 billion at December 31, 2019. Quarterly average AUM decreased $3.4 billion, down 21%, to $12.4 billion for 2020 compared with $15.8 billion for 2019. The decrease in average AUM was primarily due to Institutional and Mutual Funds net outflows, partially offset by $0.5 billion of market appreciation in 2020.</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presents our AUM (in millions, except percentages):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w w:val="95"/>
              </w:rPr>
              <w:t>As of December 31,</w:t>
            </w:r>
          </w:p>
        </w:tc>
        <w:tc>
          <w:tcPr>
            <w:tcW w:w="1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47"/>
        </w:trPr>
        <w:tc>
          <w:tcPr>
            <w:tcW w:w="38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Change</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Change</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2019</w:t>
            </w:r>
          </w:p>
        </w:tc>
      </w:tr>
      <w:tr>
        <w:trPr>
          <w:trHeight w:val="149"/>
        </w:trPr>
        <w:tc>
          <w:tcPr>
            <w:tcW w:w="3820" w:type="dxa"/>
            <w:vAlign w:val="bottom"/>
            <w:shd w:val="clear" w:color="auto" w:fill="CCEEFF"/>
          </w:tcPr>
          <w:p>
            <w:pPr>
              <w:ind w:left="360"/>
              <w:spacing w:after="0" w:line="149" w:lineRule="exact"/>
              <w:rPr>
                <w:sz w:val="20"/>
                <w:szCs w:val="20"/>
                <w:color w:val="auto"/>
              </w:rPr>
            </w:pPr>
            <w:r>
              <w:rPr>
                <w:rFonts w:ascii="Arial" w:cs="Arial" w:eastAsia="Arial" w:hAnsi="Arial"/>
                <w:sz w:val="13"/>
                <w:szCs w:val="13"/>
                <w:color w:val="auto"/>
              </w:rPr>
              <w:t>Institutional</w:t>
            </w:r>
            <w:r>
              <w:rPr>
                <w:rFonts w:ascii="Arial" w:cs="Arial" w:eastAsia="Arial" w:hAnsi="Arial"/>
                <w:sz w:val="16"/>
                <w:szCs w:val="16"/>
                <w:color w:val="auto"/>
                <w:vertAlign w:val="superscript"/>
              </w:rPr>
              <w:t>(1)</w:t>
            </w:r>
          </w:p>
        </w:tc>
        <w:tc>
          <w:tcPr>
            <w:tcW w:w="98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7,037</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6,567</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(25)</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8,739</w:t>
            </w:r>
          </w:p>
        </w:tc>
      </w:tr>
      <w:tr>
        <w:trPr>
          <w:trHeight w:val="167"/>
        </w:trPr>
        <w:tc>
          <w:tcPr>
            <w:tcW w:w="3820" w:type="dxa"/>
            <w:vAlign w:val="bottom"/>
          </w:tcPr>
          <w:p>
            <w:pPr>
              <w:ind w:left="360"/>
              <w:spacing w:after="0" w:line="167" w:lineRule="exact"/>
              <w:rPr>
                <w:sz w:val="20"/>
                <w:szCs w:val="20"/>
                <w:color w:val="auto"/>
              </w:rPr>
            </w:pPr>
            <w:r>
              <w:rPr>
                <w:rFonts w:ascii="Arial" w:cs="Arial" w:eastAsia="Arial" w:hAnsi="Arial"/>
                <w:sz w:val="13"/>
                <w:szCs w:val="13"/>
                <w:color w:val="auto"/>
              </w:rPr>
              <w:t>Wealth Management</w:t>
            </w:r>
            <w:r>
              <w:rPr>
                <w:rFonts w:ascii="Arial" w:cs="Arial" w:eastAsia="Arial" w:hAnsi="Arial"/>
                <w:sz w:val="16"/>
                <w:szCs w:val="16"/>
                <w:color w:val="auto"/>
                <w:vertAlign w:val="superscript"/>
              </w:rPr>
              <w:t>(2)</w:t>
            </w:r>
          </w:p>
        </w:tc>
        <w:tc>
          <w:tcPr>
            <w:tcW w:w="9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4,420</w:t>
            </w:r>
          </w:p>
        </w:tc>
        <w:tc>
          <w:tcPr>
            <w:tcW w:w="80" w:type="dxa"/>
            <w:vAlign w:val="bottom"/>
          </w:tcPr>
          <w:p>
            <w:pPr>
              <w:spacing w:after="0"/>
              <w:rPr>
                <w:sz w:val="14"/>
                <w:szCs w:val="14"/>
                <w:color w:val="auto"/>
              </w:rPr>
            </w:pP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2</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4,335</w:t>
            </w:r>
          </w:p>
        </w:tc>
        <w:tc>
          <w:tcPr>
            <w:tcW w:w="80" w:type="dxa"/>
            <w:vAlign w:val="bottom"/>
          </w:tcPr>
          <w:p>
            <w:pPr>
              <w:spacing w:after="0"/>
              <w:rPr>
                <w:sz w:val="14"/>
                <w:szCs w:val="14"/>
                <w:color w:val="auto"/>
              </w:rPr>
            </w:pP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(2)</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4,438</w:t>
            </w:r>
          </w:p>
        </w:tc>
      </w:tr>
      <w:tr>
        <w:trPr>
          <w:trHeight w:val="167"/>
        </w:trPr>
        <w:tc>
          <w:tcPr>
            <w:tcW w:w="3820" w:type="dxa"/>
            <w:vAlign w:val="bottom"/>
            <w:shd w:val="clear" w:color="auto" w:fill="CCEEFF"/>
          </w:tcPr>
          <w:p>
            <w:pPr>
              <w:ind w:left="360"/>
              <w:spacing w:after="0" w:line="167" w:lineRule="exact"/>
              <w:rPr>
                <w:sz w:val="20"/>
                <w:szCs w:val="20"/>
                <w:color w:val="auto"/>
              </w:rPr>
            </w:pPr>
            <w:r>
              <w:rPr>
                <w:rFonts w:ascii="Arial" w:cs="Arial" w:eastAsia="Arial" w:hAnsi="Arial"/>
                <w:sz w:val="13"/>
                <w:szCs w:val="13"/>
                <w:color w:val="auto"/>
              </w:rPr>
              <w:t>Mutual Funds</w:t>
            </w:r>
            <w:r>
              <w:rPr>
                <w:rFonts w:ascii="Arial" w:cs="Arial" w:eastAsia="Arial" w:hAnsi="Arial"/>
                <w:sz w:val="16"/>
                <w:szCs w:val="16"/>
                <w:color w:val="auto"/>
                <w:vertAlign w:val="superscript"/>
              </w:rPr>
              <w:t>(3)</w:t>
            </w:r>
          </w:p>
        </w:tc>
        <w:tc>
          <w:tcPr>
            <w:tcW w:w="9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3,046</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2,143</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2,058</w:t>
            </w:r>
          </w:p>
        </w:tc>
      </w:tr>
      <w:tr>
        <w:trPr>
          <w:trHeight w:val="147"/>
        </w:trPr>
        <w:tc>
          <w:tcPr>
            <w:tcW w:w="3820" w:type="dxa"/>
            <w:vAlign w:val="bottom"/>
          </w:tcPr>
          <w:p>
            <w:pPr>
              <w:ind w:left="360"/>
              <w:spacing w:after="0" w:line="147" w:lineRule="exact"/>
              <w:rPr>
                <w:sz w:val="20"/>
                <w:szCs w:val="20"/>
                <w:color w:val="auto"/>
              </w:rPr>
            </w:pPr>
            <w:r>
              <w:rPr>
                <w:rFonts w:ascii="Arial" w:cs="Arial" w:eastAsia="Arial" w:hAnsi="Arial"/>
                <w:sz w:val="13"/>
                <w:szCs w:val="13"/>
                <w:b w:val="1"/>
                <w:bCs w:val="1"/>
                <w:color w:val="auto"/>
              </w:rPr>
              <w:t>Total AUM</w:t>
            </w:r>
            <w:r>
              <w:rPr>
                <w:rFonts w:ascii="Arial" w:cs="Arial" w:eastAsia="Arial" w:hAnsi="Arial"/>
                <w:sz w:val="16"/>
                <w:szCs w:val="16"/>
                <w:b w:val="1"/>
                <w:bCs w:val="1"/>
                <w:color w:val="auto"/>
                <w:vertAlign w:val="superscript"/>
              </w:rPr>
              <w:t>(4)</w:t>
            </w: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14,503</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13,045</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15,235</w:t>
            </w: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60" w:right="220" w:hanging="244"/>
        <w:spacing w:after="0" w:line="251" w:lineRule="auto"/>
        <w:tabs>
          <w:tab w:leader="none" w:pos="354"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ind w:left="360" w:right="60" w:hanging="244"/>
        <w:spacing w:after="0" w:line="245" w:lineRule="auto"/>
        <w:tabs>
          <w:tab w:leader="none" w:pos="354" w:val="left"/>
        </w:tabs>
        <w:numPr>
          <w:ilvl w:val="0"/>
          <w:numId w:val="14"/>
        </w:numPr>
        <w:rPr>
          <w:rFonts w:ascii="Arial" w:cs="Arial" w:eastAsia="Arial" w:hAnsi="Arial"/>
          <w:sz w:val="10"/>
          <w:szCs w:val="10"/>
          <w:color w:val="auto"/>
        </w:rPr>
      </w:pPr>
      <w:r>
        <w:rPr>
          <w:rFonts w:ascii="Arial" w:cs="Arial" w:eastAsia="Arial" w:hAnsi="Arial"/>
          <w:sz w:val="10"/>
          <w:szCs w:val="10"/>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Westwood International Advisors (prior to its closure, effective September 30, 2020) and external unaffiliated sub-advisors. For certain assets in this category Westwood Trust currently provides limited custodial services for a minimal or no fee, viewing these assets as potentially converting to fee-generating managed assets in the future.</w:t>
      </w:r>
    </w:p>
    <w:p>
      <w:pPr>
        <w:ind w:left="340" w:hanging="224"/>
        <w:spacing w:after="0"/>
        <w:tabs>
          <w:tab w:leader="none" w:pos="3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Mutual Funds include the Westwood Funds®, a family of mutual funds for which Westwood Management serves as advisor. These funds are available to individual investors, institutional investors and wealth management accounts.</w:t>
      </w:r>
    </w:p>
    <w:p>
      <w:pPr>
        <w:spacing w:after="0" w:line="2" w:lineRule="exact"/>
        <w:rPr>
          <w:rFonts w:ascii="Arial" w:cs="Arial" w:eastAsia="Arial" w:hAnsi="Arial"/>
          <w:sz w:val="10"/>
          <w:szCs w:val="10"/>
          <w:color w:val="auto"/>
        </w:rPr>
      </w:pPr>
    </w:p>
    <w:p>
      <w:pPr>
        <w:ind w:left="360" w:right="280" w:hanging="244"/>
        <w:spacing w:after="0" w:line="262" w:lineRule="auto"/>
        <w:tabs>
          <w:tab w:leader="none" w:pos="354" w:val="left"/>
        </w:tabs>
        <w:numPr>
          <w:ilvl w:val="0"/>
          <w:numId w:val="14"/>
        </w:numPr>
        <w:rPr>
          <w:rFonts w:ascii="Arial" w:cs="Arial" w:eastAsia="Arial" w:hAnsi="Arial"/>
          <w:sz w:val="10"/>
          <w:szCs w:val="10"/>
          <w:color w:val="auto"/>
        </w:rPr>
      </w:pPr>
      <w:r>
        <w:rPr>
          <w:rFonts w:ascii="Arial" w:cs="Arial" w:eastAsia="Arial" w:hAnsi="Arial"/>
          <w:sz w:val="10"/>
          <w:szCs w:val="10"/>
          <w:color w:val="auto"/>
        </w:rPr>
        <w:t>AUM for 2021, 2020 and 2019 excludes approximately $292 million, $267 million and $283 million of assets under advisement, respectively, related to our model portfolios for which we provide consulting advice but do not have discretionary investment authority.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i w:val="1"/>
          <w:iCs w:val="1"/>
          <w:color w:val="auto"/>
        </w:rPr>
        <w:t>Roll-Forward of Assets Under Management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Year Ended December 31, 2021</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AUM (in millions)</w:t>
            </w:r>
          </w:p>
        </w:tc>
        <w:tc>
          <w:tcPr>
            <w:tcW w:w="200" w:type="dxa"/>
            <w:vAlign w:val="bottom"/>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Institutional</w:t>
            </w:r>
          </w:p>
        </w:tc>
        <w:tc>
          <w:tcPr>
            <w:tcW w:w="10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Wealth Management</w:t>
            </w:r>
          </w:p>
        </w:tc>
        <w:tc>
          <w:tcPr>
            <w:tcW w:w="90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Mutual</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ind w:right="45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5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Funds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of period assets</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6,567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4,335</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2,143</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13,045</w:t>
            </w:r>
          </w:p>
        </w:tc>
        <w:tc>
          <w:tcPr>
            <w:tcW w:w="0" w:type="dxa"/>
            <w:vAlign w:val="bottom"/>
          </w:tcPr>
          <w:p>
            <w:pPr>
              <w:spacing w:after="0"/>
              <w:rPr>
                <w:sz w:val="1"/>
                <w:szCs w:val="1"/>
                <w:color w:val="auto"/>
              </w:rPr>
            </w:pPr>
          </w:p>
        </w:tc>
      </w:tr>
      <w:tr>
        <w:trPr>
          <w:trHeight w:val="166"/>
        </w:trPr>
        <w:tc>
          <w:tcPr>
            <w:tcW w:w="5780" w:type="dxa"/>
            <w:vAlign w:val="bottom"/>
          </w:tcPr>
          <w:p>
            <w:pPr>
              <w:ind w:left="20"/>
              <w:spacing w:after="0"/>
              <w:rPr>
                <w:sz w:val="20"/>
                <w:szCs w:val="20"/>
                <w:color w:val="auto"/>
              </w:rPr>
            </w:pPr>
            <w:r>
              <w:rPr>
                <w:rFonts w:ascii="Arial" w:cs="Arial" w:eastAsia="Arial" w:hAnsi="Arial"/>
                <w:sz w:val="13"/>
                <w:szCs w:val="13"/>
                <w:color w:val="auto"/>
              </w:rPr>
              <w:t>Client flows: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Inflows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3,775</w:t>
            </w:r>
          </w:p>
        </w:tc>
        <w:tc>
          <w:tcPr>
            <w:tcW w:w="0" w:type="dxa"/>
            <w:vAlign w:val="bottom"/>
          </w:tcPr>
          <w:p>
            <w:pPr>
              <w:spacing w:after="0"/>
              <w:rPr>
                <w:sz w:val="1"/>
                <w:szCs w:val="1"/>
                <w:color w:val="auto"/>
              </w:rPr>
            </w:pPr>
          </w:p>
        </w:tc>
      </w:tr>
      <w:tr>
        <w:trPr>
          <w:trHeight w:val="166"/>
        </w:trPr>
        <w:tc>
          <w:tcPr>
            <w:tcW w:w="578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Outflows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(896)</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(2,954)</w:t>
            </w:r>
          </w:p>
        </w:tc>
        <w:tc>
          <w:tcPr>
            <w:tcW w:w="0" w:type="dxa"/>
            <w:vAlign w:val="bottom"/>
          </w:tcPr>
          <w:p>
            <w:pPr>
              <w:spacing w:after="0"/>
              <w:rPr>
                <w:sz w:val="1"/>
                <w:szCs w:val="1"/>
                <w:color w:val="auto"/>
              </w:rPr>
            </w:pPr>
          </w:p>
        </w:tc>
      </w:tr>
      <w:tr>
        <w:trPr>
          <w:trHeight w:val="147"/>
        </w:trPr>
        <w:tc>
          <w:tcPr>
            <w:tcW w:w="57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Net client flows</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w:t>
            </w:r>
          </w:p>
        </w:tc>
        <w:tc>
          <w:tcPr>
            <w:tcW w:w="0" w:type="dxa"/>
            <w:vAlign w:val="bottom"/>
          </w:tcPr>
          <w:p>
            <w:pPr>
              <w:spacing w:after="0"/>
              <w:rPr>
                <w:sz w:val="1"/>
                <w:szCs w:val="1"/>
                <w:color w:val="auto"/>
              </w:rPr>
            </w:pPr>
          </w:p>
        </w:tc>
      </w:tr>
      <w:tr>
        <w:trPr>
          <w:trHeight w:val="166"/>
        </w:trPr>
        <w:tc>
          <w:tcPr>
            <w:tcW w:w="5780" w:type="dxa"/>
            <w:vAlign w:val="bottom"/>
          </w:tcPr>
          <w:p>
            <w:pPr>
              <w:ind w:left="240"/>
              <w:spacing w:after="0"/>
              <w:rPr>
                <w:sz w:val="20"/>
                <w:szCs w:val="20"/>
                <w:color w:val="auto"/>
              </w:rPr>
            </w:pPr>
            <w:r>
              <w:rPr>
                <w:rFonts w:ascii="Arial" w:cs="Arial" w:eastAsia="Arial" w:hAnsi="Arial"/>
                <w:sz w:val="13"/>
                <w:szCs w:val="13"/>
                <w:color w:val="auto"/>
              </w:rPr>
              <w:t>Global Convertibles transition</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(1,593)</w:t>
            </w:r>
          </w:p>
        </w:tc>
        <w:tc>
          <w:tcPr>
            <w:tcW w:w="0" w:type="dxa"/>
            <w:vAlign w:val="bottom"/>
          </w:tcPr>
          <w:p>
            <w:pPr>
              <w:spacing w:after="0"/>
              <w:rPr>
                <w:sz w:val="1"/>
                <w:szCs w:val="1"/>
                <w:color w:val="auto"/>
              </w:rPr>
            </w:pPr>
          </w:p>
        </w:tc>
      </w:tr>
      <w:tr>
        <w:trPr>
          <w:trHeight w:val="167"/>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 appreciation</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2,230</w:t>
            </w:r>
          </w:p>
        </w:tc>
        <w:tc>
          <w:tcPr>
            <w:tcW w:w="0" w:type="dxa"/>
            <w:vAlign w:val="bottom"/>
          </w:tcPr>
          <w:p>
            <w:pPr>
              <w:spacing w:after="0"/>
              <w:rPr>
                <w:sz w:val="1"/>
                <w:szCs w:val="1"/>
                <w:color w:val="auto"/>
              </w:rPr>
            </w:pPr>
          </w:p>
        </w:tc>
      </w:tr>
      <w:tr>
        <w:trPr>
          <w:trHeight w:val="146"/>
        </w:trPr>
        <w:tc>
          <w:tcPr>
            <w:tcW w:w="578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Net change</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1,458</w:t>
            </w:r>
          </w:p>
        </w:tc>
        <w:tc>
          <w:tcPr>
            <w:tcW w:w="0" w:type="dxa"/>
            <w:vAlign w:val="bottom"/>
          </w:tcPr>
          <w:p>
            <w:pPr>
              <w:spacing w:after="0"/>
              <w:rPr>
                <w:sz w:val="1"/>
                <w:szCs w:val="1"/>
                <w:color w:val="auto"/>
              </w:rPr>
            </w:pPr>
          </w:p>
        </w:tc>
      </w:tr>
      <w:tr>
        <w:trPr>
          <w:trHeight w:val="166"/>
        </w:trPr>
        <w:tc>
          <w:tcPr>
            <w:tcW w:w="578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End of period assets</w:t>
            </w: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7,037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4,420</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3,046</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14,503</w:t>
            </w: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increase in AUM for the year ended December 31, 2021 was due to market appreciation of $2.2 billion and net inflows of $0.8 billion, partially offset by a transition of our Global Convertibles team.</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Net inflows were primarily related to our SmallCap Value strategy, partially offset by net outflows in our Enhanced Balance strategy.</w:t>
      </w:r>
    </w:p>
    <w:p>
      <w:pPr>
        <w:spacing w:after="0" w:line="125" w:lineRule="exact"/>
        <w:rPr>
          <w:sz w:val="20"/>
          <w:szCs w:val="20"/>
          <w:color w:val="auto"/>
        </w:rPr>
      </w:pPr>
    </w:p>
    <w:p>
      <w:pPr>
        <w:ind w:right="200" w:firstLine="353"/>
        <w:spacing w:after="0" w:line="275" w:lineRule="auto"/>
        <w:rPr>
          <w:sz w:val="20"/>
          <w:szCs w:val="20"/>
          <w:color w:val="auto"/>
        </w:rPr>
      </w:pPr>
      <w:r>
        <w:rPr>
          <w:rFonts w:ascii="Arial" w:cs="Arial" w:eastAsia="Arial" w:hAnsi="Arial"/>
          <w:sz w:val="13"/>
          <w:szCs w:val="13"/>
          <w:color w:val="auto"/>
        </w:rPr>
        <w:t>In the fourth quarter of 2020, we made the decision to exit the stand-alone convertibles business and our Global Convertibles team transitioned back to Aviva Investors, the firm from which they previously joined Westwood. As a result, $1.6 billion in two sub-advised Global Convertibles mandates returned to Aviva as of April 1,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480"/>
              <w:spacing w:after="0"/>
              <w:rPr>
                <w:sz w:val="20"/>
                <w:szCs w:val="20"/>
                <w:color w:val="auto"/>
              </w:rPr>
            </w:pPr>
            <w:r>
              <w:rPr>
                <w:rFonts w:ascii="Arial" w:cs="Arial" w:eastAsia="Arial" w:hAnsi="Arial"/>
                <w:sz w:val="12"/>
                <w:szCs w:val="12"/>
                <w:b w:val="1"/>
                <w:bCs w:val="1"/>
                <w:color w:val="auto"/>
              </w:rPr>
              <w:t>Year Ended December 31, 2020</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AUM (in millions)</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Institutional</w:t>
            </w:r>
          </w:p>
        </w:tc>
        <w:tc>
          <w:tcPr>
            <w:tcW w:w="100" w:type="dxa"/>
            <w:vAlign w:val="bottom"/>
          </w:tcPr>
          <w:p>
            <w:pPr>
              <w:spacing w:after="0"/>
              <w:rPr>
                <w:sz w:val="9"/>
                <w:szCs w:val="9"/>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Wealth Management</w:t>
            </w:r>
          </w:p>
        </w:tc>
        <w:tc>
          <w:tcPr>
            <w:tcW w:w="280" w:type="dxa"/>
            <w:vAlign w:val="bottom"/>
          </w:tcPr>
          <w:p>
            <w:pPr>
              <w:spacing w:after="0"/>
              <w:rPr>
                <w:sz w:val="9"/>
                <w:szCs w:val="9"/>
                <w:color w:val="auto"/>
              </w:rPr>
            </w:pPr>
          </w:p>
        </w:tc>
        <w:tc>
          <w:tcPr>
            <w:tcW w:w="1120" w:type="dxa"/>
            <w:vAlign w:val="bottom"/>
            <w:gridSpan w:val="2"/>
          </w:tcPr>
          <w:p>
            <w:pPr>
              <w:jc w:val="center"/>
              <w:ind w:right="360"/>
              <w:spacing w:after="0" w:line="111" w:lineRule="exact"/>
              <w:rPr>
                <w:sz w:val="20"/>
                <w:szCs w:val="20"/>
                <w:color w:val="auto"/>
              </w:rPr>
            </w:pPr>
            <w:r>
              <w:rPr>
                <w:rFonts w:ascii="Arial" w:cs="Arial" w:eastAsia="Arial" w:hAnsi="Arial"/>
                <w:sz w:val="12"/>
                <w:szCs w:val="12"/>
                <w:b w:val="1"/>
                <w:bCs w:val="1"/>
                <w:color w:val="auto"/>
                <w:w w:val="92"/>
              </w:rPr>
              <w:t>Mutual</w:t>
            </w:r>
          </w:p>
        </w:tc>
        <w:tc>
          <w:tcPr>
            <w:tcW w:w="300" w:type="dxa"/>
            <w:vAlign w:val="bottom"/>
          </w:tcPr>
          <w:p>
            <w:pPr>
              <w:spacing w:after="0"/>
              <w:rPr>
                <w:sz w:val="9"/>
                <w:szCs w:val="9"/>
                <w:color w:val="auto"/>
              </w:rPr>
            </w:pPr>
          </w:p>
        </w:tc>
        <w:tc>
          <w:tcPr>
            <w:tcW w:w="1000" w:type="dxa"/>
            <w:vAlign w:val="bottom"/>
            <w:vMerge w:val="restart"/>
          </w:tcPr>
          <w:p>
            <w:pPr>
              <w:jc w:val="right"/>
              <w:ind w:right="45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5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Funds</w:t>
            </w: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of period assets</w:t>
            </w: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8,739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4,438</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2,058</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15,235</w:t>
            </w:r>
          </w:p>
        </w:tc>
        <w:tc>
          <w:tcPr>
            <w:tcW w:w="0" w:type="dxa"/>
            <w:vAlign w:val="bottom"/>
          </w:tcPr>
          <w:p>
            <w:pPr>
              <w:spacing w:after="0"/>
              <w:rPr>
                <w:sz w:val="1"/>
                <w:szCs w:val="1"/>
                <w:color w:val="auto"/>
              </w:rPr>
            </w:pPr>
          </w:p>
        </w:tc>
      </w:tr>
      <w:tr>
        <w:trPr>
          <w:trHeight w:val="166"/>
        </w:trPr>
        <w:tc>
          <w:tcPr>
            <w:tcW w:w="5760" w:type="dxa"/>
            <w:vAlign w:val="bottom"/>
          </w:tcPr>
          <w:p>
            <w:pPr>
              <w:ind w:left="20"/>
              <w:spacing w:after="0"/>
              <w:rPr>
                <w:sz w:val="20"/>
                <w:szCs w:val="20"/>
                <w:color w:val="auto"/>
              </w:rPr>
            </w:pPr>
            <w:r>
              <w:rPr>
                <w:rFonts w:ascii="Arial" w:cs="Arial" w:eastAsia="Arial" w:hAnsi="Arial"/>
                <w:sz w:val="13"/>
                <w:szCs w:val="13"/>
                <w:color w:val="auto"/>
              </w:rPr>
              <w:t>Client flows: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Inflows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2,239</w:t>
            </w:r>
          </w:p>
        </w:tc>
        <w:tc>
          <w:tcPr>
            <w:tcW w:w="0" w:type="dxa"/>
            <w:vAlign w:val="bottom"/>
          </w:tcPr>
          <w:p>
            <w:pPr>
              <w:spacing w:after="0"/>
              <w:rPr>
                <w:sz w:val="1"/>
                <w:szCs w:val="1"/>
                <w:color w:val="auto"/>
              </w:rPr>
            </w:pPr>
          </w:p>
        </w:tc>
      </w:tr>
      <w:tr>
        <w:trPr>
          <w:trHeight w:val="166"/>
        </w:trPr>
        <w:tc>
          <w:tcPr>
            <w:tcW w:w="57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Outflows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(4,968)</w:t>
            </w:r>
          </w:p>
        </w:tc>
        <w:tc>
          <w:tcPr>
            <w:tcW w:w="0" w:type="dxa"/>
            <w:vAlign w:val="bottom"/>
          </w:tcPr>
          <w:p>
            <w:pPr>
              <w:spacing w:after="0"/>
              <w:rPr>
                <w:sz w:val="1"/>
                <w:szCs w:val="1"/>
                <w:color w:val="auto"/>
              </w:rPr>
            </w:pPr>
          </w:p>
        </w:tc>
      </w:tr>
      <w:tr>
        <w:trPr>
          <w:trHeight w:val="147"/>
        </w:trPr>
        <w:tc>
          <w:tcPr>
            <w:tcW w:w="57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Net client flows</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(2,729)</w:t>
            </w:r>
          </w:p>
        </w:tc>
        <w:tc>
          <w:tcPr>
            <w:tcW w:w="0" w:type="dxa"/>
            <w:vAlign w:val="bottom"/>
          </w:tcPr>
          <w:p>
            <w:pPr>
              <w:spacing w:after="0"/>
              <w:rPr>
                <w:sz w:val="1"/>
                <w:szCs w:val="1"/>
                <w:color w:val="auto"/>
              </w:rPr>
            </w:pPr>
          </w:p>
        </w:tc>
      </w:tr>
      <w:tr>
        <w:trPr>
          <w:trHeight w:val="16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Market appreciation</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w:t>
            </w:r>
          </w:p>
        </w:tc>
        <w:tc>
          <w:tcPr>
            <w:tcW w:w="0" w:type="dxa"/>
            <w:vAlign w:val="bottom"/>
          </w:tcPr>
          <w:p>
            <w:pPr>
              <w:spacing w:after="0"/>
              <w:rPr>
                <w:sz w:val="1"/>
                <w:szCs w:val="1"/>
                <w:color w:val="auto"/>
              </w:rPr>
            </w:pPr>
          </w:p>
        </w:tc>
      </w:tr>
      <w:tr>
        <w:trPr>
          <w:trHeight w:val="147"/>
        </w:trPr>
        <w:tc>
          <w:tcPr>
            <w:tcW w:w="57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Net change</w:t>
            </w: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(2,190)</w:t>
            </w:r>
          </w:p>
        </w:tc>
        <w:tc>
          <w:tcPr>
            <w:tcW w:w="0" w:type="dxa"/>
            <w:vAlign w:val="bottom"/>
          </w:tcPr>
          <w:p>
            <w:pPr>
              <w:spacing w:after="0"/>
              <w:rPr>
                <w:sz w:val="1"/>
                <w:szCs w:val="1"/>
                <w:color w:val="auto"/>
              </w:rPr>
            </w:pPr>
          </w:p>
        </w:tc>
      </w:tr>
      <w:tr>
        <w:trPr>
          <w:trHeight w:val="147"/>
        </w:trPr>
        <w:tc>
          <w:tcPr>
            <w:tcW w:w="5760" w:type="dxa"/>
            <w:vAlign w:val="bottom"/>
          </w:tcPr>
          <w:p>
            <w:pPr>
              <w:ind w:left="20"/>
              <w:spacing w:after="0" w:line="147" w:lineRule="exact"/>
              <w:rPr>
                <w:sz w:val="20"/>
                <w:szCs w:val="20"/>
                <w:color w:val="auto"/>
              </w:rPr>
            </w:pPr>
            <w:r>
              <w:rPr>
                <w:rFonts w:ascii="Arial" w:cs="Arial" w:eastAsia="Arial" w:hAnsi="Arial"/>
                <w:sz w:val="13"/>
                <w:szCs w:val="13"/>
                <w:color w:val="auto"/>
              </w:rPr>
              <w:t>End of period assets</w:t>
            </w: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6,567</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4,335</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2,143</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13,045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right="380" w:firstLine="353"/>
        <w:spacing w:after="0" w:line="275" w:lineRule="auto"/>
        <w:rPr>
          <w:sz w:val="20"/>
          <w:szCs w:val="20"/>
          <w:color w:val="auto"/>
        </w:rPr>
      </w:pPr>
      <w:r>
        <w:rPr>
          <w:rFonts w:ascii="Arial" w:cs="Arial" w:eastAsia="Arial" w:hAnsi="Arial"/>
          <w:sz w:val="13"/>
          <w:szCs w:val="13"/>
          <w:color w:val="auto"/>
        </w:rPr>
        <w:t>The decrease in AUM for the year ended December 31, 2020 was due to net outflows of $2.7 billion, partially offset by market appreciation of $0.5 billion. Net client flows were primarily related to our Emerging Markets, SMidCap and LargeCap Value strategies.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76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3"/>
        </w:trPr>
        <w:tc>
          <w:tcPr>
            <w:tcW w:w="5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480"/>
              <w:spacing w:after="0"/>
              <w:rPr>
                <w:sz w:val="20"/>
                <w:szCs w:val="20"/>
                <w:color w:val="auto"/>
              </w:rPr>
            </w:pPr>
            <w:r>
              <w:rPr>
                <w:rFonts w:ascii="Arial" w:cs="Arial" w:eastAsia="Arial" w:hAnsi="Arial"/>
                <w:sz w:val="12"/>
                <w:szCs w:val="12"/>
                <w:b w:val="1"/>
                <w:bCs w:val="1"/>
                <w:color w:val="auto"/>
              </w:rPr>
              <w:t>Year Ended December 31, 2019</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AUM (in millions)</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Institutional</w:t>
            </w:r>
          </w:p>
        </w:tc>
        <w:tc>
          <w:tcPr>
            <w:tcW w:w="100" w:type="dxa"/>
            <w:vAlign w:val="bottom"/>
          </w:tcPr>
          <w:p>
            <w:pPr>
              <w:spacing w:after="0"/>
              <w:rPr>
                <w:sz w:val="9"/>
                <w:szCs w:val="9"/>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Wealth Management</w:t>
            </w:r>
          </w:p>
        </w:tc>
        <w:tc>
          <w:tcPr>
            <w:tcW w:w="280" w:type="dxa"/>
            <w:vAlign w:val="bottom"/>
          </w:tcPr>
          <w:p>
            <w:pPr>
              <w:spacing w:after="0"/>
              <w:rPr>
                <w:sz w:val="9"/>
                <w:szCs w:val="9"/>
                <w:color w:val="auto"/>
              </w:rPr>
            </w:pPr>
          </w:p>
        </w:tc>
        <w:tc>
          <w:tcPr>
            <w:tcW w:w="1120" w:type="dxa"/>
            <w:vAlign w:val="bottom"/>
            <w:gridSpan w:val="2"/>
          </w:tcPr>
          <w:p>
            <w:pPr>
              <w:jc w:val="center"/>
              <w:ind w:right="360"/>
              <w:spacing w:after="0" w:line="111" w:lineRule="exact"/>
              <w:rPr>
                <w:sz w:val="20"/>
                <w:szCs w:val="20"/>
                <w:color w:val="auto"/>
              </w:rPr>
            </w:pPr>
            <w:r>
              <w:rPr>
                <w:rFonts w:ascii="Arial" w:cs="Arial" w:eastAsia="Arial" w:hAnsi="Arial"/>
                <w:sz w:val="12"/>
                <w:szCs w:val="12"/>
                <w:b w:val="1"/>
                <w:bCs w:val="1"/>
                <w:color w:val="auto"/>
                <w:w w:val="92"/>
              </w:rPr>
              <w:t>Mutual</w:t>
            </w:r>
          </w:p>
        </w:tc>
        <w:tc>
          <w:tcPr>
            <w:tcW w:w="300" w:type="dxa"/>
            <w:vAlign w:val="bottom"/>
          </w:tcPr>
          <w:p>
            <w:pPr>
              <w:spacing w:after="0"/>
              <w:rPr>
                <w:sz w:val="9"/>
                <w:szCs w:val="9"/>
                <w:color w:val="auto"/>
              </w:rPr>
            </w:pPr>
          </w:p>
        </w:tc>
        <w:tc>
          <w:tcPr>
            <w:tcW w:w="1000" w:type="dxa"/>
            <w:vAlign w:val="bottom"/>
            <w:vMerge w:val="restart"/>
          </w:tcPr>
          <w:p>
            <w:pPr>
              <w:jc w:val="right"/>
              <w:ind w:right="45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5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Funds</w:t>
            </w: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of period assets</w:t>
            </w: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9,327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4,043</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3,236</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16,606</w:t>
            </w:r>
          </w:p>
        </w:tc>
        <w:tc>
          <w:tcPr>
            <w:tcW w:w="0" w:type="dxa"/>
            <w:vAlign w:val="bottom"/>
          </w:tcPr>
          <w:p>
            <w:pPr>
              <w:spacing w:after="0"/>
              <w:rPr>
                <w:sz w:val="1"/>
                <w:szCs w:val="1"/>
                <w:color w:val="auto"/>
              </w:rPr>
            </w:pPr>
          </w:p>
        </w:tc>
      </w:tr>
      <w:tr>
        <w:trPr>
          <w:trHeight w:val="166"/>
        </w:trPr>
        <w:tc>
          <w:tcPr>
            <w:tcW w:w="5760" w:type="dxa"/>
            <w:vAlign w:val="bottom"/>
          </w:tcPr>
          <w:p>
            <w:pPr>
              <w:ind w:left="20"/>
              <w:spacing w:after="0"/>
              <w:rPr>
                <w:sz w:val="20"/>
                <w:szCs w:val="20"/>
                <w:color w:val="auto"/>
              </w:rPr>
            </w:pPr>
            <w:r>
              <w:rPr>
                <w:rFonts w:ascii="Arial" w:cs="Arial" w:eastAsia="Arial" w:hAnsi="Arial"/>
                <w:sz w:val="13"/>
                <w:szCs w:val="13"/>
                <w:color w:val="auto"/>
              </w:rPr>
              <w:t>Client flows: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Inflows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1,664</w:t>
            </w:r>
          </w:p>
        </w:tc>
        <w:tc>
          <w:tcPr>
            <w:tcW w:w="0" w:type="dxa"/>
            <w:vAlign w:val="bottom"/>
          </w:tcPr>
          <w:p>
            <w:pPr>
              <w:spacing w:after="0"/>
              <w:rPr>
                <w:sz w:val="1"/>
                <w:szCs w:val="1"/>
                <w:color w:val="auto"/>
              </w:rPr>
            </w:pPr>
          </w:p>
        </w:tc>
      </w:tr>
      <w:tr>
        <w:trPr>
          <w:trHeight w:val="166"/>
        </w:trPr>
        <w:tc>
          <w:tcPr>
            <w:tcW w:w="57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Outflows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(6,064)</w:t>
            </w:r>
          </w:p>
        </w:tc>
        <w:tc>
          <w:tcPr>
            <w:tcW w:w="0" w:type="dxa"/>
            <w:vAlign w:val="bottom"/>
          </w:tcPr>
          <w:p>
            <w:pPr>
              <w:spacing w:after="0"/>
              <w:rPr>
                <w:sz w:val="1"/>
                <w:szCs w:val="1"/>
                <w:color w:val="auto"/>
              </w:rPr>
            </w:pPr>
          </w:p>
        </w:tc>
      </w:tr>
      <w:tr>
        <w:trPr>
          <w:trHeight w:val="147"/>
        </w:trPr>
        <w:tc>
          <w:tcPr>
            <w:tcW w:w="57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Net client flows</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(4,400)</w:t>
            </w:r>
          </w:p>
        </w:tc>
        <w:tc>
          <w:tcPr>
            <w:tcW w:w="0" w:type="dxa"/>
            <w:vAlign w:val="bottom"/>
          </w:tcPr>
          <w:p>
            <w:pPr>
              <w:spacing w:after="0"/>
              <w:rPr>
                <w:sz w:val="1"/>
                <w:szCs w:val="1"/>
                <w:color w:val="auto"/>
              </w:rPr>
            </w:pPr>
          </w:p>
        </w:tc>
      </w:tr>
      <w:tr>
        <w:trPr>
          <w:trHeight w:val="16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Market appreciation</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3,029</w:t>
            </w:r>
          </w:p>
        </w:tc>
        <w:tc>
          <w:tcPr>
            <w:tcW w:w="0" w:type="dxa"/>
            <w:vAlign w:val="bottom"/>
          </w:tcPr>
          <w:p>
            <w:pPr>
              <w:spacing w:after="0"/>
              <w:rPr>
                <w:sz w:val="1"/>
                <w:szCs w:val="1"/>
                <w:color w:val="auto"/>
              </w:rPr>
            </w:pPr>
          </w:p>
        </w:tc>
      </w:tr>
      <w:tr>
        <w:trPr>
          <w:trHeight w:val="147"/>
        </w:trPr>
        <w:tc>
          <w:tcPr>
            <w:tcW w:w="57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Net change</w:t>
            </w: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(1,178)</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(1,371)</w:t>
            </w:r>
          </w:p>
        </w:tc>
        <w:tc>
          <w:tcPr>
            <w:tcW w:w="0" w:type="dxa"/>
            <w:vAlign w:val="bottom"/>
          </w:tcPr>
          <w:p>
            <w:pPr>
              <w:spacing w:after="0"/>
              <w:rPr>
                <w:sz w:val="1"/>
                <w:szCs w:val="1"/>
                <w:color w:val="auto"/>
              </w:rPr>
            </w:pPr>
          </w:p>
        </w:tc>
      </w:tr>
      <w:tr>
        <w:trPr>
          <w:trHeight w:val="147"/>
        </w:trPr>
        <w:tc>
          <w:tcPr>
            <w:tcW w:w="5760" w:type="dxa"/>
            <w:vAlign w:val="bottom"/>
          </w:tcPr>
          <w:p>
            <w:pPr>
              <w:ind w:left="20"/>
              <w:spacing w:after="0" w:line="147" w:lineRule="exact"/>
              <w:rPr>
                <w:sz w:val="20"/>
                <w:szCs w:val="20"/>
                <w:color w:val="auto"/>
              </w:rPr>
            </w:pPr>
            <w:r>
              <w:rPr>
                <w:rFonts w:ascii="Arial" w:cs="Arial" w:eastAsia="Arial" w:hAnsi="Arial"/>
                <w:sz w:val="13"/>
                <w:szCs w:val="13"/>
                <w:color w:val="auto"/>
              </w:rPr>
              <w:t>End of period assets</w:t>
            </w: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8,739</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4,438</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2,058</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15,235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380" w:firstLine="353"/>
        <w:spacing w:after="0" w:line="275" w:lineRule="auto"/>
        <w:rPr>
          <w:sz w:val="20"/>
          <w:szCs w:val="20"/>
          <w:color w:val="auto"/>
        </w:rPr>
      </w:pPr>
      <w:r>
        <w:rPr>
          <w:rFonts w:ascii="Arial" w:cs="Arial" w:eastAsia="Arial" w:hAnsi="Arial"/>
          <w:sz w:val="13"/>
          <w:szCs w:val="13"/>
          <w:color w:val="auto"/>
        </w:rPr>
        <w:t>The decrease in AUM for the year ended December 31, 2019 was due to net outflows of $4.4 billion, partially offset by market appreciation of $3.0 billion. Net client flows were primarily related to our Income Opportunity, Emerging Markets, and LargeCap Value strategies.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90" w:lineRule="exact"/>
        <w:rPr>
          <w:sz w:val="20"/>
          <w:szCs w:val="20"/>
          <w:color w:val="auto"/>
        </w:rPr>
      </w:pPr>
    </w:p>
    <w:p>
      <w:pPr>
        <w:ind w:right="500" w:firstLine="353"/>
        <w:spacing w:after="0" w:line="275" w:lineRule="auto"/>
        <w:rPr>
          <w:sz w:val="20"/>
          <w:szCs w:val="20"/>
          <w:color w:val="auto"/>
        </w:rPr>
      </w:pPr>
      <w:r>
        <w:rPr>
          <w:rFonts w:ascii="Arial" w:cs="Arial" w:eastAsia="Arial" w:hAnsi="Arial"/>
          <w:sz w:val="13"/>
          <w:szCs w:val="13"/>
          <w:color w:val="auto"/>
        </w:rPr>
        <w:t>The following table and discussion of our results of operations is based upon data derived from our Consolidated Statements of Comprehensive Income (Loss) contained in our Consolidated Financial Statements and should be read in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797"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conjunction with these statements included elsewhere in this Report.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2"/>
                <w:szCs w:val="12"/>
                <w:b w:val="1"/>
                <w:bCs w:val="1"/>
                <w:color w:val="auto"/>
                <w:w w:val="86"/>
              </w:rPr>
              <w:t>Years ended December 31,</w:t>
            </w: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6"/>
          </w:tcPr>
          <w:p>
            <w:pPr>
              <w:jc w:val="center"/>
              <w:ind w:left="38"/>
              <w:spacing w:after="0"/>
              <w:rPr>
                <w:sz w:val="20"/>
                <w:szCs w:val="20"/>
                <w:color w:val="auto"/>
              </w:rPr>
            </w:pPr>
            <w:r>
              <w:rPr>
                <w:rFonts w:ascii="Arial" w:cs="Arial" w:eastAsia="Arial" w:hAnsi="Arial"/>
                <w:sz w:val="12"/>
                <w:szCs w:val="12"/>
                <w:b w:val="1"/>
                <w:bCs w:val="1"/>
                <w:color w:val="auto"/>
                <w:w w:val="85"/>
              </w:rPr>
              <w:t>(in thousands, except percentages)</w:t>
            </w: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440"/>
              <w:spacing w:after="0"/>
              <w:rPr>
                <w:sz w:val="20"/>
                <w:szCs w:val="20"/>
                <w:color w:val="auto"/>
              </w:rPr>
            </w:pPr>
            <w:r>
              <w:rPr>
                <w:rFonts w:ascii="Arial" w:cs="Arial" w:eastAsia="Arial" w:hAnsi="Arial"/>
                <w:sz w:val="12"/>
                <w:szCs w:val="12"/>
                <w:b w:val="1"/>
                <w:bCs w:val="1"/>
                <w:color w:val="auto"/>
                <w:w w:val="86"/>
              </w:rPr>
              <w:t>Change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right="217"/>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Change</w:t>
            </w:r>
          </w:p>
        </w:tc>
        <w:tc>
          <w:tcPr>
            <w:tcW w:w="260" w:type="dxa"/>
            <w:vAlign w:val="bottom"/>
          </w:tcPr>
          <w:p>
            <w:pPr>
              <w:spacing w:after="0"/>
              <w:rPr>
                <w:sz w:val="12"/>
                <w:szCs w:val="12"/>
                <w:color w:val="auto"/>
              </w:rPr>
            </w:pPr>
          </w:p>
        </w:tc>
        <w:tc>
          <w:tcPr>
            <w:tcW w:w="880" w:type="dxa"/>
            <w:vAlign w:val="bottom"/>
          </w:tcPr>
          <w:p>
            <w:pPr>
              <w:jc w:val="right"/>
              <w:ind w:right="398"/>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5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3"/>
                <w:szCs w:val="13"/>
                <w:color w:val="auto"/>
              </w:rPr>
              <w:t>Advisory fees: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Asset-based</w:t>
            </w: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45,927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21 %</w:t>
            </w:r>
          </w:p>
        </w:tc>
        <w:tc>
          <w:tcPr>
            <w:tcW w:w="38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57,033</w:t>
            </w:r>
          </w:p>
        </w:tc>
        <w:tc>
          <w:tcPr>
            <w:tcW w:w="0" w:type="dxa"/>
            <w:vAlign w:val="bottom"/>
          </w:tcPr>
          <w:p>
            <w:pPr>
              <w:spacing w:after="0"/>
              <w:rPr>
                <w:sz w:val="1"/>
                <w:szCs w:val="1"/>
                <w:color w:val="auto"/>
              </w:rPr>
            </w:pPr>
          </w:p>
        </w:tc>
      </w:tr>
      <w:tr>
        <w:trPr>
          <w:trHeight w:val="166"/>
        </w:trPr>
        <w:tc>
          <w:tcPr>
            <w:tcW w:w="4940" w:type="dxa"/>
            <w:vAlign w:val="bottom"/>
          </w:tcPr>
          <w:p>
            <w:pPr>
              <w:ind w:left="400"/>
              <w:spacing w:after="0"/>
              <w:rPr>
                <w:sz w:val="20"/>
                <w:szCs w:val="20"/>
                <w:color w:val="auto"/>
              </w:rPr>
            </w:pPr>
            <w:r>
              <w:rPr>
                <w:rFonts w:ascii="Arial" w:cs="Arial" w:eastAsia="Arial" w:hAnsi="Arial"/>
                <w:sz w:val="13"/>
                <w:szCs w:val="13"/>
                <w:color w:val="auto"/>
              </w:rPr>
              <w:t>Performance-based</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3,335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98"/>
              <w:spacing w:after="0"/>
              <w:rPr>
                <w:sz w:val="20"/>
                <w:szCs w:val="20"/>
                <w:color w:val="auto"/>
              </w:rPr>
            </w:pPr>
            <w:r>
              <w:rPr>
                <w:rFonts w:ascii="Arial" w:cs="Arial" w:eastAsia="Arial" w:hAnsi="Arial"/>
                <w:sz w:val="12"/>
                <w:szCs w:val="12"/>
                <w:color w:val="auto"/>
              </w:rPr>
              <w:t>268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764</w:t>
            </w: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Trust fees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24,030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25,483</w:t>
            </w:r>
          </w:p>
        </w:tc>
        <w:tc>
          <w:tcPr>
            <w:tcW w:w="0" w:type="dxa"/>
            <w:vAlign w:val="bottom"/>
          </w:tcPr>
          <w:p>
            <w:pPr>
              <w:spacing w:after="0"/>
              <w:rPr>
                <w:sz w:val="1"/>
                <w:szCs w:val="1"/>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3"/>
                <w:szCs w:val="13"/>
                <w:color w:val="auto"/>
              </w:rPr>
              <w:t>Trust performance-based fees</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ind w:right="38"/>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NM</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revenues, net</w:t>
            </w:r>
          </w:p>
        </w:tc>
        <w:tc>
          <w:tcPr>
            <w:tcW w:w="7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99"/>
              </w:rPr>
              <w:t>(198)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799</w:t>
            </w:r>
          </w:p>
        </w:tc>
        <w:tc>
          <w:tcPr>
            <w:tcW w:w="0" w:type="dxa"/>
            <w:vAlign w:val="bottom"/>
          </w:tcPr>
          <w:p>
            <w:pPr>
              <w:spacing w:after="0"/>
              <w:rPr>
                <w:sz w:val="1"/>
                <w:szCs w:val="1"/>
                <w:color w:val="auto"/>
              </w:rPr>
            </w:pPr>
          </w:p>
        </w:tc>
      </w:tr>
      <w:tr>
        <w:trPr>
          <w:trHeight w:val="146"/>
        </w:trPr>
        <w:tc>
          <w:tcPr>
            <w:tcW w:w="4940" w:type="dxa"/>
            <w:vAlign w:val="bottom"/>
            <w:tcBorders>
              <w:bottom w:val="single" w:sz="8" w:color="CCEEFF"/>
            </w:tcBorders>
          </w:tcPr>
          <w:p>
            <w:pPr>
              <w:ind w:left="580"/>
              <w:spacing w:after="0" w:line="146" w:lineRule="exact"/>
              <w:rPr>
                <w:sz w:val="20"/>
                <w:szCs w:val="20"/>
                <w:color w:val="auto"/>
              </w:rPr>
            </w:pPr>
            <w:r>
              <w:rPr>
                <w:rFonts w:ascii="Arial" w:cs="Arial" w:eastAsia="Arial" w:hAnsi="Arial"/>
                <w:sz w:val="13"/>
                <w:szCs w:val="13"/>
                <w:color w:val="auto"/>
              </w:rPr>
              <w:t>Total revenues</w:t>
            </w:r>
          </w:p>
        </w:tc>
        <w:tc>
          <w:tcPr>
            <w:tcW w:w="7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73,054</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65,111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84,079</w:t>
            </w:r>
          </w:p>
        </w:tc>
        <w:tc>
          <w:tcPr>
            <w:tcW w:w="0" w:type="dxa"/>
            <w:vAlign w:val="bottom"/>
          </w:tcPr>
          <w:p>
            <w:pPr>
              <w:spacing w:after="0"/>
              <w:rPr>
                <w:sz w:val="1"/>
                <w:szCs w:val="1"/>
                <w:color w:val="auto"/>
              </w:rPr>
            </w:pPr>
          </w:p>
        </w:tc>
      </w:tr>
      <w:tr>
        <w:trPr>
          <w:trHeight w:val="147"/>
        </w:trPr>
        <w:tc>
          <w:tcPr>
            <w:tcW w:w="494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Expenses: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3"/>
                <w:szCs w:val="13"/>
                <w:color w:val="auto"/>
              </w:rPr>
              <w:t>Employee compensation and benefits</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42,532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42,141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50,152</w:t>
            </w: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Sales and marketing</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2,068</w:t>
            </w:r>
          </w:p>
        </w:tc>
        <w:tc>
          <w:tcPr>
            <w:tcW w:w="0" w:type="dxa"/>
            <w:vAlign w:val="bottom"/>
          </w:tcPr>
          <w:p>
            <w:pPr>
              <w:spacing w:after="0"/>
              <w:rPr>
                <w:sz w:val="1"/>
                <w:szCs w:val="1"/>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3"/>
                <w:szCs w:val="13"/>
                <w:color w:val="auto"/>
              </w:rPr>
              <w:t>Westwood mutual funds</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2,657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3,097</w:t>
            </w: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Information technology</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8,426</w:t>
            </w:r>
          </w:p>
        </w:tc>
        <w:tc>
          <w:tcPr>
            <w:tcW w:w="0" w:type="dxa"/>
            <w:vAlign w:val="bottom"/>
          </w:tcPr>
          <w:p>
            <w:pPr>
              <w:spacing w:after="0"/>
              <w:rPr>
                <w:sz w:val="1"/>
                <w:szCs w:val="1"/>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3"/>
                <w:szCs w:val="13"/>
                <w:color w:val="auto"/>
              </w:rPr>
              <w:t>Professional services</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4,391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4,271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4,322</w:t>
            </w: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General and administrative</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9,516</w:t>
            </w:r>
          </w:p>
        </w:tc>
        <w:tc>
          <w:tcPr>
            <w:tcW w:w="0" w:type="dxa"/>
            <w:vAlign w:val="bottom"/>
          </w:tcPr>
          <w:p>
            <w:pPr>
              <w:spacing w:after="0"/>
              <w:rPr>
                <w:sz w:val="1"/>
                <w:szCs w:val="1"/>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3"/>
                <w:szCs w:val="13"/>
                <w:color w:val="auto"/>
              </w:rPr>
              <w:t>Impairment expense</w:t>
            </w:r>
          </w:p>
        </w:tc>
        <w:tc>
          <w:tcPr>
            <w:tcW w:w="720" w:type="dxa"/>
            <w:vAlign w:val="bottom"/>
          </w:tcPr>
          <w:p>
            <w:pPr>
              <w:spacing w:after="0"/>
              <w:rPr>
                <w:sz w:val="14"/>
                <w:szCs w:val="14"/>
                <w:color w:val="auto"/>
              </w:rPr>
            </w:pPr>
          </w:p>
        </w:tc>
        <w:tc>
          <w:tcPr>
            <w:tcW w:w="1360" w:type="dxa"/>
            <w:vAlign w:val="bottom"/>
            <w:gridSpan w:val="3"/>
          </w:tcPr>
          <w:p>
            <w:pPr>
              <w:jc w:val="right"/>
              <w:ind w:right="921"/>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NM</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NM</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(Gain) loss on foreign currency transactions</w:t>
            </w:r>
          </w:p>
        </w:tc>
        <w:tc>
          <w:tcPr>
            <w:tcW w:w="72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921"/>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NM</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NM</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1,854</w:t>
            </w:r>
          </w:p>
        </w:tc>
        <w:tc>
          <w:tcPr>
            <w:tcW w:w="0" w:type="dxa"/>
            <w:vAlign w:val="bottom"/>
          </w:tcPr>
          <w:p>
            <w:pPr>
              <w:spacing w:after="0"/>
              <w:rPr>
                <w:sz w:val="1"/>
                <w:szCs w:val="1"/>
                <w:color w:val="auto"/>
              </w:rPr>
            </w:pPr>
          </w:p>
        </w:tc>
      </w:tr>
      <w:tr>
        <w:trPr>
          <w:trHeight w:val="146"/>
        </w:trPr>
        <w:tc>
          <w:tcPr>
            <w:tcW w:w="4940" w:type="dxa"/>
            <w:vAlign w:val="bottom"/>
            <w:tcBorders>
              <w:bottom w:val="single" w:sz="8" w:color="CCEEFF"/>
            </w:tcBorders>
          </w:tcPr>
          <w:p>
            <w:pPr>
              <w:ind w:left="580"/>
              <w:spacing w:after="0" w:line="146" w:lineRule="exact"/>
              <w:rPr>
                <w:sz w:val="20"/>
                <w:szCs w:val="20"/>
                <w:color w:val="auto"/>
              </w:rPr>
            </w:pPr>
            <w:r>
              <w:rPr>
                <w:rFonts w:ascii="Arial" w:cs="Arial" w:eastAsia="Arial" w:hAnsi="Arial"/>
                <w:sz w:val="13"/>
                <w:szCs w:val="13"/>
                <w:color w:val="auto"/>
              </w:rPr>
              <w:t>Total expenses</w:t>
            </w:r>
          </w:p>
        </w:tc>
        <w:tc>
          <w:tcPr>
            <w:tcW w:w="7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67,095</w:t>
            </w:r>
          </w:p>
        </w:tc>
        <w:tc>
          <w:tcPr>
            <w:tcW w:w="1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68,558</w:t>
            </w: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79,435</w:t>
            </w:r>
          </w:p>
        </w:tc>
        <w:tc>
          <w:tcPr>
            <w:tcW w:w="0" w:type="dxa"/>
            <w:vAlign w:val="bottom"/>
          </w:tcPr>
          <w:p>
            <w:pPr>
              <w:spacing w:after="0"/>
              <w:rPr>
                <w:sz w:val="1"/>
                <w:szCs w:val="1"/>
                <w:color w:val="auto"/>
              </w:rPr>
            </w:pPr>
          </w:p>
        </w:tc>
      </w:tr>
      <w:tr>
        <w:trPr>
          <w:trHeight w:val="147"/>
        </w:trPr>
        <w:tc>
          <w:tcPr>
            <w:tcW w:w="49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Net operating income (loss)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5,959</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99"/>
              </w:rPr>
              <w:t>(273)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(174)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4,644</w:t>
            </w:r>
          </w:p>
        </w:tc>
        <w:tc>
          <w:tcPr>
            <w:tcW w:w="0" w:type="dxa"/>
            <w:vAlign w:val="bottom"/>
          </w:tcPr>
          <w:p>
            <w:pPr>
              <w:spacing w:after="0"/>
              <w:rPr>
                <w:sz w:val="1"/>
                <w:szCs w:val="1"/>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3"/>
                <w:szCs w:val="13"/>
                <w:color w:val="auto"/>
              </w:rPr>
              <w:t>Realized gains on private investments</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8,371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NM</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NM</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change in unrealized appreciation (depreciation) on private investments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(1,797)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3,296</w:t>
            </w:r>
          </w:p>
        </w:tc>
        <w:tc>
          <w:tcPr>
            <w:tcW w:w="0" w:type="dxa"/>
            <w:vAlign w:val="bottom"/>
          </w:tcPr>
          <w:p>
            <w:pPr>
              <w:spacing w:after="0"/>
              <w:rPr>
                <w:sz w:val="1"/>
                <w:szCs w:val="1"/>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3"/>
                <w:szCs w:val="13"/>
                <w:color w:val="auto"/>
              </w:rPr>
              <w:t>Investment income</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868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1,318</w:t>
            </w: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income</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28"/>
        </w:trPr>
        <w:tc>
          <w:tcPr>
            <w:tcW w:w="4940" w:type="dxa"/>
            <w:vAlign w:val="bottom"/>
          </w:tcPr>
          <w:p>
            <w:pPr>
              <w:ind w:left="240"/>
              <w:spacing w:after="0" w:line="129" w:lineRule="exact"/>
              <w:rPr>
                <w:sz w:val="20"/>
                <w:szCs w:val="20"/>
                <w:color w:val="auto"/>
              </w:rPr>
            </w:pPr>
            <w:r>
              <w:rPr>
                <w:rFonts w:ascii="Arial" w:cs="Arial" w:eastAsia="Arial" w:hAnsi="Arial"/>
                <w:sz w:val="13"/>
                <w:szCs w:val="13"/>
                <w:color w:val="auto"/>
                <w:w w:val="99"/>
              </w:rPr>
              <w:t>Foreign currency translation adjustments to net income (loss) upon liquidation of a</w:t>
            </w:r>
          </w:p>
        </w:tc>
        <w:tc>
          <w:tcPr>
            <w:tcW w:w="720" w:type="dxa"/>
            <w:vAlign w:val="bottom"/>
          </w:tcPr>
          <w:p>
            <w:pPr>
              <w:spacing w:after="0"/>
              <w:rPr>
                <w:sz w:val="11"/>
                <w:szCs w:val="11"/>
                <w:color w:val="auto"/>
              </w:rPr>
            </w:pPr>
          </w:p>
        </w:tc>
        <w:tc>
          <w:tcPr>
            <w:tcW w:w="1360" w:type="dxa"/>
            <w:vAlign w:val="bottom"/>
            <w:gridSpan w:val="3"/>
            <w:vMerge w:val="restart"/>
          </w:tcPr>
          <w:p>
            <w:pPr>
              <w:jc w:val="right"/>
              <w:ind w:right="921"/>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940" w:type="dxa"/>
            <w:vAlign w:val="bottom"/>
          </w:tcPr>
          <w:p>
            <w:pPr>
              <w:ind w:left="240"/>
              <w:spacing w:after="0"/>
              <w:rPr>
                <w:sz w:val="20"/>
                <w:szCs w:val="20"/>
                <w:color w:val="auto"/>
              </w:rPr>
            </w:pPr>
            <w:r>
              <w:rPr>
                <w:rFonts w:ascii="Arial" w:cs="Arial" w:eastAsia="Arial" w:hAnsi="Arial"/>
                <w:sz w:val="13"/>
                <w:szCs w:val="13"/>
                <w:color w:val="auto"/>
              </w:rPr>
              <w:t>foreign subsidiary</w:t>
            </w:r>
          </w:p>
        </w:tc>
        <w:tc>
          <w:tcPr>
            <w:tcW w:w="7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NM</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NM</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9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Income (loss) before income taxes</w:t>
            </w:r>
          </w:p>
        </w:tc>
        <w:tc>
          <w:tcPr>
            <w:tcW w:w="72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14,003</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(285)%</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(7,588)</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9,402</w:t>
            </w:r>
          </w:p>
        </w:tc>
        <w:tc>
          <w:tcPr>
            <w:tcW w:w="0" w:type="dxa"/>
            <w:vAlign w:val="bottom"/>
          </w:tcPr>
          <w:p>
            <w:pPr>
              <w:spacing w:after="0"/>
              <w:rPr>
                <w:sz w:val="1"/>
                <w:szCs w:val="1"/>
                <w:color w:val="auto"/>
              </w:rPr>
            </w:pPr>
          </w:p>
        </w:tc>
      </w:tr>
      <w:tr>
        <w:trPr>
          <w:trHeight w:val="16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income taxes</w:t>
            </w: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4,240</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212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3,491</w:t>
            </w:r>
          </w:p>
        </w:tc>
        <w:tc>
          <w:tcPr>
            <w:tcW w:w="0" w:type="dxa"/>
            <w:vAlign w:val="bottom"/>
          </w:tcPr>
          <w:p>
            <w:pPr>
              <w:spacing w:after="0"/>
              <w:rPr>
                <w:sz w:val="1"/>
                <w:szCs w:val="1"/>
                <w:color w:val="auto"/>
              </w:rPr>
            </w:pPr>
          </w:p>
        </w:tc>
      </w:tr>
      <w:tr>
        <w:trPr>
          <w:trHeight w:val="147"/>
        </w:trPr>
        <w:tc>
          <w:tcPr>
            <w:tcW w:w="49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income (loss)</w:t>
            </w:r>
          </w:p>
        </w:tc>
        <w:tc>
          <w:tcPr>
            <w:tcW w:w="72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9,763</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(209)%</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(8,947)</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5,911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-88900</wp:posOffset>
            </wp:positionV>
            <wp:extent cx="402082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20820" cy="63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3"/>
          <w:szCs w:val="13"/>
          <w:i w:val="1"/>
          <w:iCs w:val="1"/>
          <w:u w:val="single" w:color="auto"/>
          <w:color w:val="auto"/>
        </w:rPr>
        <w:t>Year Ended December 31, 2021 Compared to Year Ended December 31, 2020</w:t>
      </w:r>
    </w:p>
    <w:p>
      <w:pPr>
        <w:spacing w:after="0" w:line="86" w:lineRule="exact"/>
        <w:rPr>
          <w:sz w:val="20"/>
          <w:szCs w:val="20"/>
          <w:color w:val="auto"/>
        </w:rPr>
      </w:pPr>
    </w:p>
    <w:p>
      <w:pPr>
        <w:jc w:val="both"/>
        <w:ind w:right="60" w:firstLine="353"/>
        <w:spacing w:after="0" w:line="275" w:lineRule="auto"/>
        <w:rPr>
          <w:sz w:val="20"/>
          <w:szCs w:val="20"/>
          <w:color w:val="auto"/>
        </w:rPr>
      </w:pPr>
      <w:r>
        <w:rPr>
          <w:rFonts w:ascii="Arial" w:cs="Arial" w:eastAsia="Arial" w:hAnsi="Arial"/>
          <w:sz w:val="13"/>
          <w:szCs w:val="13"/>
          <w:i w:val="1"/>
          <w:iCs w:val="1"/>
          <w:color w:val="auto"/>
        </w:rPr>
        <w:t xml:space="preserve">Total Revenues. </w:t>
      </w:r>
      <w:r>
        <w:rPr>
          <w:rFonts w:ascii="Arial" w:cs="Arial" w:eastAsia="Arial" w:hAnsi="Arial"/>
          <w:sz w:val="13"/>
          <w:szCs w:val="13"/>
          <w:color w:val="auto"/>
        </w:rPr>
        <w:t>Total revenues increased $7.9 million, or 12%, to $73.1 million compared with $65.1 million for 2020. The increase was attributable to a $7.9 million increase in asset-based advisory fees and</w:t>
      </w:r>
      <w:r>
        <w:rPr>
          <w:rFonts w:ascii="Arial" w:cs="Arial" w:eastAsia="Arial" w:hAnsi="Arial"/>
          <w:sz w:val="13"/>
          <w:szCs w:val="13"/>
          <w:i w:val="1"/>
          <w:iCs w:val="1"/>
          <w:color w:val="auto"/>
        </w:rPr>
        <w:t xml:space="preserve"> </w:t>
      </w:r>
      <w:r>
        <w:rPr>
          <w:rFonts w:ascii="Arial" w:cs="Arial" w:eastAsia="Arial" w:hAnsi="Arial"/>
          <w:sz w:val="13"/>
          <w:szCs w:val="13"/>
          <w:color w:val="auto"/>
        </w:rPr>
        <w:t>a $0.5 million increase in Trust fees, both primarily due to higher average AUM compared to 2020.</w:t>
      </w:r>
    </w:p>
    <w:p>
      <w:pPr>
        <w:spacing w:after="0" w:line="49" w:lineRule="exact"/>
        <w:rPr>
          <w:sz w:val="20"/>
          <w:szCs w:val="20"/>
          <w:color w:val="auto"/>
        </w:rPr>
      </w:pPr>
    </w:p>
    <w:p>
      <w:pPr>
        <w:ind w:right="120" w:firstLine="353"/>
        <w:spacing w:after="0" w:line="275" w:lineRule="auto"/>
        <w:rPr>
          <w:sz w:val="20"/>
          <w:szCs w:val="20"/>
          <w:color w:val="auto"/>
        </w:rPr>
      </w:pPr>
      <w:r>
        <w:rPr>
          <w:rFonts w:ascii="Arial" w:cs="Arial" w:eastAsia="Arial" w:hAnsi="Arial"/>
          <w:sz w:val="13"/>
          <w:szCs w:val="13"/>
          <w:i w:val="1"/>
          <w:iCs w:val="1"/>
          <w:color w:val="auto"/>
        </w:rPr>
        <w:t>Westwood Mutual Funds</w:t>
      </w:r>
      <w:r>
        <w:rPr>
          <w:rFonts w:ascii="Arial" w:cs="Arial" w:eastAsia="Arial" w:hAnsi="Arial"/>
          <w:sz w:val="13"/>
          <w:szCs w:val="13"/>
          <w:color w:val="auto"/>
        </w:rPr>
        <w:t>. Westwood mutual funds expenses increased 58% to $2.7 million compared to $1.7 million for 2020 primarily due to one-time costs related to the reorganization of our mutual funds</w:t>
      </w:r>
      <w:r>
        <w:rPr>
          <w:rFonts w:ascii="Arial" w:cs="Arial" w:eastAsia="Arial" w:hAnsi="Arial"/>
          <w:sz w:val="13"/>
          <w:szCs w:val="13"/>
          <w:i w:val="1"/>
          <w:iCs w:val="1"/>
          <w:color w:val="auto"/>
        </w:rPr>
        <w:t xml:space="preserve"> </w:t>
      </w:r>
      <w:r>
        <w:rPr>
          <w:rFonts w:ascii="Arial" w:cs="Arial" w:eastAsia="Arial" w:hAnsi="Arial"/>
          <w:sz w:val="13"/>
          <w:szCs w:val="13"/>
          <w:color w:val="auto"/>
        </w:rPr>
        <w:t>and a change in mutual fund administrator.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768" w:right="339" w:bottom="1440" w:gutter="0" w:footer="0" w:header="0"/>
        </w:sectPr>
      </w:pPr>
    </w:p>
    <w:bookmarkStart w:id="30" w:name="page31"/>
    <w:bookmarkEnd w:id="30"/>
    <w:p>
      <w:pPr>
        <w:ind w:left="360"/>
        <w:spacing w:after="0"/>
        <w:rPr>
          <w:sz w:val="20"/>
          <w:szCs w:val="20"/>
          <w:color w:val="auto"/>
        </w:rPr>
      </w:pPr>
      <w:r>
        <w:rPr>
          <w:rFonts w:ascii="Arial" w:cs="Arial" w:eastAsia="Arial" w:hAnsi="Arial"/>
          <w:sz w:val="11"/>
          <w:szCs w:val="11"/>
          <w:i w:val="1"/>
          <w:iCs w:val="1"/>
          <w:color w:val="auto"/>
        </w:rPr>
        <w:t xml:space="preserve">General and administrative. </w:t>
      </w:r>
      <w:r>
        <w:rPr>
          <w:rFonts w:ascii="Arial" w:cs="Arial" w:eastAsia="Arial" w:hAnsi="Arial"/>
          <w:sz w:val="11"/>
          <w:szCs w:val="11"/>
          <w:color w:val="auto"/>
        </w:rPr>
        <w:t>General and administrative expenses decreased 9.7% to $8.1 million compared to $8.9 million in 2020 primarily due to lower rent expense following recent office space reductions.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 xml:space="preserve">Realized gains on private investments. </w:t>
      </w:r>
      <w:r>
        <w:rPr>
          <w:rFonts w:ascii="Arial" w:cs="Arial" w:eastAsia="Arial" w:hAnsi="Arial"/>
          <w:sz w:val="13"/>
          <w:szCs w:val="13"/>
          <w:color w:val="auto"/>
        </w:rPr>
        <w:t>We recorded a realized gain of approximately $8.3 million in connection with InvestCloud's recapitalization in the first quarter of 2021.</w:t>
      </w:r>
    </w:p>
    <w:p>
      <w:pPr>
        <w:spacing w:after="0" w:line="86" w:lineRule="exact"/>
        <w:rPr>
          <w:sz w:val="20"/>
          <w:szCs w:val="20"/>
          <w:color w:val="auto"/>
        </w:rPr>
      </w:pPr>
    </w:p>
    <w:p>
      <w:pPr>
        <w:ind w:right="60" w:firstLine="353"/>
        <w:spacing w:after="0" w:line="318" w:lineRule="auto"/>
        <w:rPr>
          <w:sz w:val="20"/>
          <w:szCs w:val="20"/>
          <w:color w:val="auto"/>
        </w:rPr>
      </w:pPr>
      <w:r>
        <w:rPr>
          <w:rFonts w:ascii="Arial" w:cs="Arial" w:eastAsia="Arial" w:hAnsi="Arial"/>
          <w:sz w:val="12"/>
          <w:szCs w:val="12"/>
          <w:i w:val="1"/>
          <w:iCs w:val="1"/>
          <w:color w:val="auto"/>
        </w:rPr>
        <w:t xml:space="preserve">Net change in unrealized appreciation (depreciation) on private investments. </w:t>
      </w:r>
      <w:r>
        <w:rPr>
          <w:rFonts w:ascii="Arial" w:cs="Arial" w:eastAsia="Arial" w:hAnsi="Arial"/>
          <w:sz w:val="12"/>
          <w:szCs w:val="12"/>
          <w:color w:val="auto"/>
        </w:rPr>
        <w:t>We recorded a $2.8 million net change in unrealized depreciation to reflect the recognition of previously recorded unrealized gains</w:t>
      </w:r>
      <w:r>
        <w:rPr>
          <w:rFonts w:ascii="Arial" w:cs="Arial" w:eastAsia="Arial" w:hAnsi="Arial"/>
          <w:sz w:val="12"/>
          <w:szCs w:val="12"/>
          <w:i w:val="1"/>
          <w:iCs w:val="1"/>
          <w:color w:val="auto"/>
        </w:rPr>
        <w:t xml:space="preserve"> </w:t>
      </w:r>
      <w:r>
        <w:rPr>
          <w:rFonts w:ascii="Arial" w:cs="Arial" w:eastAsia="Arial" w:hAnsi="Arial"/>
          <w:sz w:val="12"/>
          <w:szCs w:val="12"/>
          <w:color w:val="auto"/>
        </w:rPr>
        <w:t>in connection with InvestCloud's recapitalization in the first quarter of 2021, partially offset by $0.9 million of fair value increases from market transactions related to our investment in Charis.</w:t>
      </w:r>
    </w:p>
    <w:p>
      <w:pPr>
        <w:spacing w:after="0" w:line="26" w:lineRule="exact"/>
        <w:rPr>
          <w:sz w:val="20"/>
          <w:szCs w:val="20"/>
          <w:color w:val="auto"/>
        </w:rPr>
      </w:pPr>
    </w:p>
    <w:p>
      <w:pPr>
        <w:ind w:right="100" w:firstLine="353"/>
        <w:spacing w:after="0" w:line="318" w:lineRule="auto"/>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The effective tax rate was 30.3% for 2021 compared to (17.9)% for 2020. Our income tax rate differed from the 21% statutory tax rate due to permanent differences between book</w:t>
      </w:r>
      <w:r>
        <w:rPr>
          <w:rFonts w:ascii="Arial" w:cs="Arial" w:eastAsia="Arial" w:hAnsi="Arial"/>
          <w:sz w:val="12"/>
          <w:szCs w:val="12"/>
          <w:i w:val="1"/>
          <w:iCs w:val="1"/>
          <w:color w:val="auto"/>
        </w:rPr>
        <w:t xml:space="preserve"> </w:t>
      </w:r>
      <w:r>
        <w:rPr>
          <w:rFonts w:ascii="Arial" w:cs="Arial" w:eastAsia="Arial" w:hAnsi="Arial"/>
          <w:sz w:val="12"/>
          <w:szCs w:val="12"/>
          <w:color w:val="auto"/>
        </w:rPr>
        <w:t>and tax restricted stock expense based on a decrease in our stock price between the restricted stock grant and vesting date, along with the impact of state and local taxes.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3"/>
          <w:szCs w:val="13"/>
          <w:i w:val="1"/>
          <w:iCs w:val="1"/>
          <w:u w:val="single" w:color="auto"/>
          <w:color w:val="auto"/>
        </w:rPr>
        <w:t>Year Ended December 31, 2020 Compared to Year Ended December 31, 2019</w:t>
      </w:r>
    </w:p>
    <w:p>
      <w:pPr>
        <w:spacing w:after="0" w:line="86" w:lineRule="exact"/>
        <w:rPr>
          <w:sz w:val="20"/>
          <w:szCs w:val="20"/>
          <w:color w:val="auto"/>
        </w:rPr>
      </w:pPr>
    </w:p>
    <w:p>
      <w:pPr>
        <w:ind w:right="100" w:firstLine="353"/>
        <w:spacing w:after="0" w:line="275" w:lineRule="auto"/>
        <w:rPr>
          <w:sz w:val="20"/>
          <w:szCs w:val="20"/>
          <w:color w:val="auto"/>
        </w:rPr>
      </w:pPr>
      <w:r>
        <w:rPr>
          <w:rFonts w:ascii="Arial" w:cs="Arial" w:eastAsia="Arial" w:hAnsi="Arial"/>
          <w:sz w:val="13"/>
          <w:szCs w:val="13"/>
          <w:i w:val="1"/>
          <w:iCs w:val="1"/>
          <w:color w:val="auto"/>
        </w:rPr>
        <w:t xml:space="preserve">Total Revenues. </w:t>
      </w:r>
      <w:r>
        <w:rPr>
          <w:rFonts w:ascii="Arial" w:cs="Arial" w:eastAsia="Arial" w:hAnsi="Arial"/>
          <w:sz w:val="13"/>
          <w:szCs w:val="13"/>
          <w:color w:val="auto"/>
        </w:rPr>
        <w:t>Total revenues decreased $19.0 million, or 23%, to $65.1 million compared with $84.1 million for 2019. The decrease was attributable to a $19.0 million decrease in asset-based advisory fees</w:t>
      </w:r>
      <w:r>
        <w:rPr>
          <w:rFonts w:ascii="Arial" w:cs="Arial" w:eastAsia="Arial" w:hAnsi="Arial"/>
          <w:sz w:val="13"/>
          <w:szCs w:val="13"/>
          <w:i w:val="1"/>
          <w:iCs w:val="1"/>
          <w:color w:val="auto"/>
        </w:rPr>
        <w:t xml:space="preserve"> </w:t>
      </w:r>
      <w:r>
        <w:rPr>
          <w:rFonts w:ascii="Arial" w:cs="Arial" w:eastAsia="Arial" w:hAnsi="Arial"/>
          <w:sz w:val="13"/>
          <w:szCs w:val="13"/>
          <w:color w:val="auto"/>
        </w:rPr>
        <w:t>and a $1.9 million decrease in Trust fees, reflecting lower average AUM compared to 2019, partially offset by a $2.0 million increase in performance-based advisory fees.</w:t>
      </w:r>
    </w:p>
    <w:p>
      <w:pPr>
        <w:spacing w:after="0" w:line="49" w:lineRule="exact"/>
        <w:rPr>
          <w:sz w:val="20"/>
          <w:szCs w:val="20"/>
          <w:color w:val="auto"/>
        </w:rPr>
      </w:pPr>
    </w:p>
    <w:p>
      <w:pPr>
        <w:ind w:right="120" w:firstLine="353"/>
        <w:spacing w:after="0" w:line="275" w:lineRule="auto"/>
        <w:rPr>
          <w:sz w:val="20"/>
          <w:szCs w:val="20"/>
          <w:color w:val="auto"/>
        </w:rPr>
      </w:pPr>
      <w:r>
        <w:rPr>
          <w:rFonts w:ascii="Arial" w:cs="Arial" w:eastAsia="Arial" w:hAnsi="Arial"/>
          <w:sz w:val="13"/>
          <w:szCs w:val="13"/>
          <w:i w:val="1"/>
          <w:iCs w:val="1"/>
          <w:color w:val="auto"/>
        </w:rPr>
        <w:t xml:space="preserve">Employee Compensation and Benefits. </w:t>
      </w:r>
      <w:r>
        <w:rPr>
          <w:rFonts w:ascii="Arial" w:cs="Arial" w:eastAsia="Arial" w:hAnsi="Arial"/>
          <w:sz w:val="13"/>
          <w:szCs w:val="13"/>
          <w:color w:val="auto"/>
        </w:rPr>
        <w:t>Employee compensation and benefit costs decreased $8.0 million, or 16.0%, to $42.1 million compared with $50.2 million in 2019 primarily due to reductions in short-and long-term incentive compensation as a result of lower asset-based revenues versus the prior year, and lower headcount.</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 xml:space="preserve">Sales and marketing. </w:t>
      </w:r>
      <w:r>
        <w:rPr>
          <w:rFonts w:ascii="Arial" w:cs="Arial" w:eastAsia="Arial" w:hAnsi="Arial"/>
          <w:sz w:val="12"/>
          <w:szCs w:val="12"/>
          <w:color w:val="auto"/>
        </w:rPr>
        <w:t>Sales and marketing expenses decreased $0.9 million, or 42%, to $1.2 million compared with $2.1 million for 2019 primarily due to lower travel costs as a result of COVID-19.</w:t>
      </w:r>
    </w:p>
    <w:p>
      <w:pPr>
        <w:spacing w:after="0" w:line="97" w:lineRule="exact"/>
        <w:rPr>
          <w:sz w:val="20"/>
          <w:szCs w:val="20"/>
          <w:color w:val="auto"/>
        </w:rPr>
      </w:pPr>
    </w:p>
    <w:p>
      <w:pPr>
        <w:ind w:right="220" w:firstLine="353"/>
        <w:spacing w:after="0" w:line="275" w:lineRule="auto"/>
        <w:rPr>
          <w:sz w:val="20"/>
          <w:szCs w:val="20"/>
          <w:color w:val="auto"/>
        </w:rPr>
      </w:pPr>
      <w:r>
        <w:rPr>
          <w:rFonts w:ascii="Arial" w:cs="Arial" w:eastAsia="Arial" w:hAnsi="Arial"/>
          <w:sz w:val="13"/>
          <w:szCs w:val="13"/>
          <w:i w:val="1"/>
          <w:iCs w:val="1"/>
          <w:color w:val="auto"/>
        </w:rPr>
        <w:t>Westwood Mutual Funds</w:t>
      </w:r>
      <w:r>
        <w:rPr>
          <w:rFonts w:ascii="Arial" w:cs="Arial" w:eastAsia="Arial" w:hAnsi="Arial"/>
          <w:sz w:val="13"/>
          <w:szCs w:val="13"/>
          <w:color w:val="auto"/>
        </w:rPr>
        <w:t>. Westwood mutual funds expenses decreased 46% to $1.7 million compared to $3.1 million for 2019 primarily due to lower service fees following declines in market values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Westwood funds.</w:t>
      </w:r>
    </w:p>
    <w:p>
      <w:pPr>
        <w:spacing w:after="0" w:line="49" w:lineRule="exact"/>
        <w:rPr>
          <w:sz w:val="20"/>
          <w:szCs w:val="20"/>
          <w:color w:val="auto"/>
        </w:rPr>
      </w:pPr>
    </w:p>
    <w:p>
      <w:pPr>
        <w:ind w:right="180" w:firstLine="353"/>
        <w:spacing w:after="0" w:line="275" w:lineRule="auto"/>
        <w:rPr>
          <w:sz w:val="20"/>
          <w:szCs w:val="20"/>
          <w:color w:val="auto"/>
        </w:rPr>
      </w:pPr>
      <w:r>
        <w:rPr>
          <w:rFonts w:ascii="Arial" w:cs="Arial" w:eastAsia="Arial" w:hAnsi="Arial"/>
          <w:sz w:val="13"/>
          <w:szCs w:val="13"/>
          <w:i w:val="1"/>
          <w:iCs w:val="1"/>
          <w:color w:val="auto"/>
        </w:rPr>
        <w:t xml:space="preserve">Impairment Expense. </w:t>
      </w:r>
      <w:r>
        <w:rPr>
          <w:rFonts w:ascii="Arial" w:cs="Arial" w:eastAsia="Arial" w:hAnsi="Arial"/>
          <w:sz w:val="13"/>
          <w:szCs w:val="13"/>
          <w:color w:val="auto"/>
        </w:rPr>
        <w:t>Following a sustained decline in our market capitalization, we recorded impairment charges of $3.4 million in 2020 based on our determination that the entire goodwill in our Advisory</w:t>
      </w:r>
      <w:r>
        <w:rPr>
          <w:rFonts w:ascii="Arial" w:cs="Arial" w:eastAsia="Arial" w:hAnsi="Arial"/>
          <w:sz w:val="13"/>
          <w:szCs w:val="13"/>
          <w:i w:val="1"/>
          <w:iCs w:val="1"/>
          <w:color w:val="auto"/>
        </w:rPr>
        <w:t xml:space="preserve"> </w:t>
      </w:r>
      <w:r>
        <w:rPr>
          <w:rFonts w:ascii="Arial" w:cs="Arial" w:eastAsia="Arial" w:hAnsi="Arial"/>
          <w:sz w:val="13"/>
          <w:szCs w:val="13"/>
          <w:color w:val="auto"/>
        </w:rPr>
        <w:t>segment was impaired.</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 xml:space="preserve">(Gain) loss on foreign currency transactions. </w:t>
      </w:r>
      <w:r>
        <w:rPr>
          <w:rFonts w:ascii="Arial" w:cs="Arial" w:eastAsia="Arial" w:hAnsi="Arial"/>
          <w:sz w:val="13"/>
          <w:szCs w:val="13"/>
          <w:color w:val="auto"/>
        </w:rPr>
        <w:t>We recorded $1.2 million foreign currency transaction gains in 2020 as a result of fluctuations in the Canadian dollar exchange rate.</w:t>
      </w:r>
    </w:p>
    <w:p>
      <w:pPr>
        <w:spacing w:after="0" w:line="86" w:lineRule="exact"/>
        <w:rPr>
          <w:sz w:val="20"/>
          <w:szCs w:val="20"/>
          <w:color w:val="auto"/>
        </w:rPr>
      </w:pPr>
    </w:p>
    <w:p>
      <w:pPr>
        <w:ind w:right="220" w:firstLine="353"/>
        <w:spacing w:after="0" w:line="369" w:lineRule="auto"/>
        <w:rPr>
          <w:sz w:val="20"/>
          <w:szCs w:val="20"/>
          <w:color w:val="auto"/>
        </w:rPr>
      </w:pPr>
      <w:r>
        <w:rPr>
          <w:rFonts w:ascii="Arial" w:cs="Arial" w:eastAsia="Arial" w:hAnsi="Arial"/>
          <w:sz w:val="11"/>
          <w:szCs w:val="11"/>
          <w:i w:val="1"/>
          <w:iCs w:val="1"/>
          <w:color w:val="auto"/>
        </w:rPr>
        <w:t xml:space="preserve">Unrealized gains (losses) on private investments. </w:t>
      </w:r>
      <w:r>
        <w:rPr>
          <w:rFonts w:ascii="Arial" w:cs="Arial" w:eastAsia="Arial" w:hAnsi="Arial"/>
          <w:sz w:val="11"/>
          <w:szCs w:val="11"/>
          <w:color w:val="auto"/>
        </w:rPr>
        <w:t>We recorded $0.7 million of unrealized losses on private investments in 2020 primarily related to a $0.5 million market value decrease in our investment in</w:t>
      </w:r>
      <w:r>
        <w:rPr>
          <w:rFonts w:ascii="Arial" w:cs="Arial" w:eastAsia="Arial" w:hAnsi="Arial"/>
          <w:sz w:val="11"/>
          <w:szCs w:val="11"/>
          <w:i w:val="1"/>
          <w:iCs w:val="1"/>
          <w:color w:val="auto"/>
        </w:rPr>
        <w:t xml:space="preserve"> </w:t>
      </w:r>
      <w:r>
        <w:rPr>
          <w:rFonts w:ascii="Arial" w:cs="Arial" w:eastAsia="Arial" w:hAnsi="Arial"/>
          <w:sz w:val="11"/>
          <w:szCs w:val="11"/>
          <w:color w:val="auto"/>
        </w:rPr>
        <w:t>Charis. Further information is included in Note 5 "Investments" to our Consolidated Financial Statements included in Part II, Item 8, "Financial Statements and Supplementary Data" accompanying this Report.</w:t>
      </w:r>
    </w:p>
    <w:p>
      <w:pPr>
        <w:spacing w:after="0" w:line="3" w:lineRule="exact"/>
        <w:rPr>
          <w:sz w:val="20"/>
          <w:szCs w:val="20"/>
          <w:color w:val="auto"/>
        </w:rPr>
      </w:pPr>
    </w:p>
    <w:p>
      <w:pPr>
        <w:ind w:right="520" w:firstLine="353"/>
        <w:spacing w:after="0" w:line="275" w:lineRule="auto"/>
        <w:rPr>
          <w:sz w:val="20"/>
          <w:szCs w:val="20"/>
          <w:color w:val="auto"/>
        </w:rPr>
      </w:pPr>
      <w:r>
        <w:rPr>
          <w:rFonts w:ascii="Arial" w:cs="Arial" w:eastAsia="Arial" w:hAnsi="Arial"/>
          <w:sz w:val="13"/>
          <w:szCs w:val="13"/>
          <w:i w:val="1"/>
          <w:iCs w:val="1"/>
          <w:color w:val="auto"/>
        </w:rPr>
        <w:t xml:space="preserve">Foreign currency translation adjustments to net income (loss) upon liquidation of a foreign subsidiary. </w:t>
      </w:r>
      <w:r>
        <w:rPr>
          <w:rFonts w:ascii="Arial" w:cs="Arial" w:eastAsia="Arial" w:hAnsi="Arial"/>
          <w:sz w:val="13"/>
          <w:szCs w:val="13"/>
          <w:color w:val="auto"/>
        </w:rPr>
        <w:t>We recorded a cumulative foreign currency translation adjustment of $4.2 million following the</w:t>
      </w:r>
      <w:r>
        <w:rPr>
          <w:rFonts w:ascii="Arial" w:cs="Arial" w:eastAsia="Arial" w:hAnsi="Arial"/>
          <w:sz w:val="13"/>
          <w:szCs w:val="13"/>
          <w:i w:val="1"/>
          <w:iCs w:val="1"/>
          <w:color w:val="auto"/>
        </w:rPr>
        <w:t xml:space="preserve"> </w:t>
      </w:r>
      <w:r>
        <w:rPr>
          <w:rFonts w:ascii="Arial" w:cs="Arial" w:eastAsia="Arial" w:hAnsi="Arial"/>
          <w:sz w:val="13"/>
          <w:szCs w:val="13"/>
          <w:color w:val="auto"/>
        </w:rPr>
        <w:t>liquidation of Westwood International Advisors in 2020.</w:t>
      </w:r>
    </w:p>
    <w:p>
      <w:pPr>
        <w:spacing w:after="0" w:line="49" w:lineRule="exact"/>
        <w:rPr>
          <w:sz w:val="20"/>
          <w:szCs w:val="20"/>
          <w:color w:val="auto"/>
        </w:rPr>
      </w:pPr>
    </w:p>
    <w:p>
      <w:pPr>
        <w:ind w:right="60" w:firstLine="353"/>
        <w:spacing w:after="0" w:line="295" w:lineRule="auto"/>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The effective tax rate was (17.9)% for 2020 compared to 37.1% for 2019. Our income tax rate differed from the 21% statutory rate for 2020, which would have generated a tax</w:t>
      </w:r>
      <w:r>
        <w:rPr>
          <w:rFonts w:ascii="Arial" w:cs="Arial" w:eastAsia="Arial" w:hAnsi="Arial"/>
          <w:sz w:val="12"/>
          <w:szCs w:val="12"/>
          <w:i w:val="1"/>
          <w:iCs w:val="1"/>
          <w:color w:val="auto"/>
        </w:rPr>
        <w:t xml:space="preserve"> </w:t>
      </w:r>
      <w:r>
        <w:rPr>
          <w:rFonts w:ascii="Arial" w:cs="Arial" w:eastAsia="Arial" w:hAnsi="Arial"/>
          <w:sz w:val="12"/>
          <w:szCs w:val="12"/>
          <w:color w:val="auto"/>
        </w:rPr>
        <w:t>benefit to the Company, primarily due to the Canadian withholding tax on repatriation of funds from Westwood International Advisors, permanent differences between book and tax restricted stock expense based on a decrease in our stock price between the grant and vesting dates, and permanent differences related to foreign currency losses and goodwill impairment, partially offset by a state tax refund.</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Supplemental Financial Information</w:t>
      </w:r>
    </w:p>
    <w:p>
      <w:pPr>
        <w:spacing w:after="0" w:line="90" w:lineRule="exact"/>
        <w:rPr>
          <w:sz w:val="20"/>
          <w:szCs w:val="20"/>
          <w:color w:val="auto"/>
        </w:rPr>
      </w:pPr>
    </w:p>
    <w:p>
      <w:pPr>
        <w:ind w:right="40" w:firstLine="353"/>
        <w:spacing w:after="0" w:line="316" w:lineRule="auto"/>
        <w:rPr>
          <w:sz w:val="20"/>
          <w:szCs w:val="20"/>
          <w:color w:val="auto"/>
        </w:rPr>
      </w:pPr>
      <w:r>
        <w:rPr>
          <w:rFonts w:ascii="Arial" w:cs="Arial" w:eastAsia="Arial" w:hAnsi="Arial"/>
          <w:sz w:val="11"/>
          <w:szCs w:val="11"/>
          <w:color w:val="auto"/>
        </w:rPr>
        <w:t>As supplemental information, we are providing non-GAAP performance measures that we refer to as Economic Earnings and Economic EPS. We provide these measures in addition to, but not as a substitute for, net income (loss) and earnings (loss) per share, which are reported on a generally accepted accounting principles ("GAAP") basis. Our management and Board of Directors review Economic Earnings and Economic EPS to evaluate our ongoing performance, allocate resources, and review our dividend policy. We believe that these non-GAAP performance measures, while not substitutes for GAAP net income (loss) or</w:t>
      </w:r>
    </w:p>
    <w:p>
      <w:pPr>
        <w:ind w:right="120"/>
        <w:spacing w:after="0" w:line="275" w:lineRule="auto"/>
        <w:rPr>
          <w:sz w:val="20"/>
          <w:szCs w:val="20"/>
          <w:color w:val="auto"/>
        </w:rPr>
      </w:pPr>
      <w:r>
        <w:rPr>
          <w:rFonts w:ascii="Arial" w:cs="Arial" w:eastAsia="Arial" w:hAnsi="Arial"/>
          <w:sz w:val="13"/>
          <w:szCs w:val="13"/>
          <w:color w:val="auto"/>
        </w:rPr>
        <w:t>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31" w:name="page32"/>
    <w:bookmarkEnd w:id="31"/>
    <w:p>
      <w:pPr>
        <w:ind w:right="100" w:firstLine="353"/>
        <w:spacing w:after="0" w:line="259" w:lineRule="auto"/>
        <w:rPr>
          <w:sz w:val="20"/>
          <w:szCs w:val="20"/>
          <w:color w:val="auto"/>
        </w:rPr>
      </w:pPr>
      <w:r>
        <w:rPr>
          <w:rFonts w:ascii="Arial" w:cs="Arial" w:eastAsia="Arial" w:hAnsi="Arial"/>
          <w:sz w:val="13"/>
          <w:szCs w:val="13"/>
          <w:color w:val="auto"/>
        </w:rPr>
        <w:t>We define Economic Earnings as net income (loss) plus non-cash stock-based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60" w:lineRule="exact"/>
        <w:rPr>
          <w:sz w:val="20"/>
          <w:szCs w:val="20"/>
          <w:color w:val="auto"/>
        </w:rPr>
      </w:pPr>
    </w:p>
    <w:p>
      <w:pPr>
        <w:ind w:right="160" w:firstLine="353"/>
        <w:spacing w:after="0" w:line="275" w:lineRule="auto"/>
        <w:rPr>
          <w:sz w:val="20"/>
          <w:szCs w:val="20"/>
          <w:color w:val="auto"/>
        </w:rPr>
      </w:pPr>
      <w:r>
        <w:rPr>
          <w:rFonts w:ascii="Arial" w:cs="Arial" w:eastAsia="Arial" w:hAnsi="Arial"/>
          <w:sz w:val="13"/>
          <w:szCs w:val="13"/>
          <w:color w:val="auto"/>
        </w:rPr>
        <w:t>For the year ended December 31, 2021, our Economic Earnings increased by 140% to $17.5 million compared with $7.3 million for the year ended December 31, 2020. 2021 was impacted by higher revenues due to an increase in quarterly average AUM and realized gains on private investments, partially offset by unrealized depreciation on private investments.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provides a reconciliation of net income to Economic Earnings:</w:t>
      </w:r>
    </w:p>
    <w:p>
      <w:pPr>
        <w:spacing w:after="0" w:line="24" w:lineRule="exact"/>
        <w:rPr>
          <w:sz w:val="20"/>
          <w:szCs w:val="20"/>
          <w:color w:val="auto"/>
        </w:rPr>
      </w:pPr>
    </w:p>
    <w:p>
      <w:pPr>
        <w:ind w:left="5540"/>
        <w:spacing w:after="0"/>
        <w:rPr>
          <w:sz w:val="20"/>
          <w:szCs w:val="20"/>
          <w:color w:val="auto"/>
        </w:rPr>
      </w:pPr>
      <w:r>
        <w:rPr>
          <w:rFonts w:ascii="Arial" w:cs="Arial" w:eastAsia="Arial" w:hAnsi="Arial"/>
          <w:sz w:val="10"/>
          <w:szCs w:val="10"/>
          <w:b w:val="1"/>
          <w:bCs w:val="1"/>
          <w:color w:val="auto"/>
        </w:rPr>
        <w:t>For the years ended December 31,</w:t>
      </w:r>
    </w:p>
    <w:tbl>
      <w:tblPr>
        <w:tblLayout w:type="fixed"/>
        <w:tblInd w:w="0" w:type="dxa"/>
        <w:tblCellMar>
          <w:top w:w="0" w:type="dxa"/>
          <w:left w:w="0" w:type="dxa"/>
          <w:bottom w:w="0" w:type="dxa"/>
          <w:right w:w="0" w:type="dxa"/>
        </w:tblCellMar>
      </w:tblPr>
      <w:tr>
        <w:trPr>
          <w:trHeight w:val="132"/>
        </w:trPr>
        <w:tc>
          <w:tcPr>
            <w:tcW w:w="9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gridSpan w:val="7"/>
          </w:tcPr>
          <w:p>
            <w:pPr>
              <w:jc w:val="right"/>
              <w:ind w:right="144"/>
              <w:spacing w:after="0"/>
              <w:rPr>
                <w:sz w:val="20"/>
                <w:szCs w:val="20"/>
                <w:color w:val="auto"/>
              </w:rPr>
            </w:pPr>
            <w:r>
              <w:rPr>
                <w:rFonts w:ascii="Arial" w:cs="Arial" w:eastAsia="Arial" w:hAnsi="Arial"/>
                <w:sz w:val="10"/>
                <w:szCs w:val="10"/>
                <w:b w:val="1"/>
                <w:bCs w:val="1"/>
                <w:color w:val="auto"/>
              </w:rPr>
              <w:t>(in thousands, except percentages and per share data)</w:t>
            </w: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0"/>
                <w:szCs w:val="10"/>
                <w:b w:val="1"/>
                <w:bCs w:val="1"/>
                <w:color w:val="auto"/>
              </w:rPr>
              <w:t>Change</w:t>
            </w:r>
          </w:p>
        </w:tc>
        <w:tc>
          <w:tcPr>
            <w:tcW w:w="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Change</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2019</w:t>
            </w:r>
          </w:p>
        </w:tc>
        <w:tc>
          <w:tcPr>
            <w:tcW w:w="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0"/>
                <w:szCs w:val="10"/>
                <w:b w:val="1"/>
                <w:bCs w:val="1"/>
                <w:color w:val="auto"/>
              </w:rPr>
              <w:t>Change</w:t>
            </w: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2018</w:t>
            </w:r>
          </w:p>
        </w:tc>
        <w:tc>
          <w:tcPr>
            <w:tcW w:w="6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0"/>
                <w:szCs w:val="10"/>
                <w:b w:val="1"/>
                <w:bCs w:val="1"/>
                <w:color w:val="auto"/>
              </w:rPr>
              <w:t>Change</w:t>
            </w:r>
          </w:p>
        </w:tc>
        <w:tc>
          <w:tcPr>
            <w:tcW w:w="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99"/>
        </w:trPr>
        <w:tc>
          <w:tcPr>
            <w:tcW w:w="900" w:type="dxa"/>
            <w:vAlign w:val="bottom"/>
            <w:shd w:val="clear" w:color="auto" w:fill="CCEEFF"/>
          </w:tcPr>
          <w:p>
            <w:pPr>
              <w:ind w:left="360"/>
              <w:spacing w:after="0" w:line="100" w:lineRule="exact"/>
              <w:rPr>
                <w:sz w:val="20"/>
                <w:szCs w:val="20"/>
                <w:color w:val="auto"/>
              </w:rPr>
            </w:pPr>
            <w:r>
              <w:rPr>
                <w:rFonts w:ascii="Arial" w:cs="Arial" w:eastAsia="Arial" w:hAnsi="Arial"/>
                <w:sz w:val="11"/>
                <w:szCs w:val="11"/>
                <w:b w:val="1"/>
                <w:bCs w:val="1"/>
                <w:color w:val="auto"/>
              </w:rPr>
              <w:t>Net</w:t>
            </w:r>
          </w:p>
        </w:tc>
        <w:tc>
          <w:tcPr>
            <w:tcW w:w="5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9,763</w:t>
            </w:r>
          </w:p>
        </w:tc>
        <w:tc>
          <w:tcPr>
            <w:tcW w:w="82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2"/>
                <w:szCs w:val="12"/>
                <w:color w:val="auto"/>
              </w:rPr>
              <w:t>(209)</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(8,947)</w:t>
            </w:r>
          </w:p>
        </w:tc>
        <w:tc>
          <w:tcPr>
            <w:tcW w:w="1000" w:type="dxa"/>
            <w:vAlign w:val="bottom"/>
            <w:gridSpan w:val="2"/>
            <w:vMerge w:val="restart"/>
            <w:shd w:val="clear" w:color="auto" w:fill="CCEEFF"/>
          </w:tcPr>
          <w:p>
            <w:pPr>
              <w:jc w:val="right"/>
              <w:ind w:right="263"/>
              <w:spacing w:after="0"/>
              <w:rPr>
                <w:sz w:val="20"/>
                <w:szCs w:val="20"/>
                <w:color w:val="auto"/>
              </w:rPr>
            </w:pPr>
            <w:r>
              <w:rPr>
                <w:rFonts w:ascii="Arial" w:cs="Arial" w:eastAsia="Arial" w:hAnsi="Arial"/>
                <w:sz w:val="12"/>
                <w:szCs w:val="12"/>
                <w:color w:val="auto"/>
              </w:rPr>
              <w:t>(251)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5,911</w:t>
            </w:r>
          </w:p>
        </w:tc>
        <w:tc>
          <w:tcPr>
            <w:tcW w:w="76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2"/>
                <w:szCs w:val="12"/>
                <w:color w:val="auto"/>
              </w:rPr>
              <w:t>(78)</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26,751</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2"/>
                <w:szCs w:val="12"/>
                <w:color w:val="auto"/>
              </w:rPr>
              <w:t>34</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19,989</w:t>
            </w:r>
          </w:p>
        </w:tc>
        <w:tc>
          <w:tcPr>
            <w:tcW w:w="0" w:type="dxa"/>
            <w:vAlign w:val="bottom"/>
          </w:tcPr>
          <w:p>
            <w:pPr>
              <w:spacing w:after="0"/>
              <w:rPr>
                <w:sz w:val="1"/>
                <w:szCs w:val="1"/>
                <w:color w:val="auto"/>
              </w:rPr>
            </w:pPr>
          </w:p>
        </w:tc>
      </w:tr>
      <w:tr>
        <w:trPr>
          <w:trHeight w:val="156"/>
        </w:trPr>
        <w:tc>
          <w:tcPr>
            <w:tcW w:w="900" w:type="dxa"/>
            <w:vAlign w:val="bottom"/>
            <w:tcBorders>
              <w:bottom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b w:val="1"/>
                <w:bCs w:val="1"/>
                <w:color w:val="auto"/>
              </w:rPr>
              <w:t>Income (Loss)</w:t>
            </w: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3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CCEEFF"/>
            </w:tcBorders>
            <w:gridSpan w:val="2"/>
            <w:vMerge w:val="continue"/>
            <w:shd w:val="clear" w:color="auto" w:fill="CCEEFF"/>
          </w:tcPr>
          <w:p>
            <w:pPr>
              <w:spacing w:after="0"/>
              <w:rPr>
                <w:sz w:val="13"/>
                <w:szCs w:val="13"/>
                <w:color w:val="auto"/>
              </w:rPr>
            </w:pPr>
          </w:p>
        </w:tc>
        <w:tc>
          <w:tcPr>
            <w:tcW w:w="32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CCEEFF"/>
            </w:tcBorders>
            <w:gridSpan w:val="2"/>
            <w:vMerge w:val="continue"/>
            <w:shd w:val="clear" w:color="auto" w:fill="CCEEFF"/>
          </w:tcPr>
          <w:p>
            <w:pPr>
              <w:spacing w:after="0"/>
              <w:rPr>
                <w:sz w:val="13"/>
                <w:szCs w:val="13"/>
                <w:color w:val="auto"/>
              </w:rPr>
            </w:pPr>
          </w:p>
        </w:tc>
        <w:tc>
          <w:tcPr>
            <w:tcW w:w="3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900" w:type="dxa"/>
            <w:vAlign w:val="bottom"/>
          </w:tcPr>
          <w:p>
            <w:pPr>
              <w:ind w:left="520"/>
              <w:spacing w:after="0" w:line="100" w:lineRule="exact"/>
              <w:rPr>
                <w:sz w:val="20"/>
                <w:szCs w:val="20"/>
                <w:color w:val="auto"/>
              </w:rPr>
            </w:pPr>
            <w:r>
              <w:rPr>
                <w:rFonts w:ascii="Arial" w:cs="Arial" w:eastAsia="Arial" w:hAnsi="Arial"/>
                <w:sz w:val="11"/>
                <w:szCs w:val="11"/>
                <w:color w:val="auto"/>
              </w:rPr>
              <w:t>Add:</w:t>
            </w: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900" w:type="dxa"/>
            <w:vAlign w:val="bottom"/>
          </w:tcPr>
          <w:p>
            <w:pPr>
              <w:ind w:left="160"/>
              <w:spacing w:after="0" w:line="118" w:lineRule="exact"/>
              <w:rPr>
                <w:sz w:val="20"/>
                <w:szCs w:val="20"/>
                <w:color w:val="auto"/>
              </w:rPr>
            </w:pPr>
            <w:r>
              <w:rPr>
                <w:rFonts w:ascii="Arial" w:cs="Arial" w:eastAsia="Arial" w:hAnsi="Arial"/>
                <w:sz w:val="12"/>
                <w:szCs w:val="12"/>
                <w:color w:val="auto"/>
              </w:rPr>
              <w:t>Stock-based</w:t>
            </w: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tcPr>
          <w:p>
            <w:pPr>
              <w:ind w:left="160"/>
              <w:spacing w:after="0" w:line="118" w:lineRule="exact"/>
              <w:rPr>
                <w:sz w:val="20"/>
                <w:szCs w:val="20"/>
                <w:color w:val="auto"/>
              </w:rPr>
            </w:pPr>
            <w:r>
              <w:rPr>
                <w:rFonts w:ascii="Arial" w:cs="Arial" w:eastAsia="Arial" w:hAnsi="Arial"/>
                <w:sz w:val="12"/>
                <w:szCs w:val="12"/>
                <w:color w:val="auto"/>
                <w:w w:val="96"/>
              </w:rPr>
              <w:t>compensation</w:t>
            </w: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5,834</w:t>
            </w:r>
          </w:p>
        </w:tc>
        <w:tc>
          <w:tcPr>
            <w:tcW w:w="82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(13)</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6,701</w:t>
            </w:r>
          </w:p>
        </w:tc>
        <w:tc>
          <w:tcPr>
            <w:tcW w:w="1000" w:type="dxa"/>
            <w:vAlign w:val="bottom"/>
            <w:gridSpan w:val="2"/>
            <w:vMerge w:val="restart"/>
          </w:tcPr>
          <w:p>
            <w:pPr>
              <w:jc w:val="right"/>
              <w:ind w:right="263"/>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10,305</w:t>
            </w:r>
          </w:p>
        </w:tc>
        <w:tc>
          <w:tcPr>
            <w:tcW w:w="76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(33)</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15,283</w:t>
            </w:r>
          </w:p>
        </w:tc>
        <w:tc>
          <w:tcPr>
            <w:tcW w:w="760" w:type="dxa"/>
            <w:vAlign w:val="bottom"/>
            <w:gridSpan w:val="2"/>
            <w:vMerge w:val="restart"/>
          </w:tcPr>
          <w:p>
            <w:pPr>
              <w:ind w:left="480"/>
              <w:spacing w:after="0"/>
              <w:rPr>
                <w:sz w:val="20"/>
                <w:szCs w:val="20"/>
                <w:color w:val="auto"/>
              </w:rPr>
            </w:pPr>
            <w:r>
              <w:rPr>
                <w:rFonts w:ascii="Arial" w:cs="Arial" w:eastAsia="Arial" w:hAnsi="Arial"/>
                <w:sz w:val="12"/>
                <w:szCs w:val="12"/>
                <w:color w:val="auto"/>
              </w:rPr>
              <w:t>(7)</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16,430</w:t>
            </w:r>
          </w:p>
        </w:tc>
        <w:tc>
          <w:tcPr>
            <w:tcW w:w="0" w:type="dxa"/>
            <w:vAlign w:val="bottom"/>
          </w:tcPr>
          <w:p>
            <w:pPr>
              <w:spacing w:after="0"/>
              <w:rPr>
                <w:sz w:val="1"/>
                <w:szCs w:val="1"/>
                <w:color w:val="auto"/>
              </w:rPr>
            </w:pPr>
          </w:p>
        </w:tc>
      </w:tr>
      <w:tr>
        <w:trPr>
          <w:trHeight w:val="151"/>
        </w:trPr>
        <w:tc>
          <w:tcPr>
            <w:tcW w:w="900" w:type="dxa"/>
            <w:vAlign w:val="bottom"/>
          </w:tcPr>
          <w:p>
            <w:pPr>
              <w:ind w:left="160"/>
              <w:spacing w:after="0"/>
              <w:rPr>
                <w:sz w:val="20"/>
                <w:szCs w:val="20"/>
                <w:color w:val="auto"/>
              </w:rPr>
            </w:pPr>
            <w:r>
              <w:rPr>
                <w:rFonts w:ascii="Arial" w:cs="Arial" w:eastAsia="Arial" w:hAnsi="Arial"/>
                <w:sz w:val="12"/>
                <w:szCs w:val="12"/>
                <w:color w:val="auto"/>
              </w:rPr>
              <w:t>expense</w:t>
            </w: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00" w:type="dxa"/>
            <w:vAlign w:val="bottom"/>
            <w:shd w:val="clear" w:color="auto" w:fill="CCEEFF"/>
          </w:tcPr>
          <w:p>
            <w:pPr>
              <w:ind w:left="520"/>
              <w:spacing w:after="0" w:line="123" w:lineRule="exact"/>
              <w:rPr>
                <w:sz w:val="20"/>
                <w:szCs w:val="20"/>
                <w:color w:val="auto"/>
              </w:rPr>
            </w:pPr>
            <w:r>
              <w:rPr>
                <w:rFonts w:ascii="Arial" w:cs="Arial" w:eastAsia="Arial" w:hAnsi="Arial"/>
                <w:sz w:val="12"/>
                <w:szCs w:val="12"/>
                <w:color w:val="auto"/>
              </w:rPr>
              <w:t>Add:</w:t>
            </w: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Impairment</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3,403</w:t>
            </w:r>
          </w:p>
        </w:tc>
        <w:tc>
          <w:tcPr>
            <w:tcW w:w="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63"/>
              <w:spacing w:after="0"/>
              <w:rPr>
                <w:sz w:val="20"/>
                <w:szCs w:val="20"/>
                <w:color w:val="auto"/>
              </w:rPr>
            </w:pPr>
            <w:r>
              <w:rPr>
                <w:rFonts w:ascii="Arial" w:cs="Arial" w:eastAsia="Arial" w:hAnsi="Arial"/>
                <w:sz w:val="12"/>
                <w:szCs w:val="12"/>
                <w:color w:val="auto"/>
              </w:rPr>
              <w:t>NM</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NM</w:t>
            </w:r>
          </w:p>
        </w:tc>
        <w:tc>
          <w:tcPr>
            <w:tcW w:w="5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9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expense</w:t>
            </w: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00" w:type="dxa"/>
            <w:vAlign w:val="bottom"/>
          </w:tcPr>
          <w:p>
            <w:pPr>
              <w:ind w:left="520"/>
              <w:spacing w:after="0" w:line="121" w:lineRule="exact"/>
              <w:rPr>
                <w:sz w:val="20"/>
                <w:szCs w:val="20"/>
                <w:color w:val="auto"/>
              </w:rPr>
            </w:pPr>
            <w:r>
              <w:rPr>
                <w:rFonts w:ascii="Arial" w:cs="Arial" w:eastAsia="Arial" w:hAnsi="Arial"/>
                <w:sz w:val="12"/>
                <w:szCs w:val="12"/>
                <w:color w:val="auto"/>
              </w:rPr>
              <w:t>Add:</w:t>
            </w: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tcPr>
          <w:p>
            <w:pPr>
              <w:ind w:left="160"/>
              <w:spacing w:after="0" w:line="118" w:lineRule="exact"/>
              <w:rPr>
                <w:sz w:val="20"/>
                <w:szCs w:val="20"/>
                <w:color w:val="auto"/>
              </w:rPr>
            </w:pPr>
            <w:r>
              <w:rPr>
                <w:rFonts w:ascii="Arial" w:cs="Arial" w:eastAsia="Arial" w:hAnsi="Arial"/>
                <w:sz w:val="12"/>
                <w:szCs w:val="12"/>
                <w:color w:val="auto"/>
              </w:rPr>
              <w:t>Intangible</w:t>
            </w: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1,624</w:t>
            </w:r>
          </w:p>
        </w:tc>
        <w:tc>
          <w:tcPr>
            <w:tcW w:w="82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(6)</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1,721</w:t>
            </w:r>
          </w:p>
        </w:tc>
        <w:tc>
          <w:tcPr>
            <w:tcW w:w="60" w:type="dxa"/>
            <w:vAlign w:val="bottom"/>
          </w:tcPr>
          <w:p>
            <w:pPr>
              <w:spacing w:after="0"/>
              <w:rPr>
                <w:sz w:val="10"/>
                <w:szCs w:val="10"/>
                <w:color w:val="auto"/>
              </w:rPr>
            </w:pPr>
          </w:p>
        </w:tc>
        <w:tc>
          <w:tcPr>
            <w:tcW w:w="940" w:type="dxa"/>
            <w:vAlign w:val="bottom"/>
            <w:vMerge w:val="restart"/>
          </w:tcPr>
          <w:p>
            <w:pPr>
              <w:jc w:val="right"/>
              <w:ind w:right="30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1,726</w:t>
            </w:r>
          </w:p>
        </w:tc>
        <w:tc>
          <w:tcPr>
            <w:tcW w:w="760" w:type="dxa"/>
            <w:vAlign w:val="bottom"/>
            <w:gridSpan w:val="2"/>
            <w:vMerge w:val="restart"/>
          </w:tcPr>
          <w:p>
            <w:pPr>
              <w:jc w:val="right"/>
              <w:ind w:right="124"/>
              <w:spacing w:after="0"/>
              <w:rPr>
                <w:sz w:val="20"/>
                <w:szCs w:val="20"/>
                <w:color w:val="auto"/>
              </w:rPr>
            </w:pPr>
            <w:r>
              <w:rPr>
                <w:rFonts w:ascii="Arial" w:cs="Arial" w:eastAsia="Arial" w:hAnsi="Arial"/>
                <w:sz w:val="12"/>
                <w:szCs w:val="12"/>
                <w:color w:val="auto"/>
              </w:rPr>
              <w:t>3</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1,672</w:t>
            </w:r>
          </w:p>
        </w:tc>
        <w:tc>
          <w:tcPr>
            <w:tcW w:w="760" w:type="dxa"/>
            <w:vAlign w:val="bottom"/>
            <w:gridSpan w:val="2"/>
            <w:vMerge w:val="restart"/>
          </w:tcPr>
          <w:p>
            <w:pPr>
              <w:jc w:val="right"/>
              <w:ind w:right="88"/>
              <w:spacing w:after="0"/>
              <w:rPr>
                <w:sz w:val="20"/>
                <w:szCs w:val="20"/>
                <w:color w:val="auto"/>
              </w:rPr>
            </w:pPr>
            <w:r>
              <w:rPr>
                <w:rFonts w:ascii="Arial" w:cs="Arial" w:eastAsia="Arial" w:hAnsi="Arial"/>
                <w:sz w:val="12"/>
                <w:szCs w:val="12"/>
                <w:color w:val="auto"/>
              </w:rPr>
              <w:t>(11)</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1,872</w:t>
            </w:r>
          </w:p>
        </w:tc>
        <w:tc>
          <w:tcPr>
            <w:tcW w:w="0" w:type="dxa"/>
            <w:vAlign w:val="bottom"/>
          </w:tcPr>
          <w:p>
            <w:pPr>
              <w:spacing w:after="0"/>
              <w:rPr>
                <w:sz w:val="1"/>
                <w:szCs w:val="1"/>
                <w:color w:val="auto"/>
              </w:rPr>
            </w:pPr>
          </w:p>
        </w:tc>
      </w:tr>
      <w:tr>
        <w:trPr>
          <w:trHeight w:val="151"/>
        </w:trPr>
        <w:tc>
          <w:tcPr>
            <w:tcW w:w="900" w:type="dxa"/>
            <w:vAlign w:val="bottom"/>
          </w:tcPr>
          <w:p>
            <w:pPr>
              <w:ind w:left="160"/>
              <w:spacing w:after="0"/>
              <w:rPr>
                <w:sz w:val="20"/>
                <w:szCs w:val="20"/>
                <w:color w:val="auto"/>
              </w:rPr>
            </w:pPr>
            <w:r>
              <w:rPr>
                <w:rFonts w:ascii="Arial" w:cs="Arial" w:eastAsia="Arial" w:hAnsi="Arial"/>
                <w:sz w:val="12"/>
                <w:szCs w:val="12"/>
                <w:color w:val="auto"/>
              </w:rPr>
              <w:t>amortization</w:t>
            </w: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00" w:type="dxa"/>
            <w:vAlign w:val="bottom"/>
            <w:shd w:val="clear" w:color="auto" w:fill="CCEEFF"/>
          </w:tcPr>
          <w:p>
            <w:pPr>
              <w:ind w:left="520"/>
              <w:spacing w:after="0" w:line="123" w:lineRule="exact"/>
              <w:rPr>
                <w:sz w:val="20"/>
                <w:szCs w:val="20"/>
                <w:color w:val="auto"/>
              </w:rPr>
            </w:pPr>
            <w:r>
              <w:rPr>
                <w:rFonts w:ascii="Arial" w:cs="Arial" w:eastAsia="Arial" w:hAnsi="Arial"/>
                <w:sz w:val="12"/>
                <w:szCs w:val="12"/>
                <w:color w:val="auto"/>
              </w:rPr>
              <w:t>Add:</w:t>
            </w: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Currency</w:t>
            </w: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translation</w:t>
            </w: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adjustment</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4,169</w:t>
            </w:r>
          </w:p>
        </w:tc>
        <w:tc>
          <w:tcPr>
            <w:tcW w:w="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63"/>
              <w:spacing w:after="0"/>
              <w:rPr>
                <w:sz w:val="20"/>
                <w:szCs w:val="20"/>
                <w:color w:val="auto"/>
              </w:rPr>
            </w:pPr>
            <w:r>
              <w:rPr>
                <w:rFonts w:ascii="Arial" w:cs="Arial" w:eastAsia="Arial" w:hAnsi="Arial"/>
                <w:sz w:val="12"/>
                <w:szCs w:val="12"/>
                <w:color w:val="auto"/>
              </w:rPr>
              <w:t>NM</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NM</w:t>
            </w:r>
          </w:p>
        </w:tc>
        <w:tc>
          <w:tcPr>
            <w:tcW w:w="5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5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900" w:type="dxa"/>
            <w:vAlign w:val="bottom"/>
            <w:shd w:val="clear" w:color="auto" w:fill="CCEEFF"/>
          </w:tcPr>
          <w:p>
            <w:pPr>
              <w:ind w:left="160"/>
              <w:spacing w:after="0"/>
              <w:rPr>
                <w:sz w:val="20"/>
                <w:szCs w:val="20"/>
                <w:color w:val="auto"/>
              </w:rPr>
            </w:pPr>
            <w:r>
              <w:rPr>
                <w:rFonts w:ascii="Arial" w:cs="Arial" w:eastAsia="Arial" w:hAnsi="Arial"/>
                <w:sz w:val="12"/>
                <w:szCs w:val="12"/>
                <w:color w:val="auto"/>
                <w:w w:val="91"/>
              </w:rPr>
              <w:t>reclassification</w:t>
            </w: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00" w:type="dxa"/>
            <w:vAlign w:val="bottom"/>
          </w:tcPr>
          <w:p>
            <w:pPr>
              <w:ind w:left="520"/>
              <w:spacing w:after="0" w:line="121" w:lineRule="exact"/>
              <w:rPr>
                <w:sz w:val="20"/>
                <w:szCs w:val="20"/>
                <w:color w:val="auto"/>
              </w:rPr>
            </w:pPr>
            <w:r>
              <w:rPr>
                <w:rFonts w:ascii="Arial" w:cs="Arial" w:eastAsia="Arial" w:hAnsi="Arial"/>
                <w:sz w:val="12"/>
                <w:szCs w:val="12"/>
                <w:color w:val="auto"/>
              </w:rPr>
              <w:t>Add:</w:t>
            </w: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tcPr>
          <w:p>
            <w:pPr>
              <w:ind w:left="160"/>
              <w:spacing w:after="0" w:line="118" w:lineRule="exact"/>
              <w:rPr>
                <w:sz w:val="20"/>
                <w:szCs w:val="20"/>
                <w:color w:val="auto"/>
              </w:rPr>
            </w:pPr>
            <w:r>
              <w:rPr>
                <w:rFonts w:ascii="Arial" w:cs="Arial" w:eastAsia="Arial" w:hAnsi="Arial"/>
                <w:sz w:val="12"/>
                <w:szCs w:val="12"/>
                <w:color w:val="auto"/>
              </w:rPr>
              <w:t>Tax benefit</w:t>
            </w: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tcPr>
          <w:p>
            <w:pPr>
              <w:ind w:left="160"/>
              <w:spacing w:after="0" w:line="118" w:lineRule="exact"/>
              <w:rPr>
                <w:sz w:val="20"/>
                <w:szCs w:val="20"/>
                <w:color w:val="auto"/>
              </w:rPr>
            </w:pPr>
            <w:r>
              <w:rPr>
                <w:rFonts w:ascii="Arial" w:cs="Arial" w:eastAsia="Arial" w:hAnsi="Arial"/>
                <w:sz w:val="12"/>
                <w:szCs w:val="12"/>
                <w:color w:val="auto"/>
              </w:rPr>
              <w:t>from goodwill</w:t>
            </w: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237</w:t>
            </w:r>
          </w:p>
        </w:tc>
        <w:tc>
          <w:tcPr>
            <w:tcW w:w="60" w:type="dxa"/>
            <w:vAlign w:val="bottom"/>
          </w:tcPr>
          <w:p>
            <w:pPr>
              <w:spacing w:after="0"/>
              <w:rPr>
                <w:sz w:val="10"/>
                <w:szCs w:val="10"/>
                <w:color w:val="auto"/>
              </w:rPr>
            </w:pPr>
          </w:p>
        </w:tc>
        <w:tc>
          <w:tcPr>
            <w:tcW w:w="760" w:type="dxa"/>
            <w:vAlign w:val="bottom"/>
            <w:vMerge w:val="restart"/>
          </w:tcPr>
          <w:p>
            <w:pPr>
              <w:jc w:val="right"/>
              <w:ind w:right="104"/>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237</w:t>
            </w:r>
          </w:p>
        </w:tc>
        <w:tc>
          <w:tcPr>
            <w:tcW w:w="60" w:type="dxa"/>
            <w:vAlign w:val="bottom"/>
          </w:tcPr>
          <w:p>
            <w:pPr>
              <w:spacing w:after="0"/>
              <w:rPr>
                <w:sz w:val="10"/>
                <w:szCs w:val="10"/>
                <w:color w:val="auto"/>
              </w:rPr>
            </w:pPr>
          </w:p>
        </w:tc>
        <w:tc>
          <w:tcPr>
            <w:tcW w:w="940" w:type="dxa"/>
            <w:vAlign w:val="bottom"/>
            <w:vMerge w:val="restart"/>
          </w:tcPr>
          <w:p>
            <w:pPr>
              <w:jc w:val="right"/>
              <w:ind w:right="30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237</w:t>
            </w:r>
          </w:p>
        </w:tc>
        <w:tc>
          <w:tcPr>
            <w:tcW w:w="60" w:type="dxa"/>
            <w:vAlign w:val="bottom"/>
          </w:tcPr>
          <w:p>
            <w:pPr>
              <w:spacing w:after="0"/>
              <w:rPr>
                <w:sz w:val="10"/>
                <w:szCs w:val="10"/>
                <w:color w:val="auto"/>
              </w:rPr>
            </w:pPr>
          </w:p>
        </w:tc>
        <w:tc>
          <w:tcPr>
            <w:tcW w:w="700" w:type="dxa"/>
            <w:vAlign w:val="bottom"/>
            <w:vMerge w:val="restart"/>
          </w:tcPr>
          <w:p>
            <w:pPr>
              <w:jc w:val="right"/>
              <w:ind w:right="124"/>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237</w:t>
            </w:r>
          </w:p>
        </w:tc>
        <w:tc>
          <w:tcPr>
            <w:tcW w:w="760" w:type="dxa"/>
            <w:vAlign w:val="bottom"/>
            <w:gridSpan w:val="2"/>
            <w:vMerge w:val="restart"/>
          </w:tcPr>
          <w:p>
            <w:pPr>
              <w:jc w:val="right"/>
              <w:ind w:right="88"/>
              <w:spacing w:after="0"/>
              <w:rPr>
                <w:sz w:val="20"/>
                <w:szCs w:val="20"/>
                <w:color w:val="auto"/>
              </w:rPr>
            </w:pPr>
            <w:r>
              <w:rPr>
                <w:rFonts w:ascii="Arial" w:cs="Arial" w:eastAsia="Arial" w:hAnsi="Arial"/>
                <w:sz w:val="12"/>
                <w:szCs w:val="12"/>
                <w:color w:val="auto"/>
              </w:rPr>
              <w:t>(62)</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626</w:t>
            </w:r>
          </w:p>
        </w:tc>
        <w:tc>
          <w:tcPr>
            <w:tcW w:w="0" w:type="dxa"/>
            <w:vAlign w:val="bottom"/>
          </w:tcPr>
          <w:p>
            <w:pPr>
              <w:spacing w:after="0"/>
              <w:rPr>
                <w:sz w:val="1"/>
                <w:szCs w:val="1"/>
                <w:color w:val="auto"/>
              </w:rPr>
            </w:pPr>
          </w:p>
        </w:tc>
      </w:tr>
      <w:tr>
        <w:trPr>
          <w:trHeight w:val="151"/>
        </w:trPr>
        <w:tc>
          <w:tcPr>
            <w:tcW w:w="9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amortization</w:t>
            </w: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vMerge w:val="continue"/>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vMerge w:val="continue"/>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CCEEFF"/>
            </w:tcBorders>
            <w:gridSpan w:val="2"/>
            <w:vMerge w:val="continue"/>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900" w:type="dxa"/>
            <w:vAlign w:val="bottom"/>
            <w:shd w:val="clear" w:color="auto" w:fill="CCEEFF"/>
          </w:tcPr>
          <w:p>
            <w:pPr>
              <w:ind w:left="360"/>
              <w:spacing w:after="0" w:line="101" w:lineRule="exact"/>
              <w:rPr>
                <w:sz w:val="20"/>
                <w:szCs w:val="20"/>
                <w:color w:val="auto"/>
              </w:rPr>
            </w:pPr>
            <w:r>
              <w:rPr>
                <w:rFonts w:ascii="Arial" w:cs="Arial" w:eastAsia="Arial" w:hAnsi="Arial"/>
                <w:sz w:val="11"/>
                <w:szCs w:val="11"/>
                <w:b w:val="1"/>
                <w:bCs w:val="1"/>
                <w:color w:val="auto"/>
                <w:w w:val="98"/>
              </w:rPr>
              <w:t>Economic</w:t>
            </w:r>
          </w:p>
        </w:tc>
        <w:tc>
          <w:tcPr>
            <w:tcW w:w="5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17,458</w:t>
            </w:r>
          </w:p>
        </w:tc>
        <w:tc>
          <w:tcPr>
            <w:tcW w:w="82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2"/>
                <w:szCs w:val="12"/>
                <w:color w:val="auto"/>
              </w:rPr>
              <w:t>140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7,284</w:t>
            </w:r>
          </w:p>
        </w:tc>
        <w:tc>
          <w:tcPr>
            <w:tcW w:w="1000" w:type="dxa"/>
            <w:vAlign w:val="bottom"/>
            <w:gridSpan w:val="2"/>
            <w:vMerge w:val="restart"/>
            <w:shd w:val="clear" w:color="auto" w:fill="CCEEFF"/>
          </w:tcPr>
          <w:p>
            <w:pPr>
              <w:jc w:val="right"/>
              <w:ind w:right="263"/>
              <w:spacing w:after="0"/>
              <w:rPr>
                <w:sz w:val="20"/>
                <w:szCs w:val="20"/>
                <w:color w:val="auto"/>
              </w:rPr>
            </w:pPr>
            <w:r>
              <w:rPr>
                <w:rFonts w:ascii="Arial" w:cs="Arial" w:eastAsia="Arial" w:hAnsi="Arial"/>
                <w:sz w:val="12"/>
                <w:szCs w:val="12"/>
                <w:color w:val="auto"/>
              </w:rPr>
              <w:t>(60)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18,179</w:t>
            </w:r>
          </w:p>
        </w:tc>
        <w:tc>
          <w:tcPr>
            <w:tcW w:w="76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2"/>
                <w:szCs w:val="12"/>
                <w:color w:val="auto"/>
              </w:rPr>
              <w:t>(59)</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43,943</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2"/>
                <w:szCs w:val="12"/>
                <w:color w:val="auto"/>
              </w:rPr>
              <w:t>13</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38,917</w:t>
            </w:r>
          </w:p>
        </w:tc>
        <w:tc>
          <w:tcPr>
            <w:tcW w:w="0" w:type="dxa"/>
            <w:vAlign w:val="bottom"/>
          </w:tcPr>
          <w:p>
            <w:pPr>
              <w:spacing w:after="0"/>
              <w:rPr>
                <w:sz w:val="1"/>
                <w:szCs w:val="1"/>
                <w:color w:val="auto"/>
              </w:rPr>
            </w:pPr>
          </w:p>
        </w:tc>
      </w:tr>
      <w:tr>
        <w:trPr>
          <w:trHeight w:val="156"/>
        </w:trPr>
        <w:tc>
          <w:tcPr>
            <w:tcW w:w="900" w:type="dxa"/>
            <w:vAlign w:val="bottom"/>
            <w:tcBorders>
              <w:bottom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b w:val="1"/>
                <w:bCs w:val="1"/>
                <w:color w:val="auto"/>
              </w:rPr>
              <w:t>Earnings</w:t>
            </w: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3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CCEEFF"/>
            </w:tcBorders>
            <w:gridSpan w:val="2"/>
            <w:vMerge w:val="continue"/>
            <w:shd w:val="clear" w:color="auto" w:fill="CCEEFF"/>
          </w:tcPr>
          <w:p>
            <w:pPr>
              <w:spacing w:after="0"/>
              <w:rPr>
                <w:sz w:val="13"/>
                <w:szCs w:val="13"/>
                <w:color w:val="auto"/>
              </w:rPr>
            </w:pPr>
          </w:p>
        </w:tc>
        <w:tc>
          <w:tcPr>
            <w:tcW w:w="32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CCEEFF"/>
            </w:tcBorders>
            <w:gridSpan w:val="2"/>
            <w:vMerge w:val="continue"/>
            <w:shd w:val="clear" w:color="auto" w:fill="CCEEFF"/>
          </w:tcPr>
          <w:p>
            <w:pPr>
              <w:spacing w:after="0"/>
              <w:rPr>
                <w:sz w:val="13"/>
                <w:szCs w:val="13"/>
                <w:color w:val="auto"/>
              </w:rPr>
            </w:pPr>
          </w:p>
        </w:tc>
        <w:tc>
          <w:tcPr>
            <w:tcW w:w="3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900" w:type="dxa"/>
            <w:vAlign w:val="bottom"/>
          </w:tcPr>
          <w:p>
            <w:pPr>
              <w:ind w:left="360"/>
              <w:spacing w:after="0" w:line="99" w:lineRule="exact"/>
              <w:rPr>
                <w:sz w:val="20"/>
                <w:szCs w:val="20"/>
                <w:color w:val="auto"/>
              </w:rPr>
            </w:pPr>
            <w:r>
              <w:rPr>
                <w:rFonts w:ascii="Arial" w:cs="Arial" w:eastAsia="Arial" w:hAnsi="Arial"/>
                <w:sz w:val="11"/>
                <w:szCs w:val="11"/>
                <w:b w:val="1"/>
                <w:bCs w:val="1"/>
                <w:color w:val="auto"/>
                <w:w w:val="98"/>
              </w:rPr>
              <w:t>Economic</w:t>
            </w: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Earnings per</w:t>
            </w:r>
          </w:p>
        </w:tc>
        <w:tc>
          <w:tcPr>
            <w:tcW w:w="52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2.20</w:t>
            </w:r>
          </w:p>
        </w:tc>
        <w:tc>
          <w:tcPr>
            <w:tcW w:w="820" w:type="dxa"/>
            <w:vAlign w:val="bottom"/>
            <w:gridSpan w:val="2"/>
            <w:vMerge w:val="restart"/>
          </w:tcPr>
          <w:p>
            <w:pPr>
              <w:jc w:val="right"/>
              <w:ind w:right="104"/>
              <w:spacing w:after="0"/>
              <w:rPr>
                <w:sz w:val="20"/>
                <w:szCs w:val="20"/>
                <w:color w:val="auto"/>
              </w:rPr>
            </w:pPr>
            <w:r>
              <w:rPr>
                <w:rFonts w:ascii="Arial" w:cs="Arial" w:eastAsia="Arial" w:hAnsi="Arial"/>
                <w:sz w:val="12"/>
                <w:szCs w:val="12"/>
                <w:color w:val="auto"/>
              </w:rPr>
              <w:t>142</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2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0.91</w:t>
            </w:r>
          </w:p>
        </w:tc>
        <w:tc>
          <w:tcPr>
            <w:tcW w:w="1000" w:type="dxa"/>
            <w:vAlign w:val="bottom"/>
            <w:gridSpan w:val="2"/>
            <w:vMerge w:val="restart"/>
          </w:tcPr>
          <w:p>
            <w:pPr>
              <w:jc w:val="right"/>
              <w:ind w:right="263"/>
              <w:spacing w:after="0"/>
              <w:rPr>
                <w:sz w:val="20"/>
                <w:szCs w:val="20"/>
                <w:color w:val="auto"/>
              </w:rPr>
            </w:pPr>
            <w:r>
              <w:rPr>
                <w:rFonts w:ascii="Arial" w:cs="Arial" w:eastAsia="Arial" w:hAnsi="Arial"/>
                <w:sz w:val="12"/>
                <w:szCs w:val="12"/>
                <w:color w:val="auto"/>
              </w:rPr>
              <w:t>(58)</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4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2.15</w:t>
            </w:r>
          </w:p>
        </w:tc>
        <w:tc>
          <w:tcPr>
            <w:tcW w:w="760" w:type="dxa"/>
            <w:vAlign w:val="bottom"/>
            <w:gridSpan w:val="2"/>
            <w:vMerge w:val="restart"/>
          </w:tcPr>
          <w:p>
            <w:pPr>
              <w:jc w:val="right"/>
              <w:ind w:right="84"/>
              <w:spacing w:after="0"/>
              <w:rPr>
                <w:sz w:val="20"/>
                <w:szCs w:val="20"/>
                <w:color w:val="auto"/>
              </w:rPr>
            </w:pPr>
            <w:r>
              <w:rPr>
                <w:rFonts w:ascii="Arial" w:cs="Arial" w:eastAsia="Arial" w:hAnsi="Arial"/>
                <w:sz w:val="12"/>
                <w:szCs w:val="12"/>
                <w:color w:val="auto"/>
              </w:rPr>
              <w:t>(58)</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4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5.14</w:t>
            </w:r>
          </w:p>
        </w:tc>
        <w:tc>
          <w:tcPr>
            <w:tcW w:w="760" w:type="dxa"/>
            <w:vAlign w:val="bottom"/>
            <w:gridSpan w:val="2"/>
            <w:vMerge w:val="restart"/>
          </w:tcPr>
          <w:p>
            <w:pPr>
              <w:ind w:left="480"/>
              <w:spacing w:after="0"/>
              <w:rPr>
                <w:sz w:val="20"/>
                <w:szCs w:val="20"/>
                <w:color w:val="auto"/>
              </w:rPr>
            </w:pPr>
            <w:r>
              <w:rPr>
                <w:rFonts w:ascii="Arial" w:cs="Arial" w:eastAsia="Arial" w:hAnsi="Arial"/>
                <w:sz w:val="12"/>
                <w:szCs w:val="12"/>
                <w:color w:val="auto"/>
              </w:rPr>
              <w:t>11</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2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4.63</w:t>
            </w:r>
          </w:p>
        </w:tc>
        <w:tc>
          <w:tcPr>
            <w:tcW w:w="0" w:type="dxa"/>
            <w:vAlign w:val="bottom"/>
          </w:tcPr>
          <w:p>
            <w:pPr>
              <w:spacing w:after="0"/>
              <w:rPr>
                <w:sz w:val="1"/>
                <w:szCs w:val="1"/>
                <w:color w:val="auto"/>
              </w:rPr>
            </w:pPr>
          </w:p>
        </w:tc>
      </w:tr>
      <w:tr>
        <w:trPr>
          <w:trHeight w:val="151"/>
        </w:trPr>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Share</w:t>
            </w:r>
          </w:p>
        </w:tc>
        <w:tc>
          <w:tcPr>
            <w:tcW w:w="5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provides Economic Earnings by segment:</w:t>
      </w:r>
    </w:p>
    <w:p>
      <w:pPr>
        <w:spacing w:after="0" w:line="24" w:lineRule="exact"/>
        <w:rPr>
          <w:sz w:val="20"/>
          <w:szCs w:val="20"/>
          <w:color w:val="auto"/>
        </w:rPr>
      </w:pPr>
    </w:p>
    <w:p>
      <w:pPr>
        <w:ind w:left="5840"/>
        <w:spacing w:after="0"/>
        <w:rPr>
          <w:sz w:val="20"/>
          <w:szCs w:val="20"/>
          <w:color w:val="auto"/>
        </w:rPr>
      </w:pPr>
      <w:r>
        <w:rPr>
          <w:rFonts w:ascii="Arial" w:cs="Arial" w:eastAsia="Arial" w:hAnsi="Arial"/>
          <w:sz w:val="10"/>
          <w:szCs w:val="10"/>
          <w:b w:val="1"/>
          <w:bCs w:val="1"/>
          <w:color w:val="auto"/>
        </w:rPr>
        <w:t>For the years ended December 31,</w:t>
      </w:r>
    </w:p>
    <w:p>
      <w:pPr>
        <w:ind w:left="5840"/>
        <w:spacing w:after="0"/>
        <w:rPr>
          <w:sz w:val="20"/>
          <w:szCs w:val="20"/>
          <w:color w:val="auto"/>
        </w:rPr>
      </w:pPr>
      <w:r>
        <w:rPr>
          <w:rFonts w:ascii="Arial" w:cs="Arial" w:eastAsia="Arial" w:hAnsi="Arial"/>
          <w:sz w:val="10"/>
          <w:szCs w:val="10"/>
          <w:b w:val="1"/>
          <w:bCs w:val="1"/>
          <w:color w:val="auto"/>
        </w:rPr>
        <w:t>(in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Change</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Change</w:t>
            </w: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Change</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Change</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2017</w:t>
            </w:r>
          </w:p>
        </w:tc>
      </w:tr>
      <w:tr>
        <w:trPr>
          <w:trHeight w:val="137"/>
        </w:trPr>
        <w:tc>
          <w:tcPr>
            <w:tcW w:w="192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Economic Earnings by Segment:</w:t>
            </w:r>
          </w:p>
        </w:tc>
        <w:tc>
          <w:tcPr>
            <w:tcW w:w="2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154"/>
        </w:trPr>
        <w:tc>
          <w:tcPr>
            <w:tcW w:w="1920" w:type="dxa"/>
            <w:vAlign w:val="bottom"/>
          </w:tcPr>
          <w:p>
            <w:pPr>
              <w:ind w:left="160"/>
              <w:spacing w:after="0"/>
              <w:rPr>
                <w:sz w:val="20"/>
                <w:szCs w:val="20"/>
                <w:color w:val="auto"/>
              </w:rPr>
            </w:pPr>
            <w:r>
              <w:rPr>
                <w:rFonts w:ascii="Arial" w:cs="Arial" w:eastAsia="Arial" w:hAnsi="Arial"/>
                <w:sz w:val="12"/>
                <w:szCs w:val="12"/>
                <w:color w:val="auto"/>
              </w:rPr>
              <w:t>Advisory</w:t>
            </w: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20,259</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133 %</w:t>
            </w:r>
          </w:p>
        </w:tc>
        <w:tc>
          <w:tcPr>
            <w:tcW w:w="10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40" w:type="dxa"/>
            <w:vAlign w:val="bottom"/>
          </w:tcPr>
          <w:p>
            <w:pPr>
              <w:jc w:val="center"/>
              <w:ind w:left="303"/>
              <w:spacing w:after="0"/>
              <w:rPr>
                <w:sz w:val="20"/>
                <w:szCs w:val="20"/>
                <w:color w:val="auto"/>
              </w:rPr>
            </w:pPr>
            <w:r>
              <w:rPr>
                <w:rFonts w:ascii="Arial" w:cs="Arial" w:eastAsia="Arial" w:hAnsi="Arial"/>
                <w:sz w:val="12"/>
                <w:szCs w:val="12"/>
                <w:color w:val="auto"/>
                <w:w w:val="86"/>
              </w:rPr>
              <w:t>8,713</w:t>
            </w:r>
          </w:p>
        </w:tc>
        <w:tc>
          <w:tcPr>
            <w:tcW w:w="1020" w:type="dxa"/>
            <w:vAlign w:val="bottom"/>
            <w:gridSpan w:val="2"/>
          </w:tcPr>
          <w:p>
            <w:pPr>
              <w:ind w:left="720"/>
              <w:spacing w:after="0"/>
              <w:rPr>
                <w:sz w:val="20"/>
                <w:szCs w:val="20"/>
                <w:color w:val="auto"/>
              </w:rPr>
            </w:pPr>
            <w:r>
              <w:rPr>
                <w:rFonts w:ascii="Arial" w:cs="Arial" w:eastAsia="Arial" w:hAnsi="Arial"/>
                <w:sz w:val="12"/>
                <w:szCs w:val="12"/>
                <w:color w:val="auto"/>
                <w:w w:val="87"/>
              </w:rPr>
              <w:t>(55)%</w:t>
            </w:r>
          </w:p>
        </w:tc>
        <w:tc>
          <w:tcPr>
            <w:tcW w:w="100" w:type="dxa"/>
            <w:vAlign w:val="bottom"/>
          </w:tcPr>
          <w:p>
            <w:pPr>
              <w:spacing w:after="0"/>
              <w:rPr>
                <w:sz w:val="13"/>
                <w:szCs w:val="13"/>
                <w:color w:val="auto"/>
              </w:rPr>
            </w:pP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19,186</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47,574</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11 %</w:t>
            </w:r>
          </w:p>
        </w:tc>
        <w:tc>
          <w:tcPr>
            <w:tcW w:w="100" w:type="dxa"/>
            <w:vAlign w:val="bottom"/>
          </w:tcPr>
          <w:p>
            <w:pPr>
              <w:spacing w:after="0"/>
              <w:rPr>
                <w:sz w:val="13"/>
                <w:szCs w:val="13"/>
                <w:color w:val="auto"/>
              </w:rPr>
            </w:pPr>
          </w:p>
        </w:tc>
        <w:tc>
          <w:tcPr>
            <w:tcW w:w="220" w:type="dxa"/>
            <w:vAlign w:val="bottom"/>
          </w:tcPr>
          <w:p>
            <w:pPr>
              <w:jc w:val="right"/>
              <w:ind w:right="81"/>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42,887</w:t>
            </w:r>
          </w:p>
        </w:tc>
      </w:tr>
      <w:tr>
        <w:trPr>
          <w:trHeight w:val="159"/>
        </w:trPr>
        <w:tc>
          <w:tcPr>
            <w:tcW w:w="1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Trust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8,018</w:t>
            </w: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center"/>
              <w:ind w:left="303"/>
              <w:spacing w:after="0"/>
              <w:rPr>
                <w:sz w:val="20"/>
                <w:szCs w:val="20"/>
                <w:color w:val="auto"/>
              </w:rPr>
            </w:pPr>
            <w:r>
              <w:rPr>
                <w:rFonts w:ascii="Arial" w:cs="Arial" w:eastAsia="Arial" w:hAnsi="Arial"/>
                <w:sz w:val="12"/>
                <w:szCs w:val="12"/>
                <w:color w:val="auto"/>
                <w:w w:val="86"/>
              </w:rPr>
              <w:t>5,668</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7,487</w:t>
            </w: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5,737</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6,464</w:t>
            </w:r>
          </w:p>
        </w:tc>
      </w:tr>
      <w:tr>
        <w:trPr>
          <w:trHeight w:val="154"/>
        </w:trPr>
        <w:tc>
          <w:tcPr>
            <w:tcW w:w="19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Westwood Holdings</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(10,819)</w:t>
            </w:r>
          </w:p>
        </w:tc>
        <w:tc>
          <w:tcPr>
            <w:tcW w:w="104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2"/>
                <w:szCs w:val="12"/>
                <w:color w:val="auto"/>
              </w:rPr>
              <w:t>52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left="303"/>
              <w:spacing w:after="0"/>
              <w:rPr>
                <w:sz w:val="20"/>
                <w:szCs w:val="20"/>
                <w:color w:val="auto"/>
              </w:rPr>
            </w:pPr>
            <w:r>
              <w:rPr>
                <w:rFonts w:ascii="Arial" w:cs="Arial" w:eastAsia="Arial" w:hAnsi="Arial"/>
                <w:sz w:val="12"/>
                <w:szCs w:val="12"/>
                <w:color w:val="auto"/>
                <w:w w:val="89"/>
              </w:rPr>
              <w:t>(7,097)</w:t>
            </w:r>
          </w:p>
        </w:tc>
        <w:tc>
          <w:tcPr>
            <w:tcW w:w="1020" w:type="dxa"/>
            <w:vAlign w:val="bottom"/>
            <w:tcBorders>
              <w:bottom w:val="single" w:sz="8" w:color="CCEEFF"/>
            </w:tcBorders>
            <w:gridSpan w:val="2"/>
          </w:tcPr>
          <w:p>
            <w:pPr>
              <w:ind w:left="720"/>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(8,494)</w:t>
            </w:r>
          </w:p>
        </w:tc>
        <w:tc>
          <w:tcPr>
            <w:tcW w:w="104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(9,368)</w:t>
            </w:r>
          </w:p>
        </w:tc>
        <w:tc>
          <w:tcPr>
            <w:tcW w:w="104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(10,434)</w:t>
            </w:r>
          </w:p>
        </w:tc>
      </w:tr>
      <w:tr>
        <w:trPr>
          <w:trHeight w:val="168"/>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17,458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140 %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CEEFF"/>
          </w:tcPr>
          <w:p>
            <w:pPr>
              <w:jc w:val="center"/>
              <w:ind w:left="303"/>
              <w:spacing w:after="0"/>
              <w:rPr>
                <w:sz w:val="20"/>
                <w:szCs w:val="20"/>
                <w:color w:val="auto"/>
              </w:rPr>
            </w:pPr>
            <w:r>
              <w:rPr>
                <w:rFonts w:ascii="Arial" w:cs="Arial" w:eastAsia="Arial" w:hAnsi="Arial"/>
                <w:sz w:val="12"/>
                <w:szCs w:val="12"/>
                <w:color w:val="auto"/>
                <w:w w:val="86"/>
              </w:rPr>
              <w:t>7,284</w:t>
            </w: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2"/>
                <w:szCs w:val="12"/>
                <w:color w:val="auto"/>
                <w:w w:val="87"/>
              </w:rPr>
              <w:t>(60)%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18,179</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43,943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13 %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38,917</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840" w:type="dxa"/>
            <w:vAlign w:val="bottom"/>
            <w:tcBorders>
              <w:bottom w:val="single" w:sz="8" w:color="auto"/>
            </w:tcBorders>
          </w:tcPr>
          <w:p>
            <w:pPr>
              <w:spacing w:after="0"/>
              <w:rPr>
                <w:sz w:val="13"/>
                <w:szCs w:val="13"/>
                <w:color w:val="auto"/>
              </w:rPr>
            </w:pPr>
          </w:p>
        </w:tc>
      </w:tr>
      <w:tr>
        <w:trPr>
          <w:trHeight w:val="14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Balance Sheet Data (in thousands)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w w:val="97"/>
              </w:rPr>
              <w:t>2020</w:t>
            </w:r>
          </w:p>
        </w:tc>
      </w:tr>
      <w:tr>
        <w:trPr>
          <w:trHeight w:val="149"/>
        </w:trPr>
        <w:tc>
          <w:tcPr>
            <w:tcW w:w="8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and cash equivalents</w:t>
            </w: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13,016</w:t>
            </w:r>
          </w:p>
        </w:tc>
      </w:tr>
      <w:tr>
        <w:trPr>
          <w:trHeight w:val="16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Accounts receivable</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11,152</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9,450</w:t>
            </w:r>
          </w:p>
        </w:tc>
      </w:tr>
      <w:tr>
        <w:trPr>
          <w:trHeight w:val="147"/>
        </w:trPr>
        <w:tc>
          <w:tcPr>
            <w:tcW w:w="846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Total liquid assets</w:t>
            </w: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26,358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22,466</w:t>
            </w:r>
          </w:p>
        </w:tc>
      </w:tr>
      <w:tr>
        <w:trPr>
          <w:trHeight w:val="165"/>
        </w:trPr>
        <w:tc>
          <w:tcPr>
            <w:tcW w:w="8460" w:type="dxa"/>
            <w:vAlign w:val="bottom"/>
          </w:tcPr>
          <w:p>
            <w:pPr>
              <w:ind w:left="20"/>
              <w:spacing w:after="0"/>
              <w:rPr>
                <w:sz w:val="20"/>
                <w:szCs w:val="20"/>
                <w:color w:val="auto"/>
              </w:rPr>
            </w:pPr>
            <w:r>
              <w:rPr>
                <w:rFonts w:ascii="Arial" w:cs="Arial" w:eastAsia="Arial" w:hAnsi="Arial"/>
                <w:sz w:val="13"/>
                <w:szCs w:val="13"/>
                <w:color w:val="auto"/>
              </w:rPr>
              <w:t>Investments, at fair value</w:t>
            </w:r>
          </w:p>
        </w:tc>
        <w:tc>
          <w:tcPr>
            <w:tcW w:w="320" w:type="dxa"/>
            <w:vAlign w:val="bottom"/>
          </w:tcPr>
          <w:p>
            <w:pPr>
              <w:jc w:val="right"/>
              <w:ind w:right="178"/>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65,024</w:t>
            </w:r>
          </w:p>
        </w:tc>
        <w:tc>
          <w:tcPr>
            <w:tcW w:w="100" w:type="dxa"/>
            <w:vAlign w:val="bottom"/>
          </w:tcPr>
          <w:p>
            <w:pPr>
              <w:spacing w:after="0"/>
              <w:rPr>
                <w:sz w:val="14"/>
                <w:szCs w:val="14"/>
                <w:color w:val="auto"/>
              </w:rPr>
            </w:pPr>
          </w:p>
        </w:tc>
        <w:tc>
          <w:tcPr>
            <w:tcW w:w="500" w:type="dxa"/>
            <w:vAlign w:val="bottom"/>
          </w:tcPr>
          <w:p>
            <w:pPr>
              <w:jc w:val="right"/>
              <w:ind w:right="358"/>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69,542</w:t>
            </w:r>
          </w:p>
        </w:tc>
      </w:tr>
    </w:tbl>
    <w:p>
      <w:pPr>
        <w:spacing w:after="0" w:line="139" w:lineRule="exact"/>
        <w:rPr>
          <w:sz w:val="20"/>
          <w:szCs w:val="20"/>
          <w:color w:val="auto"/>
        </w:rPr>
      </w:pPr>
    </w:p>
    <w:p>
      <w:pPr>
        <w:ind w:right="260" w:firstLine="353"/>
        <w:spacing w:after="0" w:line="275" w:lineRule="auto"/>
        <w:rPr>
          <w:sz w:val="20"/>
          <w:szCs w:val="20"/>
          <w:color w:val="auto"/>
        </w:rPr>
      </w:pPr>
      <w:r>
        <w:rPr>
          <w:rFonts w:ascii="Arial" w:cs="Arial" w:eastAsia="Arial" w:hAnsi="Arial"/>
          <w:sz w:val="13"/>
          <w:szCs w:val="13"/>
          <w:color w:val="auto"/>
        </w:rPr>
        <w:t>We fund our operations and cash requirements with cash generated from operating activities. We may also use cash from operations to pay dividends to our stockholders. We reinstated a dividend in the first quarter of 2021, following a suspension in the second quarter of 2020 as we preserved capital and provided additional financial flexibility amid the uncertainties created</w:t>
      </w: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360"/>
          </w:cols>
          <w:pgMar w:left="300" w:top="768" w:right="239" w:bottom="1440" w:gutter="0" w:footer="0" w:header="0"/>
        </w:sectPr>
      </w:pPr>
    </w:p>
    <w:bookmarkStart w:id="32" w:name="page33"/>
    <w:bookmarkEnd w:id="32"/>
    <w:p>
      <w:pPr>
        <w:ind w:right="100"/>
        <w:spacing w:after="0" w:line="263" w:lineRule="auto"/>
        <w:rPr>
          <w:sz w:val="20"/>
          <w:szCs w:val="20"/>
          <w:color w:val="auto"/>
        </w:rPr>
      </w:pPr>
      <w:r>
        <w:rPr>
          <w:rFonts w:ascii="Arial" w:cs="Arial" w:eastAsia="Arial" w:hAnsi="Arial"/>
          <w:sz w:val="13"/>
          <w:szCs w:val="13"/>
          <w:color w:val="auto"/>
        </w:rPr>
        <w:t>by the COVID-19 pandemic. We had no debt as of December 31, 2021 and 2020.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57" w:lineRule="exact"/>
        <w:rPr>
          <w:sz w:val="20"/>
          <w:szCs w:val="20"/>
          <w:color w:val="auto"/>
        </w:rPr>
      </w:pPr>
    </w:p>
    <w:p>
      <w:pPr>
        <w:ind w:right="220" w:firstLine="353"/>
        <w:spacing w:after="0" w:line="275" w:lineRule="auto"/>
        <w:rPr>
          <w:sz w:val="20"/>
          <w:szCs w:val="20"/>
          <w:color w:val="auto"/>
        </w:rPr>
      </w:pPr>
      <w:r>
        <w:rPr>
          <w:rFonts w:ascii="Arial" w:cs="Arial" w:eastAsia="Arial" w:hAnsi="Arial"/>
          <w:sz w:val="13"/>
          <w:szCs w:val="13"/>
          <w:color w:val="auto"/>
        </w:rPr>
        <w:t>We had cash and short-term investments of $80.2 million and $82.6 million as of December 31, 2021 and 2020, respectively. At December 31, 2021 and 2020, working capital aggregated $78.0 million and $84.5 million, respectively.</w:t>
      </w:r>
    </w:p>
    <w:p>
      <w:pPr>
        <w:spacing w:after="0" w:line="49" w:lineRule="exact"/>
        <w:rPr>
          <w:sz w:val="20"/>
          <w:szCs w:val="20"/>
          <w:color w:val="auto"/>
        </w:rPr>
      </w:pPr>
    </w:p>
    <w:p>
      <w:pPr>
        <w:ind w:right="160" w:firstLine="353"/>
        <w:spacing w:after="0" w:line="306" w:lineRule="auto"/>
        <w:rPr>
          <w:sz w:val="20"/>
          <w:szCs w:val="20"/>
          <w:color w:val="auto"/>
        </w:rPr>
      </w:pPr>
      <w:r>
        <w:rPr>
          <w:rFonts w:ascii="Arial" w:cs="Arial" w:eastAsia="Arial" w:hAnsi="Arial"/>
          <w:sz w:val="12"/>
          <w:szCs w:val="12"/>
          <w:color w:val="auto"/>
        </w:rPr>
        <w:t>Westwood Trust is required by the Texas Finance Code to maintain cash and investments in an amount equal to the minimum restricted capital of $4.0 million. Restricted capital is included in Investments in the accompanying Consolidated Balance Sheets. At December 31, 2021, Westwood Trust had approximately $14.2 million in excess of its minimum capital requirement.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1"/>
              </w:rPr>
              <w:t>For the years ended December 31,</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9"/>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2"/>
                <w:szCs w:val="12"/>
                <w:b w:val="1"/>
                <w:bCs w:val="1"/>
                <w:i w:val="1"/>
                <w:iCs w:val="1"/>
                <w:color w:val="auto"/>
              </w:rPr>
              <w:t>Cash Flow Data (in thousands)</w:t>
            </w: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2019</w:t>
            </w:r>
          </w:p>
        </w:tc>
      </w:tr>
      <w:tr>
        <w:trPr>
          <w:trHeight w:val="149"/>
        </w:trPr>
        <w:tc>
          <w:tcPr>
            <w:tcW w:w="640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Operating cash flows</w:t>
            </w: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19,385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(9,770)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32,172</w:t>
            </w:r>
          </w:p>
        </w:tc>
      </w:tr>
      <w:tr>
        <w:trPr>
          <w:trHeight w:val="166"/>
        </w:trPr>
        <w:tc>
          <w:tcPr>
            <w:tcW w:w="6400" w:type="dxa"/>
            <w:vAlign w:val="bottom"/>
          </w:tcPr>
          <w:p>
            <w:pPr>
              <w:ind w:left="360"/>
              <w:spacing w:after="0"/>
              <w:rPr>
                <w:sz w:val="20"/>
                <w:szCs w:val="20"/>
                <w:color w:val="auto"/>
              </w:rPr>
            </w:pPr>
            <w:r>
              <w:rPr>
                <w:rFonts w:ascii="Arial" w:cs="Arial" w:eastAsia="Arial" w:hAnsi="Arial"/>
                <w:sz w:val="13"/>
                <w:szCs w:val="13"/>
                <w:color w:val="auto"/>
              </w:rPr>
              <w:t>Investing cash flows</w:t>
            </w: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9,566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(4,848)</w:t>
            </w:r>
          </w:p>
        </w:tc>
      </w:tr>
      <w:tr>
        <w:trPr>
          <w:trHeight w:val="167"/>
        </w:trPr>
        <w:tc>
          <w:tcPr>
            <w:tcW w:w="6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Financing cash flows</w:t>
            </w: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(26,806)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(31,870)</w:t>
            </w:r>
          </w:p>
        </w:tc>
      </w:tr>
    </w:tbl>
    <w:p>
      <w:pPr>
        <w:spacing w:after="0" w:line="393" w:lineRule="exact"/>
        <w:rPr>
          <w:sz w:val="20"/>
          <w:szCs w:val="20"/>
          <w:color w:val="auto"/>
        </w:rPr>
      </w:pPr>
    </w:p>
    <w:p>
      <w:pPr>
        <w:ind w:right="40" w:firstLine="353"/>
        <w:spacing w:after="0" w:line="263" w:lineRule="auto"/>
        <w:rPr>
          <w:sz w:val="20"/>
          <w:szCs w:val="20"/>
          <w:color w:val="auto"/>
        </w:rPr>
      </w:pPr>
      <w:r>
        <w:rPr>
          <w:rFonts w:ascii="Arial" w:cs="Arial" w:eastAsia="Arial" w:hAnsi="Arial"/>
          <w:sz w:val="13"/>
          <w:szCs w:val="13"/>
          <w:color w:val="auto"/>
        </w:rPr>
        <w:t>Historically we have funded our operations and cash requirements with cash generated from operating activities. We may also use cash from operations to pay dividends to our stockholders. The changes in net cash provided by operating activities generally reflect changes in earnings plus the effects of non-cash items and changes in working capital. Changes in working capital, especially accounts receivable and accounts payable, generally result from timing differences between collection of fees billed and payment of operating expenses.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During 2021, cash flow provided by operating activities was $19.4 million, compared to cash used in operating activities of $9.8 million during 2020, and cash flow provided by operating activities of</w:t>
      </w:r>
    </w:p>
    <w:p>
      <w:pPr>
        <w:spacing w:after="0" w:line="26"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$32.2 million during 2019. The increase of $29.2 million from 2020 to 2021 primarily reflected net sales of investments and net income in 2021. The decrease of $41.9 million from 2019 to 2020 was primarily due to net purchases of investments, unrealized investment losses and a net loss in 2020.</w:t>
      </w:r>
    </w:p>
    <w:p>
      <w:pPr>
        <w:spacing w:after="0" w:line="57" w:lineRule="exact"/>
        <w:rPr>
          <w:sz w:val="20"/>
          <w:szCs w:val="20"/>
          <w:color w:val="auto"/>
        </w:rPr>
      </w:pPr>
    </w:p>
    <w:p>
      <w:pPr>
        <w:ind w:right="40" w:firstLine="353"/>
        <w:spacing w:after="0" w:line="318" w:lineRule="auto"/>
        <w:rPr>
          <w:sz w:val="20"/>
          <w:szCs w:val="20"/>
          <w:color w:val="auto"/>
        </w:rPr>
      </w:pPr>
      <w:r>
        <w:rPr>
          <w:rFonts w:ascii="Arial" w:cs="Arial" w:eastAsia="Arial" w:hAnsi="Arial"/>
          <w:sz w:val="12"/>
          <w:szCs w:val="12"/>
          <w:color w:val="auto"/>
        </w:rPr>
        <w:t>Cash flow provided by investing activities in 2021 was related to realized gains on private investments and the sale of property and equipment following the sublease of a portion of our Dallas, Texas corporate office space. Cash flow used in investing activities was insignificant in 2020. Cash flow used in investing activities during 2019 was primarily related to our investment in Charis.</w:t>
      </w:r>
    </w:p>
    <w:p>
      <w:pPr>
        <w:spacing w:after="0" w:line="26" w:lineRule="exact"/>
        <w:rPr>
          <w:sz w:val="20"/>
          <w:szCs w:val="20"/>
          <w:color w:val="auto"/>
        </w:rPr>
      </w:pPr>
    </w:p>
    <w:p>
      <w:pPr>
        <w:ind w:right="200" w:firstLine="353"/>
        <w:spacing w:after="0" w:line="263" w:lineRule="auto"/>
        <w:rPr>
          <w:sz w:val="20"/>
          <w:szCs w:val="20"/>
          <w:color w:val="auto"/>
        </w:rPr>
      </w:pPr>
      <w:r>
        <w:rPr>
          <w:rFonts w:ascii="Arial" w:cs="Arial" w:eastAsia="Arial" w:hAnsi="Arial"/>
          <w:sz w:val="13"/>
          <w:szCs w:val="13"/>
          <w:color w:val="auto"/>
        </w:rPr>
        <w:t>Cash used in financing activities was $26.8 million in 2021 compared to $25.8 million and $31.9 million in 2020 and 2019, respectively. The change from 2020 to 2021 primarily related to higher dividends following the reinstatement of dividends in 2021 and repurchases of common stock under our share repurchase plan. The change from 2019 to 2020 related to repurchases of common stock under our share repurchase plan and lower dividends, following suspension of our dividend in the second quarter of 2020.</w:t>
      </w:r>
    </w:p>
    <w:p>
      <w:pPr>
        <w:spacing w:after="0" w:line="57" w:lineRule="exact"/>
        <w:rPr>
          <w:sz w:val="20"/>
          <w:szCs w:val="20"/>
          <w:color w:val="auto"/>
        </w:rPr>
      </w:pPr>
    </w:p>
    <w:p>
      <w:pPr>
        <w:jc w:val="both"/>
        <w:ind w:right="180" w:firstLine="353"/>
        <w:spacing w:after="0" w:line="288" w:lineRule="auto"/>
        <w:rPr>
          <w:sz w:val="20"/>
          <w:szCs w:val="20"/>
          <w:color w:val="auto"/>
        </w:rPr>
      </w:pPr>
      <w:r>
        <w:rPr>
          <w:rFonts w:ascii="Arial" w:cs="Arial" w:eastAsia="Arial" w:hAnsi="Arial"/>
          <w:sz w:val="12"/>
          <w:szCs w:val="12"/>
          <w:color w:val="auto"/>
        </w:rPr>
        <w:t>Our future liquidity and capital requirements will depend upon numerous factors, including results of operations, the timing and magnitude of capital expenditures or strategic initiatives, our dividend policy and other business and risk factors described under “Item 1A. Risk Factors” in this Report. We believe that current cash and short-term investment balances plus cash generated from operations will be sufficient to meet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Dividends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dividends declared during 2021 and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i w:val="1"/>
          <w:iCs w:val="1"/>
          <w:color w:val="auto"/>
        </w:rPr>
        <w:t>2021 Dividends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Declaration Date</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ind w:left="57"/>
              <w:spacing w:after="0"/>
              <w:rPr>
                <w:sz w:val="20"/>
                <w:szCs w:val="20"/>
                <w:color w:val="auto"/>
              </w:rPr>
            </w:pPr>
            <w:r>
              <w:rPr>
                <w:rFonts w:ascii="Arial" w:cs="Arial" w:eastAsia="Arial" w:hAnsi="Arial"/>
                <w:sz w:val="12"/>
                <w:szCs w:val="12"/>
                <w:b w:val="1"/>
                <w:bCs w:val="1"/>
                <w:color w:val="auto"/>
                <w:w w:val="90"/>
              </w:rPr>
              <w:t>Record Date</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2"/>
                <w:szCs w:val="12"/>
                <w:b w:val="1"/>
                <w:bCs w:val="1"/>
                <w:color w:val="auto"/>
                <w:w w:val="91"/>
              </w:rPr>
              <w:t>Paid Date</w:t>
            </w: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Dividend Per Share</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8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color w:val="auto"/>
                <w:w w:val="90"/>
              </w:rPr>
              <w:t>February 10, 2021</w:t>
            </w:r>
          </w:p>
        </w:tc>
        <w:tc>
          <w:tcPr>
            <w:tcW w:w="9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center"/>
              <w:ind w:left="57"/>
              <w:spacing w:after="0"/>
              <w:rPr>
                <w:sz w:val="20"/>
                <w:szCs w:val="20"/>
                <w:color w:val="auto"/>
              </w:rPr>
            </w:pPr>
            <w:r>
              <w:rPr>
                <w:rFonts w:ascii="Arial" w:cs="Arial" w:eastAsia="Arial" w:hAnsi="Arial"/>
                <w:sz w:val="13"/>
                <w:szCs w:val="13"/>
                <w:color w:val="auto"/>
                <w:w w:val="91"/>
              </w:rPr>
              <w:t>March 2, 2021</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left="198"/>
              <w:spacing w:after="0"/>
              <w:rPr>
                <w:sz w:val="20"/>
                <w:szCs w:val="20"/>
                <w:color w:val="auto"/>
              </w:rPr>
            </w:pPr>
            <w:r>
              <w:rPr>
                <w:rFonts w:ascii="Arial" w:cs="Arial" w:eastAsia="Arial" w:hAnsi="Arial"/>
                <w:sz w:val="13"/>
                <w:szCs w:val="13"/>
                <w:color w:val="auto"/>
                <w:w w:val="95"/>
              </w:rPr>
              <w:t>April 1, 2021</w:t>
            </w: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$0.10</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980" w:type="dxa"/>
            <w:vAlign w:val="bottom"/>
            <w:gridSpan w:val="3"/>
          </w:tcPr>
          <w:p>
            <w:pPr>
              <w:jc w:val="center"/>
              <w:ind w:right="120"/>
              <w:spacing w:after="0"/>
              <w:rPr>
                <w:sz w:val="20"/>
                <w:szCs w:val="20"/>
                <w:color w:val="auto"/>
              </w:rPr>
            </w:pPr>
            <w:r>
              <w:rPr>
                <w:rFonts w:ascii="Arial" w:cs="Arial" w:eastAsia="Arial" w:hAnsi="Arial"/>
                <w:sz w:val="13"/>
                <w:szCs w:val="13"/>
                <w:color w:val="auto"/>
                <w:w w:val="95"/>
              </w:rPr>
              <w:t>April 8, 2021</w:t>
            </w:r>
          </w:p>
        </w:tc>
        <w:tc>
          <w:tcPr>
            <w:tcW w:w="920" w:type="dxa"/>
            <w:vAlign w:val="bottom"/>
          </w:tcPr>
          <w:p>
            <w:pPr>
              <w:spacing w:after="0"/>
              <w:rPr>
                <w:sz w:val="14"/>
                <w:szCs w:val="14"/>
                <w:color w:val="auto"/>
              </w:rPr>
            </w:pPr>
          </w:p>
        </w:tc>
        <w:tc>
          <w:tcPr>
            <w:tcW w:w="920" w:type="dxa"/>
            <w:vAlign w:val="bottom"/>
            <w:gridSpan w:val="3"/>
          </w:tcPr>
          <w:p>
            <w:pPr>
              <w:jc w:val="center"/>
              <w:ind w:left="77"/>
              <w:spacing w:after="0"/>
              <w:rPr>
                <w:sz w:val="20"/>
                <w:szCs w:val="20"/>
                <w:color w:val="auto"/>
              </w:rPr>
            </w:pPr>
            <w:r>
              <w:rPr>
                <w:rFonts w:ascii="Arial" w:cs="Arial" w:eastAsia="Arial" w:hAnsi="Arial"/>
                <w:sz w:val="13"/>
                <w:szCs w:val="13"/>
                <w:color w:val="auto"/>
                <w:w w:val="87"/>
              </w:rPr>
              <w:t>June 4, 2021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left="218"/>
              <w:spacing w:after="0"/>
              <w:rPr>
                <w:sz w:val="20"/>
                <w:szCs w:val="20"/>
                <w:color w:val="auto"/>
              </w:rPr>
            </w:pPr>
            <w:r>
              <w:rPr>
                <w:rFonts w:ascii="Arial" w:cs="Arial" w:eastAsia="Arial" w:hAnsi="Arial"/>
                <w:sz w:val="13"/>
                <w:szCs w:val="13"/>
                <w:color w:val="auto"/>
                <w:w w:val="91"/>
              </w:rPr>
              <w:t>July 1, 2021</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Arial" w:cs="Arial" w:eastAsia="Arial" w:hAnsi="Arial"/>
                <w:sz w:val="13"/>
                <w:szCs w:val="13"/>
                <w:color w:val="auto"/>
              </w:rPr>
              <w:t>$0.10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color w:val="auto"/>
                <w:w w:val="93"/>
              </w:rPr>
              <w:t>July 27, 2021</w:t>
            </w:r>
          </w:p>
        </w:tc>
        <w:tc>
          <w:tcPr>
            <w:tcW w:w="9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center"/>
              <w:ind w:left="57"/>
              <w:spacing w:after="0"/>
              <w:rPr>
                <w:sz w:val="20"/>
                <w:szCs w:val="20"/>
                <w:color w:val="auto"/>
              </w:rPr>
            </w:pPr>
            <w:r>
              <w:rPr>
                <w:rFonts w:ascii="Arial" w:cs="Arial" w:eastAsia="Arial" w:hAnsi="Arial"/>
                <w:sz w:val="13"/>
                <w:szCs w:val="13"/>
                <w:color w:val="auto"/>
                <w:w w:val="91"/>
              </w:rPr>
              <w:t>August 6, 2021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left="198"/>
              <w:spacing w:after="0"/>
              <w:rPr>
                <w:sz w:val="20"/>
                <w:szCs w:val="20"/>
                <w:color w:val="auto"/>
              </w:rPr>
            </w:pPr>
            <w:r>
              <w:rPr>
                <w:rFonts w:ascii="Arial" w:cs="Arial" w:eastAsia="Arial" w:hAnsi="Arial"/>
                <w:sz w:val="13"/>
                <w:szCs w:val="13"/>
                <w:color w:val="auto"/>
                <w:w w:val="90"/>
              </w:rPr>
              <w:t>August 20, 2021</w:t>
            </w: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$2.50</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gridSpan w:val="3"/>
          </w:tcPr>
          <w:p>
            <w:pPr>
              <w:jc w:val="center"/>
              <w:ind w:right="100"/>
              <w:spacing w:after="0"/>
              <w:rPr>
                <w:sz w:val="20"/>
                <w:szCs w:val="20"/>
                <w:color w:val="auto"/>
              </w:rPr>
            </w:pPr>
            <w:r>
              <w:rPr>
                <w:rFonts w:ascii="Arial" w:cs="Arial" w:eastAsia="Arial" w:hAnsi="Arial"/>
                <w:sz w:val="13"/>
                <w:szCs w:val="13"/>
                <w:color w:val="auto"/>
                <w:w w:val="93"/>
              </w:rPr>
              <w:t>July 27, 2021</w:t>
            </w:r>
          </w:p>
        </w:tc>
        <w:tc>
          <w:tcPr>
            <w:tcW w:w="92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color w:val="auto"/>
                <w:w w:val="88"/>
              </w:rPr>
              <w:t>September 3, 2021</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left="218"/>
              <w:spacing w:after="0"/>
              <w:rPr>
                <w:sz w:val="20"/>
                <w:szCs w:val="20"/>
                <w:color w:val="auto"/>
              </w:rPr>
            </w:pPr>
            <w:r>
              <w:rPr>
                <w:rFonts w:ascii="Arial" w:cs="Arial" w:eastAsia="Arial" w:hAnsi="Arial"/>
                <w:sz w:val="13"/>
                <w:szCs w:val="13"/>
                <w:color w:val="auto"/>
                <w:w w:val="90"/>
              </w:rPr>
              <w:t>October 1, 2021</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Arial" w:cs="Arial" w:eastAsia="Arial" w:hAnsi="Arial"/>
                <w:sz w:val="13"/>
                <w:szCs w:val="13"/>
                <w:color w:val="auto"/>
              </w:rPr>
              <w:t>$0.10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color w:val="auto"/>
                <w:w w:val="91"/>
              </w:rPr>
              <w:t>October 27, 2021</w:t>
            </w:r>
          </w:p>
        </w:tc>
        <w:tc>
          <w:tcPr>
            <w:tcW w:w="92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center"/>
              <w:spacing w:after="0"/>
              <w:rPr>
                <w:sz w:val="20"/>
                <w:szCs w:val="20"/>
                <w:color w:val="auto"/>
              </w:rPr>
            </w:pPr>
            <w:r>
              <w:rPr>
                <w:rFonts w:ascii="Arial" w:cs="Arial" w:eastAsia="Arial" w:hAnsi="Arial"/>
                <w:sz w:val="13"/>
                <w:szCs w:val="13"/>
                <w:color w:val="auto"/>
                <w:w w:val="89"/>
              </w:rPr>
              <w:t>December 3, 2021</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left="198"/>
              <w:spacing w:after="0"/>
              <w:rPr>
                <w:sz w:val="20"/>
                <w:szCs w:val="20"/>
                <w:color w:val="auto"/>
              </w:rPr>
            </w:pPr>
            <w:r>
              <w:rPr>
                <w:rFonts w:ascii="Arial" w:cs="Arial" w:eastAsia="Arial" w:hAnsi="Arial"/>
                <w:sz w:val="13"/>
                <w:szCs w:val="13"/>
                <w:color w:val="auto"/>
                <w:w w:val="87"/>
              </w:rPr>
              <w:t>January 3, 2022</w:t>
            </w: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$0.15</w:t>
            </w:r>
          </w:p>
        </w:tc>
        <w:tc>
          <w:tcPr>
            <w:tcW w:w="2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$2.95</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3"/>
                <w:szCs w:val="13"/>
                <w:i w:val="1"/>
                <w:iCs w:val="1"/>
                <w:color w:val="auto"/>
              </w:rPr>
              <w:t>2020 Dividends</w:t>
            </w: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98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Declaration Date</w:t>
            </w:r>
          </w:p>
        </w:tc>
        <w:tc>
          <w:tcPr>
            <w:tcW w:w="920" w:type="dxa"/>
            <w:vAlign w:val="bottom"/>
          </w:tcPr>
          <w:p>
            <w:pPr>
              <w:spacing w:after="0"/>
              <w:rPr>
                <w:sz w:val="15"/>
                <w:szCs w:val="15"/>
                <w:color w:val="auto"/>
              </w:rPr>
            </w:pPr>
          </w:p>
        </w:tc>
        <w:tc>
          <w:tcPr>
            <w:tcW w:w="920" w:type="dxa"/>
            <w:vAlign w:val="bottom"/>
            <w:gridSpan w:val="3"/>
          </w:tcPr>
          <w:p>
            <w:pPr>
              <w:jc w:val="center"/>
              <w:ind w:left="57"/>
              <w:spacing w:after="0"/>
              <w:rPr>
                <w:sz w:val="20"/>
                <w:szCs w:val="20"/>
                <w:color w:val="auto"/>
              </w:rPr>
            </w:pPr>
            <w:r>
              <w:rPr>
                <w:rFonts w:ascii="Arial" w:cs="Arial" w:eastAsia="Arial" w:hAnsi="Arial"/>
                <w:sz w:val="12"/>
                <w:szCs w:val="12"/>
                <w:b w:val="1"/>
                <w:bCs w:val="1"/>
                <w:color w:val="auto"/>
                <w:w w:val="90"/>
              </w:rPr>
              <w:t>Record Date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gridSpan w:val="2"/>
          </w:tcPr>
          <w:p>
            <w:pPr>
              <w:jc w:val="center"/>
              <w:ind w:left="198"/>
              <w:spacing w:after="0"/>
              <w:rPr>
                <w:sz w:val="20"/>
                <w:szCs w:val="20"/>
                <w:color w:val="auto"/>
              </w:rPr>
            </w:pPr>
            <w:r>
              <w:rPr>
                <w:rFonts w:ascii="Arial" w:cs="Arial" w:eastAsia="Arial" w:hAnsi="Arial"/>
                <w:sz w:val="12"/>
                <w:szCs w:val="12"/>
                <w:b w:val="1"/>
                <w:bCs w:val="1"/>
                <w:color w:val="auto"/>
                <w:w w:val="91"/>
              </w:rPr>
              <w:t>Paid Date</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Arial" w:cs="Arial" w:eastAsia="Arial" w:hAnsi="Arial"/>
                <w:sz w:val="12"/>
                <w:szCs w:val="12"/>
                <w:b w:val="1"/>
                <w:bCs w:val="1"/>
                <w:color w:val="auto"/>
              </w:rPr>
              <w:t>Dividend Per Share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2"/>
                <w:szCs w:val="12"/>
                <w:color w:val="auto"/>
                <w:w w:val="91"/>
              </w:rPr>
              <w:t>February 5, 2020</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3"/>
            <w:shd w:val="clear" w:color="auto" w:fill="CCEEFF"/>
          </w:tcPr>
          <w:p>
            <w:pPr>
              <w:jc w:val="center"/>
              <w:ind w:left="57"/>
              <w:spacing w:after="0"/>
              <w:rPr>
                <w:sz w:val="20"/>
                <w:szCs w:val="20"/>
                <w:color w:val="auto"/>
              </w:rPr>
            </w:pPr>
            <w:r>
              <w:rPr>
                <w:rFonts w:ascii="Arial" w:cs="Arial" w:eastAsia="Arial" w:hAnsi="Arial"/>
                <w:sz w:val="12"/>
                <w:szCs w:val="12"/>
                <w:color w:val="auto"/>
                <w:w w:val="93"/>
              </w:rPr>
              <w:t>March 6, 2020</w:t>
            </w: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shd w:val="clear" w:color="auto" w:fill="CCEEFF"/>
          </w:tcPr>
          <w:p>
            <w:pPr>
              <w:jc w:val="center"/>
              <w:ind w:left="198"/>
              <w:spacing w:after="0"/>
              <w:rPr>
                <w:sz w:val="20"/>
                <w:szCs w:val="20"/>
                <w:color w:val="auto"/>
              </w:rPr>
            </w:pPr>
            <w:r>
              <w:rPr>
                <w:rFonts w:ascii="Arial" w:cs="Arial" w:eastAsia="Arial" w:hAnsi="Arial"/>
                <w:sz w:val="12"/>
                <w:szCs w:val="12"/>
                <w:color w:val="auto"/>
                <w:w w:val="97"/>
              </w:rPr>
              <w:t>April 1, 2020</w:t>
            </w: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$0.43</w:t>
            </w: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298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Contractual Obligations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180" w:type="dxa"/>
            <w:vAlign w:val="bottom"/>
            <w:gridSpan w:val="12"/>
          </w:tcPr>
          <w:p>
            <w:pPr>
              <w:ind w:left="360"/>
              <w:spacing w:after="0"/>
              <w:rPr>
                <w:sz w:val="20"/>
                <w:szCs w:val="20"/>
                <w:color w:val="auto"/>
              </w:rPr>
            </w:pPr>
            <w:r>
              <w:rPr>
                <w:rFonts w:ascii="Arial" w:cs="Arial" w:eastAsia="Arial" w:hAnsi="Arial"/>
                <w:sz w:val="13"/>
                <w:szCs w:val="13"/>
                <w:color w:val="auto"/>
              </w:rPr>
              <w:t>The following table summarizes our contractual obligations as of December 31, 2021 (in thousands).</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Payments due in:</w:t>
            </w: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Less than 1 year</w:t>
            </w:r>
          </w:p>
        </w:tc>
        <w:tc>
          <w:tcPr>
            <w:tcW w:w="480" w:type="dxa"/>
            <w:vAlign w:val="bottom"/>
          </w:tcPr>
          <w:p>
            <w:pPr>
              <w:spacing w:after="0"/>
              <w:rPr>
                <w:sz w:val="12"/>
                <w:szCs w:val="12"/>
                <w:color w:val="auto"/>
              </w:rPr>
            </w:pPr>
          </w:p>
        </w:tc>
        <w:tc>
          <w:tcPr>
            <w:tcW w:w="1240" w:type="dxa"/>
            <w:vAlign w:val="bottom"/>
            <w:gridSpan w:val="2"/>
          </w:tcPr>
          <w:p>
            <w:pPr>
              <w:ind w:left="280"/>
              <w:spacing w:after="0"/>
              <w:rPr>
                <w:sz w:val="20"/>
                <w:szCs w:val="20"/>
                <w:color w:val="auto"/>
              </w:rPr>
            </w:pPr>
            <w:r>
              <w:rPr>
                <w:rFonts w:ascii="Arial" w:cs="Arial" w:eastAsia="Arial" w:hAnsi="Arial"/>
                <w:sz w:val="12"/>
                <w:szCs w:val="12"/>
                <w:b w:val="1"/>
                <w:bCs w:val="1"/>
                <w:color w:val="auto"/>
              </w:rPr>
              <w:t>1-3 years</w:t>
            </w:r>
          </w:p>
        </w:tc>
        <w:tc>
          <w:tcPr>
            <w:tcW w:w="600" w:type="dxa"/>
            <w:vAlign w:val="bottom"/>
          </w:tcPr>
          <w:p>
            <w:pPr>
              <w:spacing w:after="0"/>
              <w:rPr>
                <w:sz w:val="12"/>
                <w:szCs w:val="12"/>
                <w:color w:val="auto"/>
              </w:rPr>
            </w:pPr>
          </w:p>
        </w:tc>
        <w:tc>
          <w:tcPr>
            <w:tcW w:w="1100" w:type="dxa"/>
            <w:vAlign w:val="bottom"/>
            <w:gridSpan w:val="4"/>
          </w:tcPr>
          <w:p>
            <w:pPr>
              <w:ind w:left="160"/>
              <w:spacing w:after="0"/>
              <w:rPr>
                <w:sz w:val="20"/>
                <w:szCs w:val="20"/>
                <w:color w:val="auto"/>
              </w:rPr>
            </w:pPr>
            <w:r>
              <w:rPr>
                <w:rFonts w:ascii="Arial" w:cs="Arial" w:eastAsia="Arial" w:hAnsi="Arial"/>
                <w:sz w:val="12"/>
                <w:szCs w:val="12"/>
                <w:b w:val="1"/>
                <w:bCs w:val="1"/>
                <w:color w:val="auto"/>
              </w:rPr>
              <w:t>4-5 years</w:t>
            </w:r>
          </w:p>
        </w:tc>
        <w:tc>
          <w:tcPr>
            <w:tcW w:w="1340" w:type="dxa"/>
            <w:vAlign w:val="bottom"/>
          </w:tcPr>
          <w:p>
            <w:pPr>
              <w:ind w:left="700"/>
              <w:spacing w:after="0"/>
              <w:rPr>
                <w:sz w:val="20"/>
                <w:szCs w:val="20"/>
                <w:color w:val="auto"/>
              </w:rPr>
            </w:pPr>
            <w:r>
              <w:rPr>
                <w:rFonts w:ascii="Arial" w:cs="Arial" w:eastAsia="Arial" w:hAnsi="Arial"/>
                <w:sz w:val="12"/>
                <w:szCs w:val="12"/>
                <w:b w:val="1"/>
                <w:bCs w:val="1"/>
                <w:color w:val="auto"/>
              </w:rPr>
              <w:t>Thereafter</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Borders>
              <w:top w:val="single" w:sz="8" w:color="CCEEFF"/>
            </w:tcBorders>
            <w:shd w:val="clear" w:color="auto" w:fill="CCEEFF"/>
          </w:tcPr>
          <w:p>
            <w:pPr>
              <w:ind w:left="360"/>
              <w:spacing w:after="0" w:line="149" w:lineRule="exact"/>
              <w:rPr>
                <w:sz w:val="20"/>
                <w:szCs w:val="20"/>
                <w:color w:val="auto"/>
              </w:rPr>
            </w:pPr>
            <w:r>
              <w:rPr>
                <w:rFonts w:ascii="Arial" w:cs="Arial" w:eastAsia="Arial" w:hAnsi="Arial"/>
                <w:sz w:val="13"/>
                <w:szCs w:val="13"/>
                <w:color w:val="auto"/>
              </w:rPr>
              <w:t>Purchase obligations</w:t>
            </w:r>
            <w:r>
              <w:rPr>
                <w:rFonts w:ascii="Arial" w:cs="Arial" w:eastAsia="Arial" w:hAnsi="Arial"/>
                <w:sz w:val="16"/>
                <w:szCs w:val="16"/>
                <w:color w:val="auto"/>
                <w:vertAlign w:val="superscript"/>
              </w:rPr>
              <w:t>(1)</w:t>
            </w:r>
          </w:p>
        </w:tc>
        <w:tc>
          <w:tcPr>
            <w:tcW w:w="240" w:type="dxa"/>
            <w:vAlign w:val="bottom"/>
            <w:tcBorders>
              <w:top w:val="single" w:sz="8" w:color="auto"/>
            </w:tcBorders>
            <w:gridSpan w:val="2"/>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9,974</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4,466</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4,732</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776</w:t>
            </w:r>
          </w:p>
        </w:tc>
        <w:tc>
          <w:tcPr>
            <w:tcW w:w="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right="140" w:hanging="3"/>
        <w:spacing w:after="0" w:line="248" w:lineRule="auto"/>
        <w:tabs>
          <w:tab w:leader="none" w:pos="3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“purchase obligation”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Our purchase obligations relate to obligations associated with implementing and operating new information technology platforms and outsourcing services. The above purchase obligations exclude agreements that are cancelable without significant penalty.</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do not have any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Accounting Policies and Estimates</w:t>
      </w:r>
    </w:p>
    <w:p>
      <w:pPr>
        <w:spacing w:after="0" w:line="86" w:lineRule="exact"/>
        <w:rPr>
          <w:sz w:val="20"/>
          <w:szCs w:val="20"/>
          <w:color w:val="auto"/>
        </w:rPr>
      </w:pPr>
    </w:p>
    <w:p>
      <w:pPr>
        <w:ind w:firstLine="353"/>
        <w:spacing w:after="0" w:line="257" w:lineRule="auto"/>
        <w:rPr>
          <w:sz w:val="20"/>
          <w:szCs w:val="20"/>
          <w:color w:val="auto"/>
        </w:rPr>
      </w:pPr>
      <w:r>
        <w:rPr>
          <w:rFonts w:ascii="Arial" w:cs="Arial" w:eastAsia="Arial" w:hAnsi="Arial"/>
          <w:sz w:val="13"/>
          <w:szCs w:val="13"/>
          <w:color w:val="auto"/>
        </w:rPr>
        <w:t>The preparation of our Consolidated Financial Statements in conformity with GAAP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policies critical.</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Consolidation</w:t>
      </w:r>
    </w:p>
    <w:p>
      <w:pPr>
        <w:spacing w:after="0" w:line="86" w:lineRule="exact"/>
        <w:rPr>
          <w:sz w:val="20"/>
          <w:szCs w:val="20"/>
          <w:color w:val="auto"/>
        </w:rPr>
      </w:pPr>
    </w:p>
    <w:p>
      <w:pPr>
        <w:ind w:right="160" w:firstLine="353"/>
        <w:spacing w:after="0" w:line="284" w:lineRule="auto"/>
        <w:rPr>
          <w:sz w:val="20"/>
          <w:szCs w:val="20"/>
          <w:color w:val="auto"/>
        </w:rPr>
      </w:pPr>
      <w:r>
        <w:rPr>
          <w:rFonts w:ascii="Arial" w:cs="Arial" w:eastAsia="Arial" w:hAnsi="Arial"/>
          <w:sz w:val="12"/>
          <w:szCs w:val="12"/>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the investors' abilities to direct the activities of the entity.</w:t>
      </w:r>
    </w:p>
    <w:p>
      <w:pPr>
        <w:spacing w:after="0" w:line="46" w:lineRule="exact"/>
        <w:rPr>
          <w:sz w:val="20"/>
          <w:szCs w:val="20"/>
          <w:color w:val="auto"/>
        </w:rPr>
      </w:pPr>
    </w:p>
    <w:p>
      <w:pPr>
        <w:ind w:right="220" w:firstLine="353"/>
        <w:spacing w:after="0" w:line="295" w:lineRule="auto"/>
        <w:rPr>
          <w:sz w:val="20"/>
          <w:szCs w:val="20"/>
          <w:color w:val="auto"/>
        </w:rPr>
      </w:pPr>
      <w:r>
        <w:rPr>
          <w:rFonts w:ascii="Arial" w:cs="Arial" w:eastAsia="Arial" w:hAnsi="Arial"/>
          <w:sz w:val="12"/>
          <w:szCs w:val="12"/>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4" w:name="page35"/>
    <w:bookmarkEnd w:id="34"/>
    <w:p>
      <w:pPr>
        <w:spacing w:after="0" w:line="284" w:lineRule="auto"/>
        <w:rPr>
          <w:sz w:val="20"/>
          <w:szCs w:val="20"/>
          <w:color w:val="auto"/>
        </w:rPr>
      </w:pPr>
      <w:r>
        <w:rPr>
          <w:rFonts w:ascii="Arial" w:cs="Arial" w:eastAsia="Arial" w:hAnsi="Arial"/>
          <w:sz w:val="12"/>
          <w:szCs w:val="12"/>
          <w:color w:val="auto"/>
        </w:rPr>
        <w:t>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46" w:lineRule="exact"/>
        <w:rPr>
          <w:sz w:val="20"/>
          <w:szCs w:val="20"/>
          <w:color w:val="auto"/>
        </w:rPr>
      </w:pPr>
    </w:p>
    <w:p>
      <w:pPr>
        <w:ind w:right="40" w:firstLine="353"/>
        <w:spacing w:after="0" w:line="275" w:lineRule="auto"/>
        <w:rPr>
          <w:sz w:val="20"/>
          <w:szCs w:val="20"/>
          <w:color w:val="auto"/>
        </w:rPr>
      </w:pPr>
      <w:r>
        <w:rPr>
          <w:rFonts w:ascii="Arial" w:cs="Arial" w:eastAsia="Arial" w:hAnsi="Arial"/>
          <w:sz w:val="13"/>
          <w:szCs w:val="13"/>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49" w:lineRule="exact"/>
        <w:rPr>
          <w:sz w:val="20"/>
          <w:szCs w:val="20"/>
          <w:color w:val="auto"/>
        </w:rPr>
      </w:pPr>
    </w:p>
    <w:p>
      <w:pPr>
        <w:ind w:right="100" w:firstLine="353"/>
        <w:spacing w:after="0" w:line="259" w:lineRule="auto"/>
        <w:rPr>
          <w:sz w:val="20"/>
          <w:szCs w:val="20"/>
          <w:color w:val="auto"/>
        </w:rPr>
      </w:pPr>
      <w:r>
        <w:rPr>
          <w:rFonts w:ascii="Arial" w:cs="Arial" w:eastAsia="Arial" w:hAnsi="Arial"/>
          <w:sz w:val="13"/>
          <w:szCs w:val="13"/>
          <w:color w:val="auto"/>
        </w:rPr>
        <w:t xml:space="preserve">We evaluated (i) our relationship as sponsor of the Common Trust Funds (“CTFs”) and managing member of the private equity funds Westwood Hospitality and Westwood Technology Opportunities Fund I, LP (collectively the “Private Funds”), (ii) our advisory relationships with the Westwood Funds® and (iii) our investments in InvestCloud and Charis discussed in Note 5 </w:t>
      </w:r>
      <w:r>
        <w:rPr>
          <w:rFonts w:ascii="Arial" w:cs="Arial" w:eastAsia="Arial" w:hAnsi="Arial"/>
          <w:sz w:val="13"/>
          <w:szCs w:val="13"/>
          <w:color w:val="222222"/>
        </w:rPr>
        <w:t>“Investments” to our Consolidated Financial</w:t>
      </w:r>
      <w:r>
        <w:rPr>
          <w:rFonts w:ascii="Arial" w:cs="Arial" w:eastAsia="Arial" w:hAnsi="Arial"/>
          <w:sz w:val="13"/>
          <w:szCs w:val="13"/>
          <w:color w:val="auto"/>
        </w:rPr>
        <w:t xml:space="preserve"> </w:t>
      </w:r>
      <w:r>
        <w:rPr>
          <w:rFonts w:ascii="Arial" w:cs="Arial" w:eastAsia="Arial" w:hAnsi="Arial"/>
          <w:sz w:val="13"/>
          <w:szCs w:val="13"/>
          <w:color w:val="222222"/>
        </w:rPr>
        <w:t xml:space="preserve">Statements included in Part II. Item 8 </w:t>
      </w:r>
      <w:r>
        <w:rPr>
          <w:rFonts w:ascii="Arial" w:cs="Arial" w:eastAsia="Arial" w:hAnsi="Arial"/>
          <w:sz w:val="13"/>
          <w:szCs w:val="13"/>
          <w:color w:val="000000"/>
        </w:rPr>
        <w:t>“Financial Statements and Supplementary Data” (“Private Equity”) to determine whether each of these entities is a variable interest entity (“VIE”) or voting ownership entity</w:t>
      </w:r>
      <w:r>
        <w:rPr>
          <w:rFonts w:ascii="Arial" w:cs="Arial" w:eastAsia="Arial" w:hAnsi="Arial"/>
          <w:sz w:val="13"/>
          <w:szCs w:val="13"/>
          <w:color w:val="222222"/>
        </w:rPr>
        <w:t xml:space="preserve"> </w:t>
      </w:r>
      <w:r>
        <w:rPr>
          <w:rFonts w:ascii="Arial" w:cs="Arial" w:eastAsia="Arial" w:hAnsi="Arial"/>
          <w:sz w:val="13"/>
          <w:szCs w:val="13"/>
          <w:color w:val="000000"/>
        </w:rPr>
        <w:t>(“VOE”).</w:t>
      </w:r>
    </w:p>
    <w:p>
      <w:pPr>
        <w:spacing w:after="0" w:line="60" w:lineRule="exact"/>
        <w:rPr>
          <w:sz w:val="20"/>
          <w:szCs w:val="20"/>
          <w:color w:val="auto"/>
        </w:rPr>
      </w:pPr>
    </w:p>
    <w:p>
      <w:pPr>
        <w:ind w:firstLine="353"/>
        <w:spacing w:after="0" w:line="318" w:lineRule="auto"/>
        <w:rPr>
          <w:sz w:val="20"/>
          <w:szCs w:val="20"/>
          <w:color w:val="auto"/>
        </w:rPr>
      </w:pPr>
      <w:r>
        <w:rPr>
          <w:rFonts w:ascii="Arial" w:cs="Arial" w:eastAsia="Arial" w:hAnsi="Arial"/>
          <w:sz w:val="12"/>
          <w:szCs w:val="12"/>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26" w:lineRule="exact"/>
        <w:rPr>
          <w:sz w:val="20"/>
          <w:szCs w:val="20"/>
          <w:color w:val="auto"/>
        </w:rPr>
      </w:pPr>
    </w:p>
    <w:p>
      <w:pPr>
        <w:ind w:right="140" w:firstLine="353"/>
        <w:spacing w:after="0" w:line="263" w:lineRule="auto"/>
        <w:rPr>
          <w:sz w:val="20"/>
          <w:szCs w:val="20"/>
          <w:color w:val="auto"/>
        </w:rPr>
      </w:pPr>
      <w:r>
        <w:rPr>
          <w:rFonts w:ascii="Arial" w:cs="Arial" w:eastAsia="Arial" w:hAnsi="Arial"/>
          <w:sz w:val="13"/>
          <w:szCs w:val="13"/>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w:t>
      </w:r>
    </w:p>
    <w:p>
      <w:pPr>
        <w:spacing w:after="0" w:line="57" w:lineRule="exact"/>
        <w:rPr>
          <w:sz w:val="20"/>
          <w:szCs w:val="20"/>
          <w:color w:val="auto"/>
        </w:rPr>
      </w:pPr>
    </w:p>
    <w:p>
      <w:pPr>
        <w:ind w:right="240" w:firstLine="353"/>
        <w:spacing w:after="0" w:line="275" w:lineRule="auto"/>
        <w:rPr>
          <w:sz w:val="20"/>
          <w:szCs w:val="20"/>
          <w:color w:val="auto"/>
        </w:rPr>
      </w:pPr>
      <w:r>
        <w:rPr>
          <w:rFonts w:ascii="Arial" w:cs="Arial" w:eastAsia="Arial" w:hAnsi="Arial"/>
          <w:sz w:val="13"/>
          <w:szCs w:val="13"/>
          <w:color w:val="auto"/>
        </w:rPr>
        <w:t>Based on our analyses of our investments in these entities for the periods ending December 31, 2021 and 2020, we have not consolidated the CTFs or Private Funds under the VIE method or the Westwood Funds® or Private Equity under the VOE method, and therefore the financial results of these entities are not included in the Company’s consolidated financial results.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w:t>
      </w:r>
    </w:p>
    <w:p>
      <w:pPr>
        <w:spacing w:after="0" w:line="86" w:lineRule="exact"/>
        <w:rPr>
          <w:sz w:val="20"/>
          <w:szCs w:val="20"/>
          <w:color w:val="auto"/>
        </w:rPr>
      </w:pPr>
    </w:p>
    <w:p>
      <w:pPr>
        <w:ind w:right="40" w:firstLine="353"/>
        <w:spacing w:after="0" w:line="263" w:lineRule="auto"/>
        <w:rPr>
          <w:sz w:val="20"/>
          <w:szCs w:val="20"/>
          <w:color w:val="auto"/>
        </w:rPr>
      </w:pPr>
      <w:r>
        <w:rPr>
          <w:rFonts w:ascii="Arial" w:cs="Arial" w:eastAsia="Arial" w:hAnsi="Arial"/>
          <w:sz w:val="13"/>
          <w:szCs w:val="13"/>
          <w:color w:val="auto"/>
        </w:rPr>
        <w:t>Goodwill is tested at least annually for impairment. We assess the recoverability of the carrying amount of goodwill either qualitatively or quantitatively as of July 1 of each fiscal year, or whenever events or changes in circumstances indicate that the carrying amount of the assets may not be fully recoverable. We test more frequently if indicators are present or changes in circumstances suggest that impairment may exist. These indicators include declines in revenues, earnings or cash flows, or the development of a material adverse change in the business climate.</w:t>
      </w:r>
    </w:p>
    <w:p>
      <w:pPr>
        <w:spacing w:after="0" w:line="57" w:lineRule="exact"/>
        <w:rPr>
          <w:sz w:val="20"/>
          <w:szCs w:val="20"/>
          <w:color w:val="auto"/>
        </w:rPr>
      </w:pPr>
    </w:p>
    <w:p>
      <w:pPr>
        <w:ind w:firstLine="353"/>
        <w:spacing w:after="0" w:line="284" w:lineRule="auto"/>
        <w:rPr>
          <w:sz w:val="20"/>
          <w:szCs w:val="20"/>
          <w:color w:val="auto"/>
        </w:rPr>
      </w:pPr>
      <w:r>
        <w:rPr>
          <w:rFonts w:ascii="Arial" w:cs="Arial" w:eastAsia="Arial" w:hAnsi="Arial"/>
          <w:sz w:val="12"/>
          <w:szCs w:val="12"/>
          <w:color w:val="auto"/>
        </w:rPr>
        <w:t>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and recent financial performance of our reporting units. The quantitative analysis requires a comparison of each reporting unit’s carrying value to the fair value of the respective unit. If the carrying value exceeds the fair value, an impairment charge is recorded based on that difference.</w:t>
      </w:r>
    </w:p>
    <w:p>
      <w:pPr>
        <w:spacing w:after="0" w:line="46" w:lineRule="exact"/>
        <w:rPr>
          <w:sz w:val="20"/>
          <w:szCs w:val="20"/>
          <w:color w:val="auto"/>
        </w:rPr>
      </w:pPr>
    </w:p>
    <w:p>
      <w:pPr>
        <w:ind w:right="100" w:firstLine="353"/>
        <w:spacing w:after="0" w:line="263" w:lineRule="auto"/>
        <w:rPr>
          <w:sz w:val="20"/>
          <w:szCs w:val="20"/>
          <w:color w:val="auto"/>
        </w:rPr>
      </w:pPr>
      <w:r>
        <w:rPr>
          <w:rFonts w:ascii="Arial" w:cs="Arial" w:eastAsia="Arial" w:hAnsi="Arial"/>
          <w:sz w:val="13"/>
          <w:szCs w:val="13"/>
          <w:color w:val="auto"/>
        </w:rPr>
        <w:t>Following a sustained decline in the Company's market capitalization, we determined that the entire goodwill related to our Advisory segment was impaired, and accordingly we recorded charges of $3.4 million during the year ended December 31, 2020 to "Impairment expense" on the Consolidated Statements of Comprehensive Income (Loss). There was no goodwill impairment in the Advisory segment during the years ended December 31, 2021 or 2019.</w:t>
      </w:r>
    </w:p>
    <w:p>
      <w:pPr>
        <w:spacing w:after="0" w:line="57" w:lineRule="exact"/>
        <w:rPr>
          <w:sz w:val="20"/>
          <w:szCs w:val="20"/>
          <w:color w:val="auto"/>
        </w:rPr>
      </w:pPr>
    </w:p>
    <w:p>
      <w:pPr>
        <w:ind w:right="100" w:firstLine="353"/>
        <w:spacing w:after="0" w:line="257" w:lineRule="auto"/>
        <w:rPr>
          <w:sz w:val="20"/>
          <w:szCs w:val="20"/>
          <w:color w:val="auto"/>
        </w:rPr>
      </w:pPr>
      <w:r>
        <w:rPr>
          <w:rFonts w:ascii="Arial" w:cs="Arial" w:eastAsia="Arial" w:hAnsi="Arial"/>
          <w:sz w:val="13"/>
          <w:szCs w:val="13"/>
          <w:color w:val="auto"/>
        </w:rPr>
        <w:t>The fair value of the Trust reporting unit is estimated using a market multiple approach and an income approach. The key assumptions used in the market multiple valuation require significant management judgment, including the determination of our peer group and the valuation multiples of such peer group. The income approach is based on the long-term projected future cash flows of the reporting units. These cash flows are determined based on revenue and expense projections over each of the next five years and a terminal revenue growth rate thereafter. We discount the estimated cash flows to present value using a weighted average cost of capital ("the discount rate") that considers factors such as market assumptions, the timing of cash flows and the risks inherent in such cash flows. An impairment charge would be recognized for the amount by which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carrying amount exceeds the reporting unit’s fair value; however, the loss recognized should not exceed the total amount of goodwill allocated to that reporting unit.</w:t>
      </w:r>
    </w:p>
    <w:p>
      <w:pPr>
        <w:spacing w:after="0" w:line="86" w:lineRule="exact"/>
        <w:rPr>
          <w:sz w:val="20"/>
          <w:szCs w:val="20"/>
          <w:color w:val="auto"/>
        </w:rPr>
      </w:pPr>
    </w:p>
    <w:p>
      <w:pPr>
        <w:jc w:val="both"/>
        <w:ind w:right="260" w:firstLine="353"/>
        <w:spacing w:after="0" w:line="263" w:lineRule="auto"/>
        <w:rPr>
          <w:sz w:val="20"/>
          <w:szCs w:val="20"/>
          <w:color w:val="auto"/>
        </w:rPr>
      </w:pPr>
      <w:r>
        <w:rPr>
          <w:rFonts w:ascii="Arial" w:cs="Arial" w:eastAsia="Arial" w:hAnsi="Arial"/>
          <w:sz w:val="13"/>
          <w:szCs w:val="13"/>
          <w:color w:val="auto"/>
        </w:rPr>
        <w:t>We determined the fair value of the reporting units using a weighted average approach of the market and income approaches. As part of the 2020 Advisory reporting unit assessment, we determined that an increase in the discount rate (from the prior assessment) applied in the valuation was required to align with market-based assumptions. The higher discount rate, in conjunction with revised long-term projections resulted in a lower fair value of the Advisory segment.</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There was no goodwill impairment in the Trust segment during the years ended December 31, 2021, 2020 or 2019.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for Income Taxes</w:t>
      </w:r>
    </w:p>
    <w:p>
      <w:pPr>
        <w:spacing w:after="0" w:line="86" w:lineRule="exact"/>
        <w:rPr>
          <w:sz w:val="20"/>
          <w:szCs w:val="20"/>
          <w:color w:val="auto"/>
        </w:rPr>
      </w:pPr>
    </w:p>
    <w:p>
      <w:pPr>
        <w:ind w:firstLine="353"/>
        <w:spacing w:after="0" w:line="257" w:lineRule="auto"/>
        <w:rPr>
          <w:sz w:val="20"/>
          <w:szCs w:val="20"/>
          <w:color w:val="auto"/>
        </w:rPr>
      </w:pPr>
      <w:r>
        <w:rPr>
          <w:rFonts w:ascii="Arial" w:cs="Arial" w:eastAsia="Arial" w:hAnsi="Arial"/>
          <w:sz w:val="13"/>
          <w:szCs w:val="13"/>
          <w:color w:val="auto"/>
        </w:rPr>
        <w:t>We operate in several states and countries and are required to allocate our income, expenses and earnings under the various laws and regulations of these tax jurisdictions. Accordingly, our provision for income taxes reflects the statutory tax obligations of the jurisdictions in which we operate. Significant judgment and complex calculations are used when determining our tax liability and in evaluating our tax positions, and we are subject to audits by taxing authorities in each of the jurisdictions in which we operate. We adjust our income tax provision in the period in which we determine that actual outcomes will likely be different from our estimates. Changes in tax laws may result in changes to our tax position and effective tax rates. We include penalties and interest on income-based taxes in the “General and administrative” line on our Consolidated Statements of Comprehensive Income (Loss).</w:t>
      </w:r>
    </w:p>
    <w:p>
      <w:pPr>
        <w:spacing w:after="0" w:line="62" w:lineRule="exact"/>
        <w:rPr>
          <w:sz w:val="20"/>
          <w:szCs w:val="20"/>
          <w:color w:val="auto"/>
        </w:rPr>
      </w:pPr>
    </w:p>
    <w:p>
      <w:pPr>
        <w:ind w:right="40" w:firstLine="353"/>
        <w:spacing w:after="0" w:line="369" w:lineRule="auto"/>
        <w:rPr>
          <w:sz w:val="20"/>
          <w:szCs w:val="20"/>
          <w:color w:val="auto"/>
        </w:rPr>
      </w:pPr>
      <w:r>
        <w:rPr>
          <w:rFonts w:ascii="Arial" w:cs="Arial" w:eastAsia="Arial" w:hAnsi="Arial"/>
          <w:sz w:val="11"/>
          <w:szCs w:val="11"/>
          <w:color w:val="auto"/>
        </w:rPr>
        <w:t>We are required to assess whether a valuation allowance should be established against our deferred tax assets based on consideration of all available evidence, using a more-likely-than-not standard. As of December 31, 2021 and 2020, we have not recorded a valuation allowance on any deferred tax assets. In the event that sufficient taxable income does not result in future years, a valuation allowance may be required.</w:t>
      </w:r>
    </w:p>
    <w:p>
      <w:pPr>
        <w:spacing w:after="0" w:line="3" w:lineRule="exact"/>
        <w:rPr>
          <w:sz w:val="20"/>
          <w:szCs w:val="20"/>
          <w:color w:val="auto"/>
        </w:rPr>
      </w:pPr>
    </w:p>
    <w:p>
      <w:pPr>
        <w:ind w:right="80" w:firstLine="353"/>
        <w:spacing w:after="0" w:line="257" w:lineRule="auto"/>
        <w:rPr>
          <w:sz w:val="20"/>
          <w:szCs w:val="20"/>
          <w:color w:val="auto"/>
        </w:rPr>
      </w:pPr>
      <w:r>
        <w:rPr>
          <w:rFonts w:ascii="Arial" w:cs="Arial" w:eastAsia="Arial" w:hAnsi="Arial"/>
          <w:sz w:val="13"/>
          <w:szCs w:val="13"/>
          <w:color w:val="auto"/>
        </w:rPr>
        <w:t xml:space="preserve">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periodically review our tax positions and adjust the balances as new information becomes available. In making these assessments, we often must analyze complex tax laws of multiple domestic and international jurisdictions. The actual outcome of our tax positions, if significantly different from our estimates, could materially impact the financial statements. Further information on uncertain tax positions is included in Note 8 “Income Taxes” </w:t>
      </w:r>
      <w:r>
        <w:rPr>
          <w:rFonts w:ascii="Arial" w:cs="Arial" w:eastAsia="Arial" w:hAnsi="Arial"/>
          <w:sz w:val="13"/>
          <w:szCs w:val="13"/>
          <w:color w:val="222222"/>
        </w:rPr>
        <w:t>to our Consolidated Financial Statements included in Part II. Item 8</w:t>
      </w:r>
      <w:r>
        <w:rPr>
          <w:rFonts w:ascii="Arial" w:cs="Arial" w:eastAsia="Arial" w:hAnsi="Arial"/>
          <w:sz w:val="13"/>
          <w:szCs w:val="13"/>
          <w:color w:val="auto"/>
        </w:rPr>
        <w:t xml:space="preserve"> “Financial Statements and Supplementary Data.”</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Accounting Developments</w:t>
      </w:r>
    </w:p>
    <w:p>
      <w:pPr>
        <w:spacing w:after="0" w:line="86" w:lineRule="exact"/>
        <w:rPr>
          <w:sz w:val="20"/>
          <w:szCs w:val="20"/>
          <w:color w:val="auto"/>
        </w:rPr>
      </w:pPr>
    </w:p>
    <w:p>
      <w:pPr>
        <w:ind w:right="420" w:firstLine="353"/>
        <w:spacing w:after="0" w:line="275" w:lineRule="auto"/>
        <w:rPr>
          <w:sz w:val="20"/>
          <w:szCs w:val="20"/>
          <w:color w:val="auto"/>
        </w:rPr>
      </w:pPr>
      <w:r>
        <w:rPr>
          <w:rFonts w:ascii="Arial" w:cs="Arial" w:eastAsia="Arial" w:hAnsi="Arial"/>
          <w:sz w:val="13"/>
          <w:szCs w:val="13"/>
          <w:color w:val="auto"/>
        </w:rPr>
        <w:t>See Note 2 “Summary of Significant Accounting Policies” to our Consolidated Financial Statements included in Part II, Item 8, “Financial Statements and Supplementary Data” for a description of new accounting standards and their anticipated effects on our Consolidated Financial Statements.</w:t>
      </w:r>
    </w:p>
    <w:p>
      <w:pPr>
        <w:spacing w:after="0" w:line="45"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80" w:lineRule="exact"/>
        <w:rPr>
          <w:sz w:val="20"/>
          <w:szCs w:val="20"/>
          <w:color w:val="auto"/>
        </w:rPr>
      </w:pPr>
    </w:p>
    <w:p>
      <w:pPr>
        <w:ind w:right="60" w:firstLine="353"/>
        <w:spacing w:after="0" w:line="263" w:lineRule="auto"/>
        <w:rPr>
          <w:sz w:val="20"/>
          <w:szCs w:val="20"/>
          <w:color w:val="auto"/>
        </w:rPr>
      </w:pPr>
      <w:r>
        <w:rPr>
          <w:rFonts w:ascii="Arial" w:cs="Arial" w:eastAsia="Arial" w:hAnsi="Arial"/>
          <w:sz w:val="13"/>
          <w:szCs w:val="13"/>
          <w:color w:val="auto"/>
        </w:rPr>
        <w:t>Our revenues are primarily generated from fees derived as a percentage of our AUM, which is subject to market risks. Additionally, we invest corporate capital in various financial instruments, including U. S. treasury bills and equity funds, all of which present inherent market risks. We do not currently participate in any hedging activities, nor do we utilize any derivative financial instruments. The following information describes the key aspects of certain financial instruments that involve market risks.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Securities Markets and Interest Rates</w:t>
      </w:r>
    </w:p>
    <w:p>
      <w:pPr>
        <w:spacing w:after="0" w:line="86"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3"/>
          <w:szCs w:val="13"/>
          <w:color w:val="auto"/>
        </w:rPr>
        <w:t>The value of AUM is affected by fluctuations in securities markets and changes in interest rates. Since we derive a substantial portion of our revenues from investment advisory and trust fees based on the value of AUM, our revenues may be adversely affected by a decline in the prices of securities or changing interest rates. A hypothetical 10% decrease in our average AUM during the year ended December 31, 2021 would have reduced our reported consolidated total revenue by approximately $7 million.</w:t>
      </w:r>
    </w:p>
    <w:p>
      <w:pPr>
        <w:spacing w:after="0" w:line="57" w:lineRule="exact"/>
        <w:rPr>
          <w:sz w:val="20"/>
          <w:szCs w:val="20"/>
          <w:color w:val="auto"/>
        </w:rPr>
      </w:pPr>
    </w:p>
    <w:p>
      <w:pPr>
        <w:ind w:right="420" w:firstLine="353"/>
        <w:spacing w:after="0" w:line="275" w:lineRule="auto"/>
        <w:rPr>
          <w:sz w:val="20"/>
          <w:szCs w:val="20"/>
          <w:color w:val="auto"/>
        </w:rPr>
      </w:pPr>
      <w:r>
        <w:rPr>
          <w:rFonts w:ascii="Arial" w:cs="Arial" w:eastAsia="Arial" w:hAnsi="Arial"/>
          <w:sz w:val="13"/>
          <w:szCs w:val="13"/>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45"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90" w:lineRule="exact"/>
        <w:rPr>
          <w:sz w:val="20"/>
          <w:szCs w:val="20"/>
          <w:color w:val="auto"/>
        </w:rPr>
      </w:pPr>
    </w:p>
    <w:p>
      <w:pPr>
        <w:ind w:right="540" w:firstLine="353"/>
        <w:spacing w:after="0" w:line="275" w:lineRule="auto"/>
        <w:rPr>
          <w:sz w:val="20"/>
          <w:szCs w:val="20"/>
          <w:color w:val="auto"/>
        </w:rPr>
      </w:pPr>
      <w:r>
        <w:rPr>
          <w:rFonts w:ascii="Arial" w:cs="Arial" w:eastAsia="Arial" w:hAnsi="Arial"/>
          <w:sz w:val="13"/>
          <w:szCs w:val="13"/>
          <w:color w:val="auto"/>
        </w:rPr>
        <w:t>The independent registered public accounting firm's report and our Consolidated Financial Statements listed in the accompanying index are included in Item 15 of this Report. See “Index to Financial Statements” on page F-1.</w:t>
      </w:r>
    </w:p>
    <w:p>
      <w:pPr>
        <w:spacing w:after="0" w:line="45"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9" w:lineRule="exact"/>
        <w:rPr>
          <w:sz w:val="20"/>
          <w:szCs w:val="20"/>
          <w:color w:val="auto"/>
        </w:rPr>
      </w:pPr>
    </w:p>
    <w:p>
      <w:pPr>
        <w:jc w:val="right"/>
        <w:ind w:right="445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47625</wp:posOffset>
            </wp:positionV>
            <wp:extent cx="719518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9799"/>
          </w:cols>
          <w:pgMar w:left="660" w:top="768" w:right="1440" w:bottom="1440" w:gutter="0" w:footer="0" w:header="0"/>
        </w:sectPr>
      </w:pPr>
    </w:p>
    <w:bookmarkStart w:id="37" w:name="page38"/>
    <w:bookmarkEnd w:id="37"/>
    <w:p>
      <w:pPr>
        <w:spacing w:after="0"/>
        <w:tabs>
          <w:tab w:leader="none" w:pos="60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90" w:lineRule="exact"/>
        <w:rPr>
          <w:sz w:val="20"/>
          <w:szCs w:val="20"/>
          <w:color w:val="auto"/>
        </w:rPr>
      </w:pPr>
    </w:p>
    <w:p>
      <w:pPr>
        <w:ind w:firstLine="353"/>
        <w:spacing w:after="0" w:line="257" w:lineRule="auto"/>
        <w:rPr>
          <w:sz w:val="20"/>
          <w:szCs w:val="20"/>
          <w:color w:val="auto"/>
        </w:rPr>
      </w:pPr>
      <w:r>
        <w:rPr>
          <w:rFonts w:ascii="Arial" w:cs="Arial" w:eastAsia="Arial" w:hAnsi="Arial"/>
          <w:sz w:val="13"/>
          <w:szCs w:val="13"/>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Based on that evaluation, our management, including our Chief Executive Officer and Chief Financial Officer, has concluded that our disclosure controls and procedures were effective at the reasonable assurance level as of December 31, 2021 to ensure that information required to be disclosed by us in the reports we file or submit under the Exchange Act was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62" w:lineRule="exact"/>
        <w:rPr>
          <w:sz w:val="20"/>
          <w:szCs w:val="20"/>
          <w:color w:val="auto"/>
        </w:rPr>
      </w:pPr>
    </w:p>
    <w:p>
      <w:pPr>
        <w:ind w:right="20" w:firstLine="353"/>
        <w:spacing w:after="0" w:line="275" w:lineRule="auto"/>
        <w:rPr>
          <w:sz w:val="20"/>
          <w:szCs w:val="20"/>
          <w:color w:val="auto"/>
        </w:rPr>
      </w:pPr>
      <w:r>
        <w:rPr>
          <w:rFonts w:ascii="Arial" w:cs="Arial" w:eastAsia="Arial" w:hAnsi="Arial"/>
          <w:sz w:val="13"/>
          <w:szCs w:val="13"/>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90" w:lineRule="exact"/>
        <w:rPr>
          <w:sz w:val="20"/>
          <w:szCs w:val="20"/>
          <w:color w:val="auto"/>
        </w:rPr>
      </w:pPr>
    </w:p>
    <w:p>
      <w:pPr>
        <w:ind w:right="340" w:firstLine="353"/>
        <w:spacing w:after="0" w:line="275" w:lineRule="auto"/>
        <w:rPr>
          <w:sz w:val="20"/>
          <w:szCs w:val="20"/>
          <w:color w:val="auto"/>
        </w:rPr>
      </w:pPr>
      <w:r>
        <w:rPr>
          <w:rFonts w:ascii="Arial" w:cs="Arial" w:eastAsia="Arial" w:hAnsi="Arial"/>
          <w:sz w:val="13"/>
          <w:szCs w:val="13"/>
          <w:color w:val="auto"/>
        </w:rPr>
        <w:t>During the quarterly period ended December 31, 2021, there has been no change in our internal control over financial reporting that has materially affected, or is reasonably likely to materially affect, our internal control over financial reporting.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REPORT OF WESTWOOD HOLDINGS GROUP, INC.’S MANAGEMENT ASSESSMENT OF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Stockholders 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Westwood Holdings Group, Inc.:</w:t>
      </w:r>
    </w:p>
    <w:p>
      <w:pPr>
        <w:spacing w:after="0" w:line="86"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57" w:lineRule="exact"/>
        <w:rPr>
          <w:sz w:val="20"/>
          <w:szCs w:val="20"/>
          <w:color w:val="auto"/>
        </w:rPr>
      </w:pPr>
    </w:p>
    <w:p>
      <w:pPr>
        <w:ind w:right="240"/>
        <w:spacing w:after="0" w:line="263" w:lineRule="auto"/>
        <w:rPr>
          <w:sz w:val="20"/>
          <w:szCs w:val="20"/>
          <w:color w:val="auto"/>
        </w:rPr>
      </w:pPr>
      <w:r>
        <w:rPr>
          <w:rFonts w:ascii="Arial" w:cs="Arial" w:eastAsia="Arial" w:hAnsi="Arial"/>
          <w:sz w:val="13"/>
          <w:szCs w:val="13"/>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 xml:space="preserve">The management of Westwood assessed the effectiveness of Westwood’s internal control over financial reporting as of December 31, 2021. In making this assessment, it used the criteria set forth by the Committee of Sponsoring Organizations of the Treadway Commission (COSO) in the 2013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Based on our assessment, we believe that, as of December 31, 2021, Westwood’s internal control over financial reporting is effective based on those criteria.</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Westwood is not required to, nor did it, engage an independent registered public accounting firm to issue an audit report on our assessment of Westwood's internal control over financial reporting.</w:t>
      </w:r>
    </w:p>
    <w:p>
      <w:pPr>
        <w:spacing w:after="0" w:line="22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10160</wp:posOffset>
            </wp:positionV>
            <wp:extent cx="37719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71900" cy="635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Brian O. Casey, President &amp; Chief Executive Officer</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10160</wp:posOffset>
            </wp:positionV>
            <wp:extent cx="37719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71900" cy="635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Murray Forbes III, Chief Financial Officer &amp; Treasurer</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March 4, 2022</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Dallas, Texas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842" w:right="339" w:bottom="1440" w:gutter="0" w:footer="0" w:header="0"/>
        </w:sectPr>
      </w:pPr>
    </w:p>
    <w:bookmarkStart w:id="39" w:name="page40"/>
    <w:bookmarkEnd w:id="39"/>
    <w:p>
      <w:pPr>
        <w:ind w:left="2"/>
        <w:spacing w:after="0"/>
        <w:tabs>
          <w:tab w:leader="none" w:pos="581"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90" w:lineRule="exact"/>
        <w:rPr>
          <w:sz w:val="20"/>
          <w:szCs w:val="20"/>
          <w:color w:val="auto"/>
        </w:rPr>
      </w:pPr>
    </w:p>
    <w:p>
      <w:pPr>
        <w:ind w:left="362"/>
        <w:spacing w:after="0"/>
        <w:rPr>
          <w:sz w:val="20"/>
          <w:szCs w:val="20"/>
          <w:color w:val="auto"/>
        </w:rPr>
      </w:pPr>
      <w:r>
        <w:rPr>
          <w:rFonts w:ascii="Arial" w:cs="Arial" w:eastAsia="Arial" w:hAnsi="Arial"/>
          <w:sz w:val="13"/>
          <w:szCs w:val="13"/>
          <w:color w:val="auto"/>
        </w:rPr>
        <w:t>None.</w:t>
      </w:r>
    </w:p>
    <w:p>
      <w:pPr>
        <w:spacing w:after="0" w:line="15" w:lineRule="exact"/>
        <w:rPr>
          <w:sz w:val="20"/>
          <w:szCs w:val="20"/>
          <w:color w:val="auto"/>
        </w:rPr>
      </w:pPr>
    </w:p>
    <w:p>
      <w:pPr>
        <w:jc w:val="center"/>
        <w:ind w:right="-21"/>
        <w:spacing w:after="0"/>
        <w:rPr>
          <w:sz w:val="20"/>
          <w:szCs w:val="20"/>
          <w:color w:val="auto"/>
        </w:rPr>
      </w:pPr>
      <w:r>
        <w:rPr>
          <w:rFonts w:ascii="Arial" w:cs="Arial" w:eastAsia="Arial" w:hAnsi="Arial"/>
          <w:sz w:val="13"/>
          <w:szCs w:val="13"/>
          <w:b w:val="1"/>
          <w:bCs w:val="1"/>
          <w:color w:val="auto"/>
        </w:rPr>
        <w:t>PART III</w:t>
      </w:r>
    </w:p>
    <w:p>
      <w:pPr>
        <w:spacing w:after="0" w:line="74"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90" w:lineRule="exact"/>
        <w:rPr>
          <w:sz w:val="20"/>
          <w:szCs w:val="20"/>
          <w:color w:val="auto"/>
        </w:rPr>
      </w:pPr>
    </w:p>
    <w:p>
      <w:pPr>
        <w:jc w:val="both"/>
        <w:ind w:left="2" w:firstLine="353"/>
        <w:spacing w:after="0" w:line="263" w:lineRule="auto"/>
        <w:rPr>
          <w:sz w:val="20"/>
          <w:szCs w:val="20"/>
          <w:color w:val="auto"/>
        </w:rPr>
      </w:pPr>
      <w:r>
        <w:rPr>
          <w:rFonts w:ascii="Arial" w:cs="Arial" w:eastAsia="Arial" w:hAnsi="Arial"/>
          <w:sz w:val="13"/>
          <w:szCs w:val="13"/>
          <w:color w:val="auto"/>
        </w:rPr>
        <w:t>The information required by this item is, or will be, set forth in the definitive proxy statement relating to the 2022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53"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90" w:lineRule="exact"/>
        <w:rPr>
          <w:sz w:val="20"/>
          <w:szCs w:val="20"/>
          <w:color w:val="auto"/>
        </w:rPr>
      </w:pPr>
    </w:p>
    <w:p>
      <w:pPr>
        <w:ind w:left="2" w:right="240" w:firstLine="353"/>
        <w:spacing w:after="0" w:line="275" w:lineRule="auto"/>
        <w:rPr>
          <w:sz w:val="20"/>
          <w:szCs w:val="20"/>
          <w:color w:val="auto"/>
        </w:rPr>
      </w:pPr>
      <w:r>
        <w:rPr>
          <w:rFonts w:ascii="Arial" w:cs="Arial" w:eastAsia="Arial" w:hAnsi="Arial"/>
          <w:sz w:val="13"/>
          <w:szCs w:val="13"/>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45"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8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Equity Compensation Plan Information</w:t>
      </w:r>
    </w:p>
    <w:p>
      <w:pPr>
        <w:spacing w:after="0" w:line="90" w:lineRule="exact"/>
        <w:rPr>
          <w:sz w:val="20"/>
          <w:szCs w:val="20"/>
          <w:color w:val="auto"/>
        </w:rPr>
      </w:pPr>
    </w:p>
    <w:p>
      <w:pPr>
        <w:ind w:left="2" w:right="40" w:firstLine="353"/>
        <w:spacing w:after="0" w:line="259" w:lineRule="auto"/>
        <w:rPr>
          <w:sz w:val="20"/>
          <w:szCs w:val="20"/>
          <w:color w:val="auto"/>
        </w:rPr>
      </w:pPr>
      <w:r>
        <w:rPr>
          <w:rFonts w:ascii="Arial" w:cs="Arial" w:eastAsia="Arial" w:hAnsi="Arial"/>
          <w:sz w:val="13"/>
          <w:szCs w:val="13"/>
          <w:color w:val="auto"/>
        </w:rPr>
        <w:t xml:space="preserve">The following table gives information as of December 31, 2021 about shares of our common stock that may be issued upon the exercise of options, warrants and rights under our Eighth Amended and Restated Westwood Holdings Group, Inc. Stock Incentive Plan and the Share Award Plan of Westwood Holdings Group, Inc. for Service Provided in Canada to its Subsidiaries, which are our only equity compensation plans in effect at that time. The material terms of these plans were approved by our stockholders and are discussed in Note 7 “Employee Benefits” to our Consolidated Financial Statements included in </w:t>
      </w:r>
      <w:r>
        <w:rPr>
          <w:rFonts w:ascii="Arial" w:cs="Arial" w:eastAsia="Arial" w:hAnsi="Arial"/>
          <w:sz w:val="13"/>
          <w:szCs w:val="13"/>
          <w:color w:val="222222"/>
        </w:rPr>
        <w:t>Part II. Item 8</w:t>
      </w:r>
      <w:r>
        <w:rPr>
          <w:rFonts w:ascii="Arial" w:cs="Arial" w:eastAsia="Arial" w:hAnsi="Arial"/>
          <w:sz w:val="13"/>
          <w:szCs w:val="13"/>
          <w:color w:val="auto"/>
        </w:rPr>
        <w:t xml:space="preserve"> “Financial Statements and Supplementary Data."</w:t>
      </w:r>
    </w:p>
    <w:p>
      <w:pPr>
        <w:spacing w:after="0" w:line="72"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5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2"/>
              </w:rPr>
              <w:t>Number of securities to be issued</w:t>
            </w:r>
          </w:p>
        </w:tc>
        <w:tc>
          <w:tcPr>
            <w:tcW w:w="180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w w:val="92"/>
              </w:rPr>
              <w:t>Weighted- average exercise price of</w:t>
            </w:r>
          </w:p>
        </w:tc>
        <w:tc>
          <w:tcPr>
            <w:tcW w:w="21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Number of securities remaining</w:t>
            </w:r>
          </w:p>
        </w:tc>
        <w:tc>
          <w:tcPr>
            <w:tcW w:w="0" w:type="dxa"/>
            <w:vAlign w:val="bottom"/>
          </w:tcPr>
          <w:p>
            <w:pPr>
              <w:spacing w:after="0"/>
              <w:rPr>
                <w:sz w:val="1"/>
                <w:szCs w:val="1"/>
                <w:color w:val="auto"/>
              </w:rPr>
            </w:pPr>
          </w:p>
        </w:tc>
      </w:tr>
      <w:tr>
        <w:trPr>
          <w:trHeight w:val="98"/>
        </w:trPr>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2140" w:type="dxa"/>
            <w:vAlign w:val="bottom"/>
            <w:gridSpan w:val="2"/>
          </w:tcPr>
          <w:p>
            <w:pPr>
              <w:jc w:val="center"/>
              <w:ind w:right="300"/>
              <w:spacing w:after="0" w:line="98" w:lineRule="exact"/>
              <w:rPr>
                <w:sz w:val="20"/>
                <w:szCs w:val="20"/>
                <w:color w:val="auto"/>
              </w:rPr>
            </w:pPr>
            <w:r>
              <w:rPr>
                <w:rFonts w:ascii="Arial" w:cs="Arial" w:eastAsia="Arial" w:hAnsi="Arial"/>
                <w:sz w:val="10"/>
                <w:szCs w:val="10"/>
                <w:b w:val="1"/>
                <w:bCs w:val="1"/>
                <w:color w:val="auto"/>
                <w:w w:val="94"/>
              </w:rPr>
              <w:t>available for future issuance under</w:t>
            </w:r>
          </w:p>
        </w:tc>
        <w:tc>
          <w:tcPr>
            <w:tcW w:w="0" w:type="dxa"/>
            <w:vAlign w:val="bottom"/>
          </w:tcPr>
          <w:p>
            <w:pPr>
              <w:spacing w:after="0"/>
              <w:rPr>
                <w:sz w:val="1"/>
                <w:szCs w:val="1"/>
                <w:color w:val="auto"/>
              </w:rPr>
            </w:pPr>
          </w:p>
        </w:tc>
      </w:tr>
      <w:tr>
        <w:trPr>
          <w:trHeight w:val="98"/>
        </w:trPr>
        <w:tc>
          <w:tcPr>
            <w:tcW w:w="54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Plan Category</w:t>
            </w:r>
          </w:p>
        </w:tc>
        <w:tc>
          <w:tcPr>
            <w:tcW w:w="100" w:type="dxa"/>
            <w:vAlign w:val="bottom"/>
            <w:vMerge w:val="restart"/>
          </w:tcPr>
          <w:p>
            <w:pPr>
              <w:spacing w:after="0"/>
              <w:rPr>
                <w:sz w:val="8"/>
                <w:szCs w:val="8"/>
                <w:color w:val="auto"/>
              </w:rPr>
            </w:pPr>
          </w:p>
        </w:tc>
        <w:tc>
          <w:tcPr>
            <w:tcW w:w="1780" w:type="dxa"/>
            <w:vAlign w:val="bottom"/>
            <w:gridSpan w:val="2"/>
          </w:tcPr>
          <w:p>
            <w:pPr>
              <w:jc w:val="center"/>
              <w:ind w:right="100"/>
              <w:spacing w:after="0" w:line="98" w:lineRule="exact"/>
              <w:rPr>
                <w:sz w:val="20"/>
                <w:szCs w:val="20"/>
                <w:color w:val="auto"/>
              </w:rPr>
            </w:pPr>
            <w:r>
              <w:rPr>
                <w:rFonts w:ascii="Arial" w:cs="Arial" w:eastAsia="Arial" w:hAnsi="Arial"/>
                <w:sz w:val="10"/>
                <w:szCs w:val="10"/>
                <w:b w:val="1"/>
                <w:bCs w:val="1"/>
                <w:color w:val="auto"/>
                <w:w w:val="90"/>
              </w:rPr>
              <w:t>upon exercise of outstanding options,</w:t>
            </w:r>
          </w:p>
        </w:tc>
        <w:tc>
          <w:tcPr>
            <w:tcW w:w="80" w:type="dxa"/>
            <w:vAlign w:val="bottom"/>
          </w:tcPr>
          <w:p>
            <w:pPr>
              <w:spacing w:after="0"/>
              <w:rPr>
                <w:sz w:val="8"/>
                <w:szCs w:val="8"/>
                <w:color w:val="auto"/>
              </w:rPr>
            </w:pPr>
          </w:p>
        </w:tc>
        <w:tc>
          <w:tcPr>
            <w:tcW w:w="172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2"/>
              </w:rPr>
              <w:t>outstanding options, warrants and</w:t>
            </w:r>
          </w:p>
        </w:tc>
        <w:tc>
          <w:tcPr>
            <w:tcW w:w="2140" w:type="dxa"/>
            <w:vAlign w:val="bottom"/>
            <w:gridSpan w:val="2"/>
          </w:tcPr>
          <w:p>
            <w:pPr>
              <w:jc w:val="center"/>
              <w:ind w:right="300"/>
              <w:spacing w:after="0" w:line="98" w:lineRule="exact"/>
              <w:rPr>
                <w:sz w:val="20"/>
                <w:szCs w:val="20"/>
                <w:color w:val="auto"/>
              </w:rPr>
            </w:pPr>
            <w:r>
              <w:rPr>
                <w:rFonts w:ascii="Arial" w:cs="Arial" w:eastAsia="Arial" w:hAnsi="Arial"/>
                <w:sz w:val="10"/>
                <w:szCs w:val="10"/>
                <w:b w:val="1"/>
                <w:bCs w:val="1"/>
                <w:color w:val="auto"/>
                <w:w w:val="92"/>
              </w:rPr>
              <w:t>equity compensation plans (excluding</w:t>
            </w:r>
          </w:p>
        </w:tc>
        <w:tc>
          <w:tcPr>
            <w:tcW w:w="0" w:type="dxa"/>
            <w:vAlign w:val="bottom"/>
          </w:tcPr>
          <w:p>
            <w:pPr>
              <w:spacing w:after="0"/>
              <w:rPr>
                <w:sz w:val="1"/>
                <w:szCs w:val="1"/>
                <w:color w:val="auto"/>
              </w:rPr>
            </w:pPr>
          </w:p>
        </w:tc>
      </w:tr>
      <w:tr>
        <w:trPr>
          <w:trHeight w:val="136"/>
        </w:trPr>
        <w:tc>
          <w:tcPr>
            <w:tcW w:w="54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warrants and rights (a)</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2"/>
              </w:rPr>
              <w:t>rights (b)</w:t>
            </w:r>
          </w:p>
        </w:tc>
        <w:tc>
          <w:tcPr>
            <w:tcW w:w="10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securities reflected in column (a)) (c)</w:t>
            </w:r>
          </w:p>
        </w:tc>
        <w:tc>
          <w:tcPr>
            <w:tcW w:w="3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1780" w:type="dxa"/>
            <w:vAlign w:val="bottom"/>
            <w:gridSpan w:val="2"/>
            <w:shd w:val="clear" w:color="auto" w:fill="CCEEFF"/>
          </w:tcPr>
          <w:p>
            <w:pPr>
              <w:ind w:left="1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3"/>
                <w:szCs w:val="13"/>
                <w:color w:val="auto"/>
              </w:rPr>
              <w:t>—</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 xml:space="preserve">776,000 </w:t>
            </w:r>
            <w:r>
              <w:rPr>
                <w:rFonts w:ascii="Arial" w:cs="Arial" w:eastAsia="Arial" w:hAnsi="Arial"/>
                <w:sz w:val="7"/>
                <w:szCs w:val="7"/>
                <w:color w:val="auto"/>
              </w:rPr>
              <w:t>(1)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 w:right="120" w:hanging="2"/>
        <w:spacing w:after="0" w:line="257" w:lineRule="auto"/>
        <w:tabs>
          <w:tab w:leader="none" w:pos="153" w:val="left"/>
        </w:tabs>
        <w:numPr>
          <w:ilvl w:val="0"/>
          <w:numId w:val="16"/>
        </w:numPr>
        <w:rPr>
          <w:rFonts w:ascii="Arial" w:cs="Arial" w:eastAsia="Arial" w:hAnsi="Arial"/>
          <w:sz w:val="10"/>
          <w:szCs w:val="10"/>
          <w:color w:val="auto"/>
        </w:rPr>
      </w:pPr>
      <w:r>
        <w:rPr>
          <w:rFonts w:ascii="Arial" w:cs="Arial" w:eastAsia="Arial" w:hAnsi="Arial"/>
          <w:sz w:val="12"/>
          <w:szCs w:val="12"/>
          <w:color w:val="auto"/>
        </w:rPr>
        <w:t>776,000 shares are available under our Eighth Amended and Restated Westwood Holdings Group, Inc. Stock Incentive Plan. Our Share Award Plan of Westwood Holdings Group, Inc. for Service Provided in Canada to its Subsidiaries was effectively terminated following the closure of Westwood International Advisors.</w:t>
      </w:r>
    </w:p>
    <w:p>
      <w:pPr>
        <w:spacing w:after="0" w:line="56" w:lineRule="exact"/>
        <w:rPr>
          <w:sz w:val="20"/>
          <w:szCs w:val="20"/>
          <w:color w:val="auto"/>
        </w:rPr>
      </w:pPr>
    </w:p>
    <w:p>
      <w:pPr>
        <w:ind w:left="2" w:right="480" w:firstLine="353"/>
        <w:spacing w:after="0" w:line="275" w:lineRule="auto"/>
        <w:rPr>
          <w:sz w:val="20"/>
          <w:szCs w:val="20"/>
          <w:color w:val="auto"/>
        </w:rPr>
      </w:pPr>
      <w:r>
        <w:rPr>
          <w:rFonts w:ascii="Arial" w:cs="Arial" w:eastAsia="Arial" w:hAnsi="Arial"/>
          <w:sz w:val="13"/>
          <w:szCs w:val="13"/>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163"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90" w:lineRule="exact"/>
        <w:rPr>
          <w:sz w:val="20"/>
          <w:szCs w:val="20"/>
          <w:color w:val="auto"/>
        </w:rPr>
      </w:pPr>
    </w:p>
    <w:p>
      <w:pPr>
        <w:ind w:left="2" w:right="240" w:firstLine="353"/>
        <w:spacing w:after="0" w:line="275" w:lineRule="auto"/>
        <w:rPr>
          <w:sz w:val="20"/>
          <w:szCs w:val="20"/>
          <w:color w:val="auto"/>
        </w:rPr>
      </w:pPr>
      <w:r>
        <w:rPr>
          <w:rFonts w:ascii="Arial" w:cs="Arial" w:eastAsia="Arial" w:hAnsi="Arial"/>
          <w:sz w:val="13"/>
          <w:szCs w:val="13"/>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163"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90" w:lineRule="exact"/>
        <w:rPr>
          <w:sz w:val="20"/>
          <w:szCs w:val="20"/>
          <w:color w:val="auto"/>
        </w:rPr>
      </w:pPr>
    </w:p>
    <w:p>
      <w:pPr>
        <w:ind w:left="2" w:right="240" w:firstLine="353"/>
        <w:spacing w:after="0" w:line="275" w:lineRule="auto"/>
        <w:rPr>
          <w:sz w:val="20"/>
          <w:szCs w:val="20"/>
          <w:color w:val="auto"/>
        </w:rPr>
      </w:pPr>
      <w:r>
        <w:rPr>
          <w:rFonts w:ascii="Arial" w:cs="Arial" w:eastAsia="Arial" w:hAnsi="Arial"/>
          <w:sz w:val="13"/>
          <w:szCs w:val="13"/>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373"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881" w:right="319" w:bottom="1440" w:gutter="0" w:footer="0" w:header="0"/>
        </w:sectPr>
      </w:pPr>
    </w:p>
    <w:bookmarkStart w:id="40" w:name="page41"/>
    <w:bookmarkEnd w:id="40"/>
    <w:p>
      <w:pPr>
        <w:jc w:val="center"/>
        <w:ind w:right="-179"/>
        <w:spacing w:after="0"/>
        <w:rPr>
          <w:sz w:val="20"/>
          <w:szCs w:val="20"/>
          <w:color w:val="auto"/>
        </w:rPr>
      </w:pPr>
      <w:r>
        <w:rPr>
          <w:rFonts w:ascii="Arial" w:cs="Arial" w:eastAsia="Arial" w:hAnsi="Arial"/>
          <w:sz w:val="13"/>
          <w:szCs w:val="13"/>
          <w:b w:val="1"/>
          <w:bCs w:val="1"/>
          <w:color w:val="auto"/>
        </w:rPr>
        <w:t>PART IV</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color w:val="auto"/>
        </w:rPr>
        <w:t>Exhibits, Financial Statement Schedules.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Statement Schedules</w:t>
      </w:r>
    </w:p>
    <w:p>
      <w:pPr>
        <w:spacing w:after="0" w:line="90" w:lineRule="exact"/>
        <w:rPr>
          <w:sz w:val="20"/>
          <w:szCs w:val="20"/>
          <w:color w:val="auto"/>
        </w:rPr>
      </w:pPr>
    </w:p>
    <w:p>
      <w:pPr>
        <w:ind w:firstLine="353"/>
        <w:spacing w:after="0" w:line="275" w:lineRule="auto"/>
        <w:rPr>
          <w:sz w:val="20"/>
          <w:szCs w:val="20"/>
          <w:color w:val="auto"/>
        </w:rPr>
      </w:pPr>
      <w:r>
        <w:rPr>
          <w:rFonts w:ascii="Arial" w:cs="Arial" w:eastAsia="Arial" w:hAnsi="Arial"/>
          <w:sz w:val="13"/>
          <w:szCs w:val="13"/>
          <w:color w:val="auto"/>
        </w:rPr>
        <w:t>The financial statements included in this Report are listed in the Index to Financial Statements on page 1 of this Report. Schedules for which provision is made in the applicable accounting regulations of the SEC are either not required under the related instructions or are not applicable.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exhibits required to be furnished pursuant to Item 15 are listed in the Index to Exhibits filed herewith, which Index to Exhibits is incorporated herein by reference.</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120"/>
          </w:cols>
          <w:pgMar w:left="300" w:top="842" w:right="479" w:bottom="1440" w:gutter="0" w:footer="0" w:header="0"/>
        </w:sectPr>
      </w:pPr>
    </w:p>
    <w:bookmarkStart w:id="41" w:name="page42"/>
    <w:bookmarkEnd w:id="41"/>
    <w:p>
      <w:pPr>
        <w:ind w:left="5220"/>
        <w:spacing w:after="0"/>
        <w:rPr>
          <w:sz w:val="20"/>
          <w:szCs w:val="20"/>
          <w:color w:val="auto"/>
        </w:rPr>
      </w:pPr>
      <w:r>
        <w:rPr>
          <w:rFonts w:ascii="Arial" w:cs="Arial" w:eastAsia="Arial" w:hAnsi="Arial"/>
          <w:sz w:val="13"/>
          <w:szCs w:val="13"/>
          <w:b w:val="1"/>
          <w:bCs w:val="1"/>
          <w:color w:val="auto"/>
        </w:rPr>
        <w:t>SIGNATURES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p>
    <w:p>
      <w:pPr>
        <w:spacing w:after="0" w:line="60"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WESTWOOD HOLDINGS GROUP, INC.</w:t>
      </w:r>
    </w:p>
    <w:p>
      <w:pPr>
        <w:spacing w:after="0" w:line="213" w:lineRule="exact"/>
        <w:rPr>
          <w:sz w:val="20"/>
          <w:szCs w:val="20"/>
          <w:color w:val="auto"/>
        </w:rPr>
      </w:pPr>
    </w:p>
    <w:tbl>
      <w:tblPr>
        <w:tblLayout w:type="fixed"/>
        <w:tblInd w:w="6340" w:type="dxa"/>
        <w:tblCellMar>
          <w:top w:w="0" w:type="dxa"/>
          <w:left w:w="0" w:type="dxa"/>
          <w:bottom w:w="0" w:type="dxa"/>
          <w:right w:w="0" w:type="dxa"/>
        </w:tblCellMar>
      </w:tblPr>
      <w:tr>
        <w:trPr>
          <w:trHeight w:val="165"/>
        </w:trPr>
        <w:tc>
          <w:tcPr>
            <w:tcW w:w="200" w:type="dxa"/>
            <w:vAlign w:val="bottom"/>
          </w:tcPr>
          <w:p>
            <w:pPr>
              <w:spacing w:after="0"/>
              <w:rPr>
                <w:sz w:val="20"/>
                <w:szCs w:val="20"/>
                <w:color w:val="auto"/>
              </w:rPr>
            </w:pPr>
            <w:r>
              <w:rPr>
                <w:rFonts w:ascii="Arial" w:cs="Arial" w:eastAsia="Arial" w:hAnsi="Arial"/>
                <w:sz w:val="13"/>
                <w:szCs w:val="13"/>
                <w:color w:val="auto"/>
                <w:w w:val="95"/>
              </w:rPr>
              <w:t>By:</w:t>
            </w:r>
          </w:p>
        </w:tc>
        <w:tc>
          <w:tcPr>
            <w:tcW w:w="472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/s/ Brian O. Casey</w:t>
            </w:r>
          </w:p>
        </w:tc>
      </w:tr>
      <w:tr>
        <w:trPr>
          <w:trHeight w:val="156"/>
        </w:trPr>
        <w:tc>
          <w:tcPr>
            <w:tcW w:w="200" w:type="dxa"/>
            <w:vAlign w:val="bottom"/>
          </w:tcPr>
          <w:p>
            <w:pPr>
              <w:spacing w:after="0"/>
              <w:rPr>
                <w:sz w:val="13"/>
                <w:szCs w:val="13"/>
                <w:color w:val="auto"/>
              </w:rPr>
            </w:pPr>
          </w:p>
        </w:tc>
        <w:tc>
          <w:tcPr>
            <w:tcW w:w="4720" w:type="dxa"/>
            <w:vAlign w:val="bottom"/>
          </w:tcPr>
          <w:p>
            <w:pPr>
              <w:ind w:left="400"/>
              <w:spacing w:after="0"/>
              <w:rPr>
                <w:sz w:val="20"/>
                <w:szCs w:val="20"/>
                <w:color w:val="auto"/>
              </w:rPr>
            </w:pPr>
            <w:r>
              <w:rPr>
                <w:rFonts w:ascii="Arial" w:cs="Arial" w:eastAsia="Arial" w:hAnsi="Arial"/>
                <w:sz w:val="13"/>
                <w:szCs w:val="13"/>
                <w:color w:val="auto"/>
              </w:rPr>
              <w:t>Brian O. Casey</w:t>
            </w:r>
          </w:p>
        </w:tc>
      </w:tr>
      <w:tr>
        <w:trPr>
          <w:trHeight w:val="167"/>
        </w:trPr>
        <w:tc>
          <w:tcPr>
            <w:tcW w:w="200" w:type="dxa"/>
            <w:vAlign w:val="bottom"/>
          </w:tcPr>
          <w:p>
            <w:pPr>
              <w:spacing w:after="0"/>
              <w:rPr>
                <w:sz w:val="14"/>
                <w:szCs w:val="14"/>
                <w:color w:val="auto"/>
              </w:rPr>
            </w:pPr>
          </w:p>
        </w:tc>
        <w:tc>
          <w:tcPr>
            <w:tcW w:w="4720" w:type="dxa"/>
            <w:vAlign w:val="bottom"/>
          </w:tcPr>
          <w:p>
            <w:pPr>
              <w:ind w:left="380"/>
              <w:spacing w:after="0"/>
              <w:rPr>
                <w:sz w:val="20"/>
                <w:szCs w:val="20"/>
                <w:color w:val="auto"/>
              </w:rPr>
            </w:pPr>
            <w:r>
              <w:rPr>
                <w:rFonts w:ascii="Arial" w:cs="Arial" w:eastAsia="Arial" w:hAnsi="Arial"/>
                <w:sz w:val="13"/>
                <w:szCs w:val="13"/>
                <w:color w:val="auto"/>
              </w:rPr>
              <w:t>President, Chief Executive Officer and Director</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Dated: March 4, 2022</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right="80" w:firstLine="353"/>
        <w:spacing w:after="0" w:line="284" w:lineRule="auto"/>
        <w:rPr>
          <w:sz w:val="20"/>
          <w:szCs w:val="20"/>
          <w:color w:val="auto"/>
        </w:rPr>
      </w:pPr>
      <w:r>
        <w:rPr>
          <w:rFonts w:ascii="Arial" w:cs="Arial" w:eastAsia="Arial" w:hAnsi="Arial"/>
          <w:sz w:val="12"/>
          <w:szCs w:val="12"/>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40" w:lineRule="exact"/>
        <w:rPr>
          <w:sz w:val="20"/>
          <w:szCs w:val="20"/>
          <w:color w:val="auto"/>
        </w:rPr>
      </w:pPr>
    </w:p>
    <w:p>
      <w:pPr>
        <w:ind w:left="2420"/>
        <w:spacing w:after="0"/>
        <w:tabs>
          <w:tab w:leader="none" w:pos="8400" w:val="left"/>
        </w:tabs>
        <w:rPr>
          <w:sz w:val="20"/>
          <w:szCs w:val="20"/>
          <w:color w:val="auto"/>
        </w:rPr>
      </w:pPr>
      <w:r>
        <w:rPr>
          <w:rFonts w:ascii="Arial" w:cs="Arial" w:eastAsia="Arial" w:hAnsi="Arial"/>
          <w:sz w:val="10"/>
          <w:szCs w:val="10"/>
          <w:b w:val="1"/>
          <w:bCs w:val="1"/>
          <w:color w:val="auto"/>
        </w:rPr>
        <w:t>Signatures</w:t>
      </w:r>
      <w:r>
        <w:rPr>
          <w:sz w:val="20"/>
          <w:szCs w:val="20"/>
          <w:color w:val="auto"/>
        </w:rPr>
        <w:tab/>
      </w:r>
      <w:r>
        <w:rPr>
          <w:rFonts w:ascii="Arial" w:cs="Arial" w:eastAsia="Arial" w:hAnsi="Arial"/>
          <w:sz w:val="10"/>
          <w:szCs w:val="1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5772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6350"/>
                    </a:xfrm>
                    <a:prstGeom prst="rect">
                      <a:avLst/>
                    </a:prstGeom>
                    <a:noFill/>
                  </pic:spPr>
                </pic:pic>
              </a:graphicData>
            </a:graphic>
          </wp:anchor>
        </w:drawing>
      </w:r>
    </w:p>
    <w:p>
      <w:pPr>
        <w:sectPr>
          <w:pgSz w:w="11900" w:h="16838" w:orient="portrait"/>
          <w:cols w:equalWidth="0" w:num="1">
            <w:col w:w="11260"/>
          </w:cols>
          <w:pgMar w:left="300" w:top="685" w:right="339" w:bottom="1440" w:gutter="0" w:footer="0" w:header="0"/>
        </w:sectPr>
      </w:pPr>
    </w:p>
    <w:p>
      <w:pPr>
        <w:spacing w:after="0" w:line="158"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14896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48965" cy="6350"/>
                    </a:xfrm>
                    <a:prstGeom prst="rect">
                      <a:avLst/>
                    </a:prstGeom>
                    <a:noFill/>
                  </pic:spPr>
                </pic:pic>
              </a:graphicData>
            </a:graphic>
          </wp:anchor>
        </w:drawing>
      </w:r>
    </w:p>
    <w:p>
      <w:pPr>
        <w:spacing w:after="0" w:line="7"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Brian O. Casey</w:t>
      </w:r>
    </w:p>
    <w:p>
      <w:pPr>
        <w:spacing w:after="0" w:line="135"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14896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48965" cy="6350"/>
                    </a:xfrm>
                    <a:prstGeom prst="rect">
                      <a:avLst/>
                    </a:prstGeom>
                    <a:noFill/>
                  </pic:spPr>
                </pic:pic>
              </a:graphicData>
            </a:graphic>
          </wp:anchor>
        </w:drawing>
      </w:r>
    </w:p>
    <w:p>
      <w:pPr>
        <w:spacing w:after="0" w:line="7"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Murray Forbes III</w:t>
      </w:r>
    </w:p>
    <w:p>
      <w:pPr>
        <w:spacing w:after="0" w:line="135"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14896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48965" cy="6350"/>
                    </a:xfrm>
                    <a:prstGeom prst="rect">
                      <a:avLst/>
                    </a:prstGeom>
                    <a:noFill/>
                  </pic:spPr>
                </pic:pic>
              </a:graphicData>
            </a:graphic>
          </wp:anchor>
        </w:drawing>
      </w:r>
    </w:p>
    <w:p>
      <w:pPr>
        <w:spacing w:after="0" w:line="7"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Richard M. Frank</w:t>
      </w:r>
    </w:p>
    <w:p>
      <w:pPr>
        <w:spacing w:after="0" w:line="135"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14896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48965" cy="6350"/>
                    </a:xfrm>
                    <a:prstGeom prst="rect">
                      <a:avLst/>
                    </a:prstGeom>
                    <a:noFill/>
                  </pic:spPr>
                </pic:pic>
              </a:graphicData>
            </a:graphic>
          </wp:anchor>
        </w:drawing>
      </w:r>
    </w:p>
    <w:p>
      <w:pPr>
        <w:spacing w:after="0" w:line="7"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Susan M. Byrne</w:t>
      </w:r>
    </w:p>
    <w:p>
      <w:pPr>
        <w:spacing w:after="0" w:line="135"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14896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48965" cy="6350"/>
                    </a:xfrm>
                    <a:prstGeom prst="rect">
                      <a:avLst/>
                    </a:prstGeom>
                    <a:noFill/>
                  </pic:spPr>
                </pic:pic>
              </a:graphicData>
            </a:graphic>
          </wp:anchor>
        </w:drawing>
      </w:r>
    </w:p>
    <w:p>
      <w:pPr>
        <w:spacing w:after="0" w:line="7"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Ellen H. Masterson</w:t>
      </w:r>
    </w:p>
    <w:p>
      <w:pPr>
        <w:spacing w:after="0" w:line="135"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14896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48965" cy="6350"/>
                    </a:xfrm>
                    <a:prstGeom prst="rect">
                      <a:avLst/>
                    </a:prstGeom>
                    <a:noFill/>
                  </pic:spPr>
                </pic:pic>
              </a:graphicData>
            </a:graphic>
          </wp:anchor>
        </w:drawing>
      </w:r>
    </w:p>
    <w:p>
      <w:pPr>
        <w:spacing w:after="0" w:line="7"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Geoffrey R. Norman</w:t>
      </w:r>
    </w:p>
    <w:p>
      <w:pPr>
        <w:spacing w:after="0" w:line="135" w:lineRule="exact"/>
        <w:rPr>
          <w:sz w:val="20"/>
          <w:szCs w:val="20"/>
          <w:color w:val="auto"/>
        </w:rPr>
      </w:pPr>
    </w:p>
    <w:p>
      <w:pPr>
        <w:jc w:val="center"/>
        <w:ind w:left="240"/>
        <w:spacing w:after="0"/>
        <w:rPr>
          <w:sz w:val="20"/>
          <w:szCs w:val="20"/>
          <w:color w:val="auto"/>
        </w:rPr>
      </w:pPr>
      <w:r>
        <w:rPr>
          <w:rFonts w:ascii="Arial" w:cs="Arial" w:eastAsia="Arial" w:hAnsi="Arial"/>
          <w:sz w:val="11"/>
          <w:szCs w:val="11"/>
          <w:color w:val="auto"/>
        </w:rPr>
        <w:t>/s/ Raymond E.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14896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48965" cy="6350"/>
                    </a:xfrm>
                    <a:prstGeom prst="rect">
                      <a:avLst/>
                    </a:prstGeom>
                    <a:noFill/>
                  </pic:spPr>
                </pic:pic>
              </a:graphicData>
            </a:graphic>
          </wp:anchor>
        </w:drawing>
      </w:r>
    </w:p>
    <w:p>
      <w:pPr>
        <w:spacing w:after="0" w:line="30"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Raymond E. Wooldridge</w:t>
      </w:r>
    </w:p>
    <w:p>
      <w:pPr>
        <w:spacing w:after="0" w:line="213"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/s/ Randy A.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14896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48965" cy="6350"/>
                    </a:xfrm>
                    <a:prstGeom prst="rect">
                      <a:avLst/>
                    </a:prstGeom>
                    <a:noFill/>
                  </pic:spPr>
                </pic:pic>
              </a:graphicData>
            </a:graphic>
          </wp:anchor>
        </w:drawing>
      </w:r>
    </w:p>
    <w:p>
      <w:pPr>
        <w:spacing w:after="0" w:line="7"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Randy A. Bowman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372173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(Principal Executive Officer)</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372173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(Principal Financial Officer and Principal Accounting Officer)</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372173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372173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372173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372173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372173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372173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376" w:lineRule="exact"/>
        <w:rPr>
          <w:sz w:val="20"/>
          <w:szCs w:val="20"/>
          <w:color w:val="auto"/>
        </w:rPr>
      </w:pPr>
    </w:p>
    <w:p>
      <w:pPr>
        <w:sectPr>
          <w:pgSz w:w="11900" w:h="16838" w:orient="portrait"/>
          <w:cols w:equalWidth="0" w:num="2">
            <w:col w:w="5060" w:space="720"/>
            <w:col w:w="5480"/>
          </w:cols>
          <w:pgMar w:left="300" w:top="685"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69215</wp:posOffset>
            </wp:positionV>
            <wp:extent cx="719518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685"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3"/>
          <w:szCs w:val="13"/>
          <w:b w:val="1"/>
          <w:bCs w:val="1"/>
          <w:color w:val="auto"/>
        </w:rPr>
        <w:t>INDEX TO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920" w:type="dxa"/>
            <w:vAlign w:val="bottom"/>
          </w:tcPr>
          <w:p>
            <w:pPr>
              <w:jc w:val="center"/>
              <w:ind w:right="32"/>
              <w:spacing w:after="0"/>
              <w:rPr>
                <w:sz w:val="20"/>
                <w:szCs w:val="20"/>
                <w:color w:val="auto"/>
              </w:rPr>
            </w:pPr>
            <w:r>
              <w:rPr>
                <w:rFonts w:ascii="Arial" w:cs="Arial" w:eastAsia="Arial" w:hAnsi="Arial"/>
                <w:sz w:val="10"/>
                <w:szCs w:val="10"/>
                <w:color w:val="auto"/>
                <w:w w:val="85"/>
              </w:rPr>
              <w:t>Page</w:t>
            </w:r>
          </w:p>
        </w:tc>
      </w:tr>
      <w:tr>
        <w:trPr>
          <w:trHeight w:val="146"/>
        </w:trPr>
        <w:tc>
          <w:tcPr>
            <w:tcW w:w="20" w:type="dxa"/>
            <w:vAlign w:val="bottom"/>
          </w:tcPr>
          <w:p>
            <w:pPr>
              <w:spacing w:after="0"/>
              <w:rPr>
                <w:sz w:val="12"/>
                <w:szCs w:val="12"/>
                <w:color w:val="auto"/>
              </w:rPr>
            </w:pPr>
          </w:p>
        </w:tc>
        <w:tc>
          <w:tcPr>
            <w:tcW w:w="3060" w:type="dxa"/>
            <w:vAlign w:val="bottom"/>
            <w:tcBorders>
              <w:bottom w:val="single" w:sz="8" w:color="0000FF"/>
            </w:tcBorders>
            <w:gridSpan w:val="2"/>
          </w:tcPr>
          <w:p>
            <w:pPr>
              <w:spacing w:after="0" w:line="147" w:lineRule="exact"/>
              <w:rPr>
                <w:rFonts w:ascii="Arial" w:cs="Arial" w:eastAsia="Arial" w:hAnsi="Arial"/>
                <w:sz w:val="13"/>
                <w:szCs w:val="13"/>
                <w:color w:val="0000FF"/>
                <w:w w:val="91"/>
              </w:rPr>
            </w:pPr>
            <w:hyperlink w:anchor="page43">
              <w:r>
                <w:rPr>
                  <w:rFonts w:ascii="Arial" w:cs="Arial" w:eastAsia="Arial" w:hAnsi="Arial"/>
                  <w:sz w:val="13"/>
                  <w:szCs w:val="13"/>
                  <w:color w:val="0000FF"/>
                  <w:w w:val="91"/>
                </w:rPr>
                <w:t>Report of Independent Registered Public Accounting Firm</w:t>
              </w:r>
            </w:hyperlink>
          </w:p>
        </w:tc>
        <w:tc>
          <w:tcPr>
            <w:tcW w:w="2940" w:type="dxa"/>
            <w:vAlign w:val="bottom"/>
            <w:gridSpan w:val="4"/>
          </w:tcPr>
          <w:p>
            <w:pPr>
              <w:spacing w:after="0"/>
              <w:rPr>
                <w:sz w:val="12"/>
                <w:szCs w:val="12"/>
                <w:color w:val="auto"/>
              </w:rPr>
            </w:pPr>
          </w:p>
        </w:tc>
        <w:tc>
          <w:tcPr>
            <w:tcW w:w="4340" w:type="dxa"/>
            <w:vAlign w:val="bottom"/>
          </w:tcPr>
          <w:p>
            <w:pPr>
              <w:ind w:left="3320"/>
              <w:spacing w:after="0"/>
              <w:rPr>
                <w:sz w:val="20"/>
                <w:szCs w:val="20"/>
                <w:color w:val="auto"/>
              </w:rPr>
            </w:pPr>
            <w:r>
              <w:rPr>
                <w:rFonts w:ascii="Arial" w:cs="Arial" w:eastAsia="Arial" w:hAnsi="Arial"/>
                <w:sz w:val="12"/>
                <w:szCs w:val="12"/>
                <w:color w:val="auto"/>
              </w:rPr>
              <w:t>PCAOB ID: 34</w:t>
            </w:r>
          </w:p>
        </w:tc>
        <w:tc>
          <w:tcPr>
            <w:tcW w:w="920" w:type="dxa"/>
            <w:vAlign w:val="bottom"/>
          </w:tcPr>
          <w:p>
            <w:pPr>
              <w:jc w:val="center"/>
              <w:ind w:right="32"/>
              <w:spacing w:after="0"/>
              <w:rPr>
                <w:rFonts w:ascii="Arial" w:cs="Arial" w:eastAsia="Arial" w:hAnsi="Arial"/>
                <w:sz w:val="9"/>
                <w:szCs w:val="9"/>
                <w:color w:val="auto"/>
                <w:w w:val="78"/>
              </w:rPr>
            </w:pPr>
            <w:hyperlink w:anchor="page43">
              <w:r>
                <w:rPr>
                  <w:rFonts w:ascii="Arial" w:cs="Arial" w:eastAsia="Arial" w:hAnsi="Arial"/>
                  <w:sz w:val="9"/>
                  <w:szCs w:val="9"/>
                  <w:color w:val="auto"/>
                  <w:w w:val="78"/>
                </w:rPr>
                <w:t>2</w:t>
              </w:r>
            </w:hyperlink>
          </w:p>
        </w:tc>
      </w:tr>
      <w:tr>
        <w:trPr>
          <w:trHeight w:val="147"/>
        </w:trPr>
        <w:tc>
          <w:tcPr>
            <w:tcW w:w="20" w:type="dxa"/>
            <w:vAlign w:val="bottom"/>
          </w:tcPr>
          <w:p>
            <w:pPr>
              <w:spacing w:after="0"/>
              <w:rPr>
                <w:sz w:val="12"/>
                <w:szCs w:val="12"/>
                <w:color w:val="auto"/>
              </w:rPr>
            </w:pPr>
          </w:p>
        </w:tc>
        <w:tc>
          <w:tcPr>
            <w:tcW w:w="6000" w:type="dxa"/>
            <w:vAlign w:val="bottom"/>
            <w:gridSpan w:val="6"/>
          </w:tcPr>
          <w:p>
            <w:pPr>
              <w:spacing w:after="0" w:line="147" w:lineRule="exact"/>
              <w:rPr>
                <w:rFonts w:ascii="Arial" w:cs="Arial" w:eastAsia="Arial" w:hAnsi="Arial"/>
                <w:sz w:val="13"/>
                <w:szCs w:val="13"/>
                <w:color w:val="0000FF"/>
              </w:rPr>
            </w:pPr>
            <w:hyperlink w:anchor="page45">
              <w:r>
                <w:rPr>
                  <w:rFonts w:ascii="Arial" w:cs="Arial" w:eastAsia="Arial" w:hAnsi="Arial"/>
                  <w:sz w:val="13"/>
                  <w:szCs w:val="13"/>
                  <w:color w:val="0000FF"/>
                </w:rPr>
                <w:t xml:space="preserve">Consolidated Balance Sheets as of December 31, 2021 and </w:t>
              </w:r>
            </w:hyperlink>
            <w:r>
              <w:rPr>
                <w:rFonts w:ascii="Arial" w:cs="Arial" w:eastAsia="Arial" w:hAnsi="Arial"/>
                <w:sz w:val="13"/>
                <w:szCs w:val="13"/>
                <w:color w:val="0000FF"/>
              </w:rPr>
              <w:t>2020</w:t>
            </w:r>
          </w:p>
        </w:tc>
        <w:tc>
          <w:tcPr>
            <w:tcW w:w="4340" w:type="dxa"/>
            <w:vAlign w:val="bottom"/>
          </w:tcPr>
          <w:p>
            <w:pPr>
              <w:spacing w:after="0"/>
              <w:rPr>
                <w:sz w:val="12"/>
                <w:szCs w:val="12"/>
                <w:color w:val="auto"/>
              </w:rPr>
            </w:pPr>
          </w:p>
        </w:tc>
        <w:tc>
          <w:tcPr>
            <w:tcW w:w="920" w:type="dxa"/>
            <w:vAlign w:val="bottom"/>
          </w:tcPr>
          <w:p>
            <w:pPr>
              <w:jc w:val="center"/>
              <w:ind w:right="32"/>
              <w:spacing w:after="0"/>
              <w:rPr>
                <w:rFonts w:ascii="Arial" w:cs="Arial" w:eastAsia="Arial" w:hAnsi="Arial"/>
                <w:sz w:val="9"/>
                <w:szCs w:val="9"/>
                <w:color w:val="auto"/>
                <w:w w:val="78"/>
              </w:rPr>
            </w:pPr>
            <w:hyperlink w:anchor="page45">
              <w:r>
                <w:rPr>
                  <w:rFonts w:ascii="Arial" w:cs="Arial" w:eastAsia="Arial" w:hAnsi="Arial"/>
                  <w:sz w:val="9"/>
                  <w:szCs w:val="9"/>
                  <w:color w:val="auto"/>
                  <w:w w:val="78"/>
                </w:rPr>
                <w:t>4</w:t>
              </w:r>
            </w:hyperlink>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000" w:type="dxa"/>
            <w:vAlign w:val="bottom"/>
            <w:tcBorders>
              <w:bottom w:val="single" w:sz="8" w:color="0000FF"/>
            </w:tcBorders>
            <w:gridSpan w:val="6"/>
          </w:tcPr>
          <w:p>
            <w:pPr>
              <w:spacing w:after="0" w:line="147" w:lineRule="exact"/>
              <w:rPr>
                <w:rFonts w:ascii="Arial" w:cs="Arial" w:eastAsia="Arial" w:hAnsi="Arial"/>
                <w:sz w:val="13"/>
                <w:szCs w:val="13"/>
                <w:color w:val="0000FF"/>
                <w:w w:val="89"/>
              </w:rPr>
            </w:pPr>
            <w:hyperlink w:anchor="page46">
              <w:r>
                <w:rPr>
                  <w:rFonts w:ascii="Arial" w:cs="Arial" w:eastAsia="Arial" w:hAnsi="Arial"/>
                  <w:sz w:val="13"/>
                  <w:szCs w:val="13"/>
                  <w:color w:val="0000FF"/>
                  <w:w w:val="89"/>
                </w:rPr>
                <w:t xml:space="preserve">Consolidated Statements of Comprehensive Income (Loss) for the years ended December 31, </w:t>
              </w:r>
            </w:hyperlink>
            <w:r>
              <w:rPr>
                <w:rFonts w:ascii="Arial" w:cs="Arial" w:eastAsia="Arial" w:hAnsi="Arial"/>
                <w:sz w:val="13"/>
                <w:szCs w:val="13"/>
                <w:color w:val="0000FF"/>
                <w:w w:val="89"/>
              </w:rPr>
              <w:t xml:space="preserve">2021, 2020 </w:t>
            </w:r>
            <w:hyperlink w:anchor="page46">
              <w:r>
                <w:rPr>
                  <w:rFonts w:ascii="Arial" w:cs="Arial" w:eastAsia="Arial" w:hAnsi="Arial"/>
                  <w:sz w:val="13"/>
                  <w:szCs w:val="13"/>
                  <w:color w:val="0000FF"/>
                  <w:w w:val="89"/>
                </w:rPr>
                <w:t xml:space="preserve">and </w:t>
              </w:r>
            </w:hyperlink>
            <w:r>
              <w:rPr>
                <w:rFonts w:ascii="Arial" w:cs="Arial" w:eastAsia="Arial" w:hAnsi="Arial"/>
                <w:sz w:val="13"/>
                <w:szCs w:val="13"/>
                <w:color w:val="0000FF"/>
                <w:w w:val="89"/>
              </w:rPr>
              <w:t>2019</w:t>
            </w:r>
          </w:p>
        </w:tc>
        <w:tc>
          <w:tcPr>
            <w:tcW w:w="4340" w:type="dxa"/>
            <w:vAlign w:val="bottom"/>
          </w:tcPr>
          <w:p>
            <w:pPr>
              <w:spacing w:after="0"/>
              <w:rPr>
                <w:sz w:val="12"/>
                <w:szCs w:val="12"/>
                <w:color w:val="auto"/>
              </w:rPr>
            </w:pPr>
          </w:p>
        </w:tc>
        <w:tc>
          <w:tcPr>
            <w:tcW w:w="920" w:type="dxa"/>
            <w:vAlign w:val="bottom"/>
          </w:tcPr>
          <w:p>
            <w:pPr>
              <w:jc w:val="center"/>
              <w:ind w:right="32"/>
              <w:spacing w:after="0"/>
              <w:rPr>
                <w:rFonts w:ascii="Arial" w:cs="Arial" w:eastAsia="Arial" w:hAnsi="Arial"/>
                <w:sz w:val="9"/>
                <w:szCs w:val="9"/>
                <w:color w:val="auto"/>
                <w:w w:val="78"/>
              </w:rPr>
            </w:pPr>
            <w:hyperlink w:anchor="page46">
              <w:r>
                <w:rPr>
                  <w:rFonts w:ascii="Arial" w:cs="Arial" w:eastAsia="Arial" w:hAnsi="Arial"/>
                  <w:sz w:val="9"/>
                  <w:szCs w:val="9"/>
                  <w:color w:val="auto"/>
                  <w:w w:val="78"/>
                </w:rPr>
                <w:t>5</w:t>
              </w:r>
            </w:hyperlink>
          </w:p>
        </w:tc>
      </w:tr>
      <w:tr>
        <w:trPr>
          <w:trHeight w:val="147"/>
        </w:trPr>
        <w:tc>
          <w:tcPr>
            <w:tcW w:w="20" w:type="dxa"/>
            <w:vAlign w:val="bottom"/>
          </w:tcPr>
          <w:p>
            <w:pPr>
              <w:spacing w:after="0"/>
              <w:rPr>
                <w:sz w:val="12"/>
                <w:szCs w:val="12"/>
                <w:color w:val="auto"/>
              </w:rPr>
            </w:pPr>
          </w:p>
        </w:tc>
        <w:tc>
          <w:tcPr>
            <w:tcW w:w="5500" w:type="dxa"/>
            <w:vAlign w:val="bottom"/>
            <w:tcBorders>
              <w:bottom w:val="single" w:sz="8" w:color="0000FF"/>
            </w:tcBorders>
            <w:gridSpan w:val="5"/>
          </w:tcPr>
          <w:p>
            <w:pPr>
              <w:spacing w:after="0" w:line="147" w:lineRule="exact"/>
              <w:rPr>
                <w:rFonts w:ascii="Arial" w:cs="Arial" w:eastAsia="Arial" w:hAnsi="Arial"/>
                <w:sz w:val="13"/>
                <w:szCs w:val="13"/>
                <w:color w:val="0000FF"/>
                <w:w w:val="90"/>
              </w:rPr>
            </w:pPr>
            <w:hyperlink w:anchor="page47">
              <w:r>
                <w:rPr>
                  <w:rFonts w:ascii="Arial" w:cs="Arial" w:eastAsia="Arial" w:hAnsi="Arial"/>
                  <w:sz w:val="13"/>
                  <w:szCs w:val="13"/>
                  <w:color w:val="0000FF"/>
                  <w:w w:val="90"/>
                </w:rPr>
                <w:t xml:space="preserve">Consolidated Statements of Stockholders’ Equity for the years ended December 31, </w:t>
              </w:r>
            </w:hyperlink>
            <w:r>
              <w:rPr>
                <w:rFonts w:ascii="Arial" w:cs="Arial" w:eastAsia="Arial" w:hAnsi="Arial"/>
                <w:sz w:val="13"/>
                <w:szCs w:val="13"/>
                <w:color w:val="0000FF"/>
                <w:w w:val="90"/>
              </w:rPr>
              <w:t xml:space="preserve">2021, 2020 </w:t>
            </w:r>
            <w:hyperlink w:anchor="page47">
              <w:r>
                <w:rPr>
                  <w:rFonts w:ascii="Arial" w:cs="Arial" w:eastAsia="Arial" w:hAnsi="Arial"/>
                  <w:sz w:val="13"/>
                  <w:szCs w:val="13"/>
                  <w:color w:val="0000FF"/>
                  <w:w w:val="90"/>
                </w:rPr>
                <w:t xml:space="preserve">and </w:t>
              </w:r>
            </w:hyperlink>
            <w:r>
              <w:rPr>
                <w:rFonts w:ascii="Arial" w:cs="Arial" w:eastAsia="Arial" w:hAnsi="Arial"/>
                <w:sz w:val="13"/>
                <w:szCs w:val="13"/>
                <w:color w:val="0000FF"/>
                <w:w w:val="90"/>
              </w:rPr>
              <w:t>2019</w:t>
            </w:r>
          </w:p>
        </w:tc>
        <w:tc>
          <w:tcPr>
            <w:tcW w:w="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jc w:val="center"/>
              <w:ind w:right="32"/>
              <w:spacing w:after="0"/>
              <w:rPr>
                <w:rFonts w:ascii="Arial" w:cs="Arial" w:eastAsia="Arial" w:hAnsi="Arial"/>
                <w:sz w:val="9"/>
                <w:szCs w:val="9"/>
                <w:color w:val="auto"/>
                <w:w w:val="78"/>
              </w:rPr>
            </w:pPr>
            <w:hyperlink w:anchor="page47">
              <w:r>
                <w:rPr>
                  <w:rFonts w:ascii="Arial" w:cs="Arial" w:eastAsia="Arial" w:hAnsi="Arial"/>
                  <w:sz w:val="9"/>
                  <w:szCs w:val="9"/>
                  <w:color w:val="auto"/>
                  <w:w w:val="78"/>
                </w:rPr>
                <w:t>6</w:t>
              </w:r>
            </w:hyperlink>
          </w:p>
        </w:tc>
      </w:tr>
      <w:tr>
        <w:trPr>
          <w:trHeight w:val="147"/>
        </w:trPr>
        <w:tc>
          <w:tcPr>
            <w:tcW w:w="20" w:type="dxa"/>
            <w:vAlign w:val="bottom"/>
          </w:tcPr>
          <w:p>
            <w:pPr>
              <w:spacing w:after="0"/>
              <w:rPr>
                <w:sz w:val="12"/>
                <w:szCs w:val="12"/>
                <w:color w:val="auto"/>
              </w:rPr>
            </w:pPr>
          </w:p>
        </w:tc>
        <w:tc>
          <w:tcPr>
            <w:tcW w:w="6000" w:type="dxa"/>
            <w:vAlign w:val="bottom"/>
            <w:gridSpan w:val="6"/>
          </w:tcPr>
          <w:p>
            <w:pPr>
              <w:spacing w:after="0" w:line="147" w:lineRule="exact"/>
              <w:rPr>
                <w:rFonts w:ascii="Arial" w:cs="Arial" w:eastAsia="Arial" w:hAnsi="Arial"/>
                <w:sz w:val="13"/>
                <w:szCs w:val="13"/>
                <w:color w:val="0000FF"/>
              </w:rPr>
            </w:pPr>
            <w:hyperlink w:anchor="page48">
              <w:r>
                <w:rPr>
                  <w:rFonts w:ascii="Arial" w:cs="Arial" w:eastAsia="Arial" w:hAnsi="Arial"/>
                  <w:sz w:val="13"/>
                  <w:szCs w:val="13"/>
                  <w:color w:val="0000FF"/>
                </w:rPr>
                <w:t xml:space="preserve">Consolidated Statements of Cash Flows for the years ended December 31, </w:t>
              </w:r>
            </w:hyperlink>
            <w:r>
              <w:rPr>
                <w:rFonts w:ascii="Arial" w:cs="Arial" w:eastAsia="Arial" w:hAnsi="Arial"/>
                <w:sz w:val="13"/>
                <w:szCs w:val="13"/>
                <w:color w:val="0000FF"/>
              </w:rPr>
              <w:t xml:space="preserve">2021, 2020 </w:t>
            </w:r>
            <w:hyperlink w:anchor="page48">
              <w:r>
                <w:rPr>
                  <w:rFonts w:ascii="Arial" w:cs="Arial" w:eastAsia="Arial" w:hAnsi="Arial"/>
                  <w:sz w:val="13"/>
                  <w:szCs w:val="13"/>
                  <w:color w:val="0000FF"/>
                </w:rPr>
                <w:t xml:space="preserve">and </w:t>
              </w:r>
            </w:hyperlink>
            <w:r>
              <w:rPr>
                <w:rFonts w:ascii="Arial" w:cs="Arial" w:eastAsia="Arial" w:hAnsi="Arial"/>
                <w:sz w:val="13"/>
                <w:szCs w:val="13"/>
                <w:color w:val="0000FF"/>
              </w:rPr>
              <w:t>2019</w:t>
            </w:r>
          </w:p>
        </w:tc>
        <w:tc>
          <w:tcPr>
            <w:tcW w:w="4340" w:type="dxa"/>
            <w:vAlign w:val="bottom"/>
          </w:tcPr>
          <w:p>
            <w:pPr>
              <w:spacing w:after="0"/>
              <w:rPr>
                <w:sz w:val="12"/>
                <w:szCs w:val="12"/>
                <w:color w:val="auto"/>
              </w:rPr>
            </w:pPr>
          </w:p>
        </w:tc>
        <w:tc>
          <w:tcPr>
            <w:tcW w:w="920" w:type="dxa"/>
            <w:vAlign w:val="bottom"/>
          </w:tcPr>
          <w:p>
            <w:pPr>
              <w:jc w:val="center"/>
              <w:ind w:right="32"/>
              <w:spacing w:after="0"/>
              <w:rPr>
                <w:rFonts w:ascii="Arial" w:cs="Arial" w:eastAsia="Arial" w:hAnsi="Arial"/>
                <w:sz w:val="9"/>
                <w:szCs w:val="9"/>
                <w:color w:val="auto"/>
                <w:w w:val="78"/>
              </w:rPr>
            </w:pPr>
            <w:hyperlink w:anchor="page48">
              <w:r>
                <w:rPr>
                  <w:rFonts w:ascii="Arial" w:cs="Arial" w:eastAsia="Arial" w:hAnsi="Arial"/>
                  <w:sz w:val="9"/>
                  <w:szCs w:val="9"/>
                  <w:color w:val="auto"/>
                  <w:w w:val="78"/>
                </w:rPr>
                <w:t>6</w:t>
              </w:r>
            </w:hyperlink>
          </w:p>
        </w:tc>
      </w:tr>
      <w:tr>
        <w:trPr>
          <w:trHeight w:val="147"/>
        </w:trPr>
        <w:tc>
          <w:tcPr>
            <w:tcW w:w="20" w:type="dxa"/>
            <w:vAlign w:val="bottom"/>
          </w:tcPr>
          <w:p>
            <w:pPr>
              <w:spacing w:after="0"/>
              <w:rPr>
                <w:sz w:val="12"/>
                <w:szCs w:val="12"/>
                <w:color w:val="auto"/>
              </w:rPr>
            </w:pPr>
          </w:p>
        </w:tc>
        <w:tc>
          <w:tcPr>
            <w:tcW w:w="2280" w:type="dxa"/>
            <w:vAlign w:val="bottom"/>
            <w:tcBorders>
              <w:top w:val="single" w:sz="8" w:color="0000FF"/>
              <w:bottom w:val="single" w:sz="8" w:color="0000FF"/>
            </w:tcBorders>
          </w:tcPr>
          <w:p>
            <w:pPr>
              <w:spacing w:after="0" w:line="147" w:lineRule="exact"/>
              <w:rPr>
                <w:rFonts w:ascii="Arial" w:cs="Arial" w:eastAsia="Arial" w:hAnsi="Arial"/>
                <w:sz w:val="13"/>
                <w:szCs w:val="13"/>
                <w:color w:val="0000FF"/>
                <w:w w:val="89"/>
              </w:rPr>
            </w:pPr>
            <w:hyperlink w:anchor="page49">
              <w:r>
                <w:rPr>
                  <w:rFonts w:ascii="Arial" w:cs="Arial" w:eastAsia="Arial" w:hAnsi="Arial"/>
                  <w:sz w:val="13"/>
                  <w:szCs w:val="13"/>
                  <w:color w:val="0000FF"/>
                  <w:w w:val="89"/>
                </w:rPr>
                <w:t>Notes to Consolidated Financial Statements</w:t>
              </w:r>
            </w:hyperlink>
          </w:p>
        </w:tc>
        <w:tc>
          <w:tcPr>
            <w:tcW w:w="2720" w:type="dxa"/>
            <w:vAlign w:val="bottom"/>
            <w:tcBorders>
              <w:top w:val="single" w:sz="8" w:color="0000FF"/>
            </w:tcBorders>
            <w:gridSpan w:val="3"/>
          </w:tcPr>
          <w:p>
            <w:pPr>
              <w:spacing w:after="0"/>
              <w:rPr>
                <w:sz w:val="12"/>
                <w:szCs w:val="12"/>
                <w:color w:val="auto"/>
              </w:rPr>
            </w:pPr>
          </w:p>
        </w:tc>
        <w:tc>
          <w:tcPr>
            <w:tcW w:w="1000" w:type="dxa"/>
            <w:vAlign w:val="bottom"/>
            <w:gridSpan w:val="2"/>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jc w:val="center"/>
              <w:ind w:right="32"/>
              <w:spacing w:after="0"/>
              <w:rPr>
                <w:rFonts w:ascii="Arial" w:cs="Arial" w:eastAsia="Arial" w:hAnsi="Arial"/>
                <w:sz w:val="9"/>
                <w:szCs w:val="9"/>
                <w:color w:val="auto"/>
                <w:w w:val="78"/>
              </w:rPr>
            </w:pPr>
            <w:hyperlink w:anchor="page49">
              <w:r>
                <w:rPr>
                  <w:rFonts w:ascii="Arial" w:cs="Arial" w:eastAsia="Arial" w:hAnsi="Arial"/>
                  <w:sz w:val="9"/>
                  <w:szCs w:val="9"/>
                  <w:color w:val="auto"/>
                  <w:w w:val="78"/>
                </w:rPr>
                <w:t>8</w:t>
              </w:r>
            </w:hyperlink>
          </w:p>
        </w:tc>
      </w:tr>
      <w:tr>
        <w:trPr>
          <w:trHeight w:val="812"/>
        </w:trPr>
        <w:tc>
          <w:tcPr>
            <w:tcW w:w="6020" w:type="dxa"/>
            <w:vAlign w:val="bottom"/>
            <w:gridSpan w:val="7"/>
          </w:tcPr>
          <w:p>
            <w:pPr>
              <w:jc w:val="right"/>
              <w:ind w:right="340"/>
              <w:spacing w:after="0"/>
              <w:rPr>
                <w:sz w:val="20"/>
                <w:szCs w:val="20"/>
                <w:color w:val="auto"/>
              </w:rPr>
            </w:pPr>
            <w:r>
              <w:rPr>
                <w:rFonts w:ascii="Arial" w:cs="Arial" w:eastAsia="Arial" w:hAnsi="Arial"/>
                <w:sz w:val="13"/>
                <w:szCs w:val="13"/>
                <w:color w:val="auto"/>
              </w:rPr>
              <w:t>1</w:t>
            </w: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0"/>
        </w:trPr>
        <w:tc>
          <w:tcPr>
            <w:tcW w:w="20" w:type="dxa"/>
            <w:vAlign w:val="bottom"/>
            <w:tcBorders>
              <w:bottom w:val="single" w:sz="8" w:color="9A9A9A"/>
            </w:tcBorders>
          </w:tcPr>
          <w:p>
            <w:pPr>
              <w:spacing w:after="0"/>
              <w:rPr>
                <w:sz w:val="6"/>
                <w:szCs w:val="6"/>
                <w:color w:val="auto"/>
              </w:rPr>
            </w:pPr>
          </w:p>
        </w:tc>
        <w:tc>
          <w:tcPr>
            <w:tcW w:w="22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3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Westwood Holdings Group, Inc.</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119" w:lineRule="exact"/>
        <w:rPr>
          <w:sz w:val="20"/>
          <w:szCs w:val="20"/>
          <w:color w:val="auto"/>
        </w:rPr>
      </w:pPr>
    </w:p>
    <w:p>
      <w:pPr>
        <w:ind w:right="60"/>
        <w:spacing w:after="0" w:line="288" w:lineRule="auto"/>
        <w:rPr>
          <w:sz w:val="20"/>
          <w:szCs w:val="20"/>
          <w:color w:val="auto"/>
        </w:rPr>
      </w:pPr>
      <w:r>
        <w:rPr>
          <w:rFonts w:ascii="Arial" w:cs="Arial" w:eastAsia="Arial" w:hAnsi="Arial"/>
          <w:sz w:val="12"/>
          <w:szCs w:val="12"/>
          <w:color w:val="auto"/>
        </w:rPr>
        <w:t>We have audited the accompanying consolidated balance sheets of Westwood Holdings Group, Inc and subsidiaries (the "Company") as of December 31, 2021 and 2020, the related consolidated statements of comprehensive income (loss),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0" w:lineRule="exact"/>
        <w:rPr>
          <w:sz w:val="20"/>
          <w:szCs w:val="20"/>
          <w:color w:val="auto"/>
        </w:rPr>
      </w:pPr>
    </w:p>
    <w:p>
      <w:pPr>
        <w:ind w:right="20"/>
        <w:spacing w:after="0" w:line="295"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Critical Audit Matter</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 Trust Reporting Unit — Refer to Notes 2 and 10 to the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Critical Audit Matter Description</w:t>
      </w:r>
    </w:p>
    <w:p>
      <w:pPr>
        <w:spacing w:after="0" w:line="86"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The Company assesses the recoverability of the carrying amount of goodwill at least annually at the reporting unit level. The Company has identified two reporting units, which are consistent with its reporting segments: Advisory and Trust. The Goodwill balance of $16.4 million as of December 31, 2021 relates solely to the Trust reporting unit. The fair value of the Trust reporting unit is estimated using a market multiple approach and an income approach. The income approach is based on the long-term projected future cash flows of the Trust reporting unit. These cash flows are determined based on revenue and expense projections over each of the next five years and a terminal revenue growth rate thereafter. The Company discounts the estimated cash flows to present value using a weighted average cost of capital (the “discount rate”). An impairment charge would be recognized for the amount by which the carrying amount exceeds the Trust reporting unit’s fair value. The Company’s annual goodwill impairment assessment for 2021 resulted in no goodwill impairment for the Trust reporting unit.</w:t>
      </w:r>
    </w:p>
    <w:p>
      <w:pPr>
        <w:spacing w:after="0" w:line="63"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We identified goodwill for the Trust reporting unit as a critical audit matter because of the significant judgments made by management to estimate the fair value of the Trust reporting unit using the income approach. This required a high degree of auditor judgment and an increased extent of effort, including the need to involve our fair value specialists, when performing audit procedures to evaluate the reasonableness of management’s estimates and assumptions related to the selection of the discount rate.</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How the Critical Audit Matter Was Addressed in the Audit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44" w:name="page45"/>
    <w:bookmarkEnd w:id="44"/>
    <w:p>
      <w:pPr>
        <w:spacing w:after="0"/>
        <w:rPr>
          <w:sz w:val="20"/>
          <w:szCs w:val="20"/>
          <w:color w:val="auto"/>
        </w:rPr>
      </w:pPr>
      <w:r>
        <w:rPr>
          <w:rFonts w:ascii="Arial" w:cs="Arial" w:eastAsia="Arial" w:hAnsi="Arial"/>
          <w:sz w:val="11"/>
          <w:szCs w:val="11"/>
          <w:color w:val="auto"/>
        </w:rPr>
        <w:t>Our audit procedures related to the discount rate used by management to estimate the fair value of the Trust reporting unit included the following, among others:</w:t>
      </w:r>
    </w:p>
    <w:p>
      <w:pPr>
        <w:spacing w:after="0" w:line="109" w:lineRule="exact"/>
        <w:rPr>
          <w:sz w:val="20"/>
          <w:szCs w:val="20"/>
          <w:color w:val="auto"/>
        </w:rPr>
      </w:pPr>
    </w:p>
    <w:p>
      <w:pPr>
        <w:ind w:left="460" w:hanging="226"/>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With the assistance of our fair value specialists, we evaluated the reasonableness of the (1) valuation methodology and (2) discount rate by:</w:t>
      </w:r>
    </w:p>
    <w:p>
      <w:pPr>
        <w:spacing w:after="0" w:line="97" w:lineRule="exact"/>
        <w:rPr>
          <w:rFonts w:ascii="Arial" w:cs="Arial" w:eastAsia="Arial" w:hAnsi="Arial"/>
          <w:sz w:val="12"/>
          <w:szCs w:val="12"/>
          <w:color w:val="auto"/>
        </w:rPr>
      </w:pPr>
    </w:p>
    <w:p>
      <w:pPr>
        <w:ind w:left="940" w:hanging="236"/>
        <w:spacing w:after="0"/>
        <w:tabs>
          <w:tab w:leader="none" w:pos="9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Testing the source information underlying the determination of the discount rate.</w:t>
      </w:r>
    </w:p>
    <w:p>
      <w:pPr>
        <w:spacing w:after="0" w:line="85" w:lineRule="exact"/>
        <w:rPr>
          <w:rFonts w:ascii="Arial" w:cs="Arial" w:eastAsia="Arial" w:hAnsi="Arial"/>
          <w:sz w:val="13"/>
          <w:szCs w:val="13"/>
          <w:color w:val="auto"/>
        </w:rPr>
      </w:pPr>
    </w:p>
    <w:p>
      <w:pPr>
        <w:ind w:left="940" w:hanging="236"/>
        <w:spacing w:after="0"/>
        <w:tabs>
          <w:tab w:leader="none" w:pos="9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Testing the mathematical accuracy of the calculation.</w:t>
      </w:r>
    </w:p>
    <w:p>
      <w:pPr>
        <w:spacing w:after="0" w:line="85" w:lineRule="exact"/>
        <w:rPr>
          <w:rFonts w:ascii="Arial" w:cs="Arial" w:eastAsia="Arial" w:hAnsi="Arial"/>
          <w:sz w:val="13"/>
          <w:szCs w:val="13"/>
          <w:color w:val="auto"/>
        </w:rPr>
      </w:pPr>
    </w:p>
    <w:p>
      <w:pPr>
        <w:ind w:left="940" w:hanging="236"/>
        <w:spacing w:after="0"/>
        <w:tabs>
          <w:tab w:leader="none" w:pos="9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Developing a range of independent estimates and comparing those to the discount rate selected by management.</w:t>
      </w:r>
    </w:p>
    <w:p>
      <w:pPr>
        <w:spacing w:after="0" w:line="311"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3"/>
          <w:szCs w:val="13"/>
          <w:color w:val="auto"/>
        </w:rPr>
        <w:t>/s/</w:t>
      </w:r>
      <w:r>
        <w:rPr>
          <w:sz w:val="20"/>
          <w:szCs w:val="20"/>
          <w:color w:val="auto"/>
        </w:rPr>
        <w:tab/>
      </w:r>
      <w:r>
        <w:rPr>
          <w:rFonts w:ascii="Arial" w:cs="Arial" w:eastAsia="Arial" w:hAnsi="Arial"/>
          <w:sz w:val="13"/>
          <w:szCs w:val="13"/>
          <w:color w:val="auto"/>
        </w:rPr>
        <w:t>Deloitte &amp; Touche LLP</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Dallas, Texas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March 4, 2022</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2015.</w:t>
      </w: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0159"/>
          </w:cols>
          <w:pgMar w:left="300" w:top="768"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par values and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2"/>
                <w:szCs w:val="12"/>
                <w:b w:val="1"/>
                <w:bCs w:val="1"/>
                <w:color w:val="auto"/>
              </w:rPr>
              <w:t>December 31,</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4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ind w:left="3940"/>
              <w:spacing w:after="0" w:line="134" w:lineRule="exact"/>
              <w:rPr>
                <w:sz w:val="20"/>
                <w:szCs w:val="20"/>
                <w:color w:val="auto"/>
              </w:rPr>
            </w:pPr>
            <w:r>
              <w:rPr>
                <w:rFonts w:ascii="Arial" w:cs="Arial" w:eastAsia="Arial" w:hAnsi="Arial"/>
                <w:sz w:val="12"/>
                <w:szCs w:val="12"/>
                <w:b w:val="1"/>
                <w:bCs w:val="1"/>
                <w:color w:val="auto"/>
              </w:rPr>
              <w:t>ASSETS</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4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Cash and cash equivalents</w:t>
            </w: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1"/>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13,016</w:t>
            </w:r>
          </w:p>
        </w:tc>
        <w:tc>
          <w:tcPr>
            <w:tcW w:w="0" w:type="dxa"/>
            <w:vAlign w:val="bottom"/>
          </w:tcPr>
          <w:p>
            <w:pPr>
              <w:spacing w:after="0"/>
              <w:rPr>
                <w:sz w:val="1"/>
                <w:szCs w:val="1"/>
                <w:color w:val="auto"/>
              </w:rPr>
            </w:pPr>
          </w:p>
        </w:tc>
      </w:tr>
      <w:tr>
        <w:trPr>
          <w:trHeight w:val="154"/>
        </w:trPr>
        <w:tc>
          <w:tcPr>
            <w:tcW w:w="8400" w:type="dxa"/>
            <w:vAlign w:val="bottom"/>
          </w:tcPr>
          <w:p>
            <w:pPr>
              <w:ind w:left="340"/>
              <w:spacing w:after="0"/>
              <w:rPr>
                <w:sz w:val="20"/>
                <w:szCs w:val="20"/>
                <w:color w:val="auto"/>
              </w:rPr>
            </w:pPr>
            <w:r>
              <w:rPr>
                <w:rFonts w:ascii="Arial" w:cs="Arial" w:eastAsia="Arial" w:hAnsi="Arial"/>
                <w:sz w:val="12"/>
                <w:szCs w:val="12"/>
                <w:color w:val="auto"/>
              </w:rPr>
              <w:t>Accounts receivable</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11,152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9,450</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Investments, at fair value</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65,024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69,542</w:t>
            </w:r>
          </w:p>
        </w:tc>
        <w:tc>
          <w:tcPr>
            <w:tcW w:w="0" w:type="dxa"/>
            <w:vAlign w:val="bottom"/>
          </w:tcPr>
          <w:p>
            <w:pPr>
              <w:spacing w:after="0"/>
              <w:rPr>
                <w:sz w:val="1"/>
                <w:szCs w:val="1"/>
                <w:color w:val="auto"/>
              </w:rPr>
            </w:pPr>
          </w:p>
        </w:tc>
      </w:tr>
      <w:tr>
        <w:trPr>
          <w:trHeight w:val="154"/>
        </w:trPr>
        <w:tc>
          <w:tcPr>
            <w:tcW w:w="8400" w:type="dxa"/>
            <w:vAlign w:val="bottom"/>
          </w:tcPr>
          <w:p>
            <w:pPr>
              <w:ind w:left="340"/>
              <w:spacing w:after="0"/>
              <w:rPr>
                <w:sz w:val="20"/>
                <w:szCs w:val="20"/>
                <w:color w:val="auto"/>
              </w:rPr>
            </w:pPr>
            <w:r>
              <w:rPr>
                <w:rFonts w:ascii="Arial" w:cs="Arial" w:eastAsia="Arial" w:hAnsi="Arial"/>
                <w:sz w:val="12"/>
                <w:szCs w:val="12"/>
                <w:color w:val="auto"/>
              </w:rPr>
              <w:t>Income taxes receivable</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1,700</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 current assets</w:t>
            </w:r>
          </w:p>
        </w:tc>
        <w:tc>
          <w:tcPr>
            <w:tcW w:w="8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2,246</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2,606</w:t>
            </w:r>
          </w:p>
        </w:tc>
        <w:tc>
          <w:tcPr>
            <w:tcW w:w="0" w:type="dxa"/>
            <w:vAlign w:val="bottom"/>
          </w:tcPr>
          <w:p>
            <w:pPr>
              <w:spacing w:after="0"/>
              <w:rPr>
                <w:sz w:val="1"/>
                <w:szCs w:val="1"/>
                <w:color w:val="auto"/>
              </w:rPr>
            </w:pPr>
          </w:p>
        </w:tc>
      </w:tr>
      <w:tr>
        <w:trPr>
          <w:trHeight w:val="144"/>
        </w:trPr>
        <w:tc>
          <w:tcPr>
            <w:tcW w:w="8400" w:type="dxa"/>
            <w:vAlign w:val="bottom"/>
          </w:tcPr>
          <w:p>
            <w:pPr>
              <w:ind w:left="580"/>
              <w:spacing w:after="0" w:line="132" w:lineRule="exact"/>
              <w:rPr>
                <w:sz w:val="20"/>
                <w:szCs w:val="20"/>
                <w:color w:val="auto"/>
              </w:rPr>
            </w:pPr>
            <w:r>
              <w:rPr>
                <w:rFonts w:ascii="Arial" w:cs="Arial" w:eastAsia="Arial" w:hAnsi="Arial"/>
                <w:sz w:val="12"/>
                <w:szCs w:val="12"/>
                <w:color w:val="auto"/>
              </w:rPr>
              <w:t>Total current assets</w:t>
            </w:r>
          </w:p>
        </w:tc>
        <w:tc>
          <w:tcPr>
            <w:tcW w:w="8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93,861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96,314</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Investments</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r>
        <w:trPr>
          <w:trHeight w:val="154"/>
        </w:trPr>
        <w:tc>
          <w:tcPr>
            <w:tcW w:w="8400" w:type="dxa"/>
            <w:vAlign w:val="bottom"/>
          </w:tcPr>
          <w:p>
            <w:pPr>
              <w:ind w:left="20"/>
              <w:spacing w:after="0"/>
              <w:rPr>
                <w:sz w:val="20"/>
                <w:szCs w:val="20"/>
                <w:color w:val="auto"/>
              </w:rPr>
            </w:pPr>
            <w:r>
              <w:rPr>
                <w:rFonts w:ascii="Arial" w:cs="Arial" w:eastAsia="Arial" w:hAnsi="Arial"/>
                <w:sz w:val="12"/>
                <w:szCs w:val="12"/>
                <w:color w:val="auto"/>
              </w:rPr>
              <w:t>Noncurrent investments at fair value</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4,513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3,527</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16,401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16,401</w:t>
            </w:r>
          </w:p>
        </w:tc>
        <w:tc>
          <w:tcPr>
            <w:tcW w:w="0" w:type="dxa"/>
            <w:vAlign w:val="bottom"/>
          </w:tcPr>
          <w:p>
            <w:pPr>
              <w:spacing w:after="0"/>
              <w:rPr>
                <w:sz w:val="1"/>
                <w:szCs w:val="1"/>
                <w:color w:val="auto"/>
              </w:rPr>
            </w:pPr>
          </w:p>
        </w:tc>
      </w:tr>
      <w:tr>
        <w:trPr>
          <w:trHeight w:val="154"/>
        </w:trPr>
        <w:tc>
          <w:tcPr>
            <w:tcW w:w="8400" w:type="dxa"/>
            <w:vAlign w:val="bottom"/>
          </w:tcPr>
          <w:p>
            <w:pPr>
              <w:ind w:left="20"/>
              <w:spacing w:after="0"/>
              <w:rPr>
                <w:sz w:val="20"/>
                <w:szCs w:val="20"/>
                <w:color w:val="auto"/>
              </w:rPr>
            </w:pPr>
            <w:r>
              <w:rPr>
                <w:rFonts w:ascii="Arial" w:cs="Arial" w:eastAsia="Arial" w:hAnsi="Arial"/>
                <w:sz w:val="12"/>
                <w:szCs w:val="12"/>
                <w:color w:val="auto"/>
              </w:rPr>
              <w:t>Deferred income taxes</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848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1,468</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lease right-of-use assets</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6,103</w:t>
            </w:r>
          </w:p>
        </w:tc>
        <w:tc>
          <w:tcPr>
            <w:tcW w:w="0" w:type="dxa"/>
            <w:vAlign w:val="bottom"/>
          </w:tcPr>
          <w:p>
            <w:pPr>
              <w:spacing w:after="0"/>
              <w:rPr>
                <w:sz w:val="1"/>
                <w:szCs w:val="1"/>
                <w:color w:val="auto"/>
              </w:rPr>
            </w:pPr>
          </w:p>
        </w:tc>
      </w:tr>
      <w:tr>
        <w:trPr>
          <w:trHeight w:val="154"/>
        </w:trPr>
        <w:tc>
          <w:tcPr>
            <w:tcW w:w="8400" w:type="dxa"/>
            <w:vAlign w:val="bottom"/>
          </w:tcPr>
          <w:p>
            <w:pPr>
              <w:ind w:left="20"/>
              <w:spacing w:after="0"/>
              <w:rPr>
                <w:sz w:val="20"/>
                <w:szCs w:val="20"/>
                <w:color w:val="auto"/>
              </w:rPr>
            </w:pPr>
            <w:r>
              <w:rPr>
                <w:rFonts w:ascii="Arial" w:cs="Arial" w:eastAsia="Arial" w:hAnsi="Arial"/>
                <w:sz w:val="12"/>
                <w:szCs w:val="12"/>
                <w:color w:val="auto"/>
              </w:rPr>
              <w:t>Intangible assets, net</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11,911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13,535</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 net of accumulated depreciation of $8,637 and $8,056</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3,186</w:t>
            </w:r>
          </w:p>
        </w:tc>
        <w:tc>
          <w:tcPr>
            <w:tcW w:w="0" w:type="dxa"/>
            <w:vAlign w:val="bottom"/>
          </w:tcPr>
          <w:p>
            <w:pPr>
              <w:spacing w:after="0"/>
              <w:rPr>
                <w:sz w:val="1"/>
                <w:szCs w:val="1"/>
                <w:color w:val="auto"/>
              </w:rPr>
            </w:pPr>
          </w:p>
        </w:tc>
      </w:tr>
      <w:tr>
        <w:trPr>
          <w:trHeight w:val="154"/>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long-term assets</w:t>
            </w:r>
          </w:p>
        </w:tc>
        <w:tc>
          <w:tcPr>
            <w:tcW w:w="8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w:t>
            </w: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ind w:left="580"/>
              <w:spacing w:after="0" w:line="134" w:lineRule="exact"/>
              <w:rPr>
                <w:sz w:val="20"/>
                <w:szCs w:val="20"/>
                <w:color w:val="auto"/>
              </w:rPr>
            </w:pPr>
            <w:r>
              <w:rPr>
                <w:rFonts w:ascii="Arial" w:cs="Arial" w:eastAsia="Arial" w:hAnsi="Arial"/>
                <w:sz w:val="12"/>
                <w:szCs w:val="12"/>
                <w:color w:val="auto"/>
              </w:rPr>
              <w:t>Total long-term assets</w:t>
            </w:r>
          </w:p>
        </w:tc>
        <w:tc>
          <w:tcPr>
            <w:tcW w:w="8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45,744</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52,838</w:t>
            </w:r>
          </w:p>
        </w:tc>
        <w:tc>
          <w:tcPr>
            <w:tcW w:w="0" w:type="dxa"/>
            <w:vAlign w:val="bottom"/>
          </w:tcPr>
          <w:p>
            <w:pPr>
              <w:spacing w:after="0"/>
              <w:rPr>
                <w:sz w:val="1"/>
                <w:szCs w:val="1"/>
                <w:color w:val="auto"/>
              </w:rPr>
            </w:pPr>
          </w:p>
        </w:tc>
      </w:tr>
      <w:tr>
        <w:trPr>
          <w:trHeight w:val="146"/>
        </w:trPr>
        <w:tc>
          <w:tcPr>
            <w:tcW w:w="8400" w:type="dxa"/>
            <w:vAlign w:val="bottom"/>
            <w:tcBorders>
              <w:bottom w:val="single" w:sz="8" w:color="CCEEFF"/>
            </w:tcBorders>
          </w:tcPr>
          <w:p>
            <w:pPr>
              <w:ind w:left="580"/>
              <w:spacing w:after="0" w:line="127" w:lineRule="exact"/>
              <w:rPr>
                <w:sz w:val="20"/>
                <w:szCs w:val="20"/>
                <w:color w:val="auto"/>
              </w:rPr>
            </w:pPr>
            <w:r>
              <w:rPr>
                <w:rFonts w:ascii="Arial" w:cs="Arial" w:eastAsia="Arial" w:hAnsi="Arial"/>
                <w:sz w:val="12"/>
                <w:szCs w:val="12"/>
                <w:b w:val="1"/>
                <w:bCs w:val="1"/>
                <w:color w:val="auto"/>
              </w:rPr>
              <w:t>Total assets</w:t>
            </w:r>
          </w:p>
        </w:tc>
        <w:tc>
          <w:tcPr>
            <w:tcW w:w="880" w:type="dxa"/>
            <w:vAlign w:val="bottom"/>
            <w:tcBorders>
              <w:bottom w:val="single" w:sz="8" w:color="auto"/>
            </w:tcBorders>
          </w:tcPr>
          <w:p>
            <w:pPr>
              <w:jc w:val="right"/>
              <w:ind w:right="741"/>
              <w:spacing w:after="0" w:line="127" w:lineRule="exact"/>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139,605</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1"/>
              <w:spacing w:after="0" w:line="127" w:lineRule="exact"/>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149,152</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ind w:left="2880"/>
              <w:spacing w:after="0"/>
              <w:rPr>
                <w:sz w:val="20"/>
                <w:szCs w:val="20"/>
                <w:color w:val="auto"/>
              </w:rPr>
            </w:pPr>
            <w:r>
              <w:rPr>
                <w:rFonts w:ascii="Arial" w:cs="Arial" w:eastAsia="Arial" w:hAnsi="Arial"/>
                <w:sz w:val="12"/>
                <w:szCs w:val="12"/>
                <w:b w:val="1"/>
                <w:bCs w:val="1"/>
                <w:color w:val="auto"/>
              </w:rPr>
              <w:t>LIABILITIES AND STOCKHOLDERS’ EQUITY</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40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Accounts payable and accrued liabilities</w:t>
            </w: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1"/>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w:t>
            </w:r>
          </w:p>
        </w:tc>
        <w:tc>
          <w:tcPr>
            <w:tcW w:w="0" w:type="dxa"/>
            <w:vAlign w:val="bottom"/>
          </w:tcPr>
          <w:p>
            <w:pPr>
              <w:spacing w:after="0"/>
              <w:rPr>
                <w:sz w:val="1"/>
                <w:szCs w:val="1"/>
                <w:color w:val="auto"/>
              </w:rPr>
            </w:pPr>
          </w:p>
        </w:tc>
      </w:tr>
      <w:tr>
        <w:trPr>
          <w:trHeight w:val="154"/>
        </w:trPr>
        <w:tc>
          <w:tcPr>
            <w:tcW w:w="8400" w:type="dxa"/>
            <w:vAlign w:val="bottom"/>
          </w:tcPr>
          <w:p>
            <w:pPr>
              <w:ind w:left="340"/>
              <w:spacing w:after="0"/>
              <w:rPr>
                <w:sz w:val="20"/>
                <w:szCs w:val="20"/>
                <w:color w:val="auto"/>
              </w:rPr>
            </w:pPr>
            <w:r>
              <w:rPr>
                <w:rFonts w:ascii="Arial" w:cs="Arial" w:eastAsia="Arial" w:hAnsi="Arial"/>
                <w:sz w:val="12"/>
                <w:szCs w:val="12"/>
                <w:color w:val="auto"/>
              </w:rPr>
              <w:t>Dividends payable</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1,800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810</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Compensation and benefits payable</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9,530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7,448</w:t>
            </w:r>
          </w:p>
        </w:tc>
        <w:tc>
          <w:tcPr>
            <w:tcW w:w="0" w:type="dxa"/>
            <w:vAlign w:val="bottom"/>
          </w:tcPr>
          <w:p>
            <w:pPr>
              <w:spacing w:after="0"/>
              <w:rPr>
                <w:sz w:val="1"/>
                <w:szCs w:val="1"/>
                <w:color w:val="auto"/>
              </w:rPr>
            </w:pPr>
          </w:p>
        </w:tc>
      </w:tr>
      <w:tr>
        <w:trPr>
          <w:trHeight w:val="154"/>
        </w:trPr>
        <w:tc>
          <w:tcPr>
            <w:tcW w:w="8400" w:type="dxa"/>
            <w:vAlign w:val="bottom"/>
          </w:tcPr>
          <w:p>
            <w:pPr>
              <w:ind w:left="340"/>
              <w:spacing w:after="0"/>
              <w:rPr>
                <w:sz w:val="20"/>
                <w:szCs w:val="20"/>
                <w:color w:val="auto"/>
              </w:rPr>
            </w:pPr>
            <w:r>
              <w:rPr>
                <w:rFonts w:ascii="Arial" w:cs="Arial" w:eastAsia="Arial" w:hAnsi="Arial"/>
                <w:sz w:val="12"/>
                <w:szCs w:val="12"/>
                <w:color w:val="auto"/>
              </w:rPr>
              <w:t>Operating lease liabilities</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1,409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1,718</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Income taxes payable</w:t>
            </w:r>
          </w:p>
        </w:tc>
        <w:tc>
          <w:tcPr>
            <w:tcW w:w="8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144"/>
        </w:trPr>
        <w:tc>
          <w:tcPr>
            <w:tcW w:w="8400" w:type="dxa"/>
            <w:vAlign w:val="bottom"/>
          </w:tcPr>
          <w:p>
            <w:pPr>
              <w:ind w:left="580"/>
              <w:spacing w:after="0" w:line="132" w:lineRule="exact"/>
              <w:rPr>
                <w:sz w:val="20"/>
                <w:szCs w:val="20"/>
                <w:color w:val="auto"/>
              </w:rPr>
            </w:pPr>
            <w:r>
              <w:rPr>
                <w:rFonts w:ascii="Arial" w:cs="Arial" w:eastAsia="Arial" w:hAnsi="Arial"/>
                <w:sz w:val="12"/>
                <w:szCs w:val="12"/>
                <w:color w:val="auto"/>
              </w:rPr>
              <w:t>Total current liabilities</w:t>
            </w:r>
          </w:p>
        </w:tc>
        <w:tc>
          <w:tcPr>
            <w:tcW w:w="8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15,842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11,794</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dividends</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1,133</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154"/>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Noncurrent operating lease liabilities</w:t>
            </w:r>
          </w:p>
        </w:tc>
        <w:tc>
          <w:tcPr>
            <w:tcW w:w="8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6,121</w:t>
            </w: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ind w:left="580"/>
              <w:spacing w:after="0" w:line="134" w:lineRule="exact"/>
              <w:rPr>
                <w:sz w:val="20"/>
                <w:szCs w:val="20"/>
                <w:color w:val="auto"/>
              </w:rPr>
            </w:pPr>
            <w:r>
              <w:rPr>
                <w:rFonts w:ascii="Arial" w:cs="Arial" w:eastAsia="Arial" w:hAnsi="Arial"/>
                <w:sz w:val="12"/>
                <w:szCs w:val="12"/>
                <w:color w:val="auto"/>
              </w:rPr>
              <w:t>Total long-term liabilities</w:t>
            </w:r>
          </w:p>
        </w:tc>
        <w:tc>
          <w:tcPr>
            <w:tcW w:w="8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5,857</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6,647</w:t>
            </w:r>
          </w:p>
        </w:tc>
        <w:tc>
          <w:tcPr>
            <w:tcW w:w="0" w:type="dxa"/>
            <w:vAlign w:val="bottom"/>
          </w:tcPr>
          <w:p>
            <w:pPr>
              <w:spacing w:after="0"/>
              <w:rPr>
                <w:sz w:val="1"/>
                <w:szCs w:val="1"/>
                <w:color w:val="auto"/>
              </w:rPr>
            </w:pPr>
          </w:p>
        </w:tc>
      </w:tr>
      <w:tr>
        <w:trPr>
          <w:trHeight w:val="144"/>
        </w:trPr>
        <w:tc>
          <w:tcPr>
            <w:tcW w:w="8400" w:type="dxa"/>
            <w:vAlign w:val="bottom"/>
            <w:tcBorders>
              <w:bottom w:val="single" w:sz="8" w:color="CCEEFF"/>
            </w:tcBorders>
          </w:tcPr>
          <w:p>
            <w:pPr>
              <w:ind w:left="580"/>
              <w:spacing w:after="0" w:line="132" w:lineRule="exact"/>
              <w:rPr>
                <w:sz w:val="20"/>
                <w:szCs w:val="20"/>
                <w:color w:val="auto"/>
              </w:rPr>
            </w:pPr>
            <w:r>
              <w:rPr>
                <w:rFonts w:ascii="Arial" w:cs="Arial" w:eastAsia="Arial" w:hAnsi="Arial"/>
                <w:sz w:val="12"/>
                <w:szCs w:val="12"/>
                <w:b w:val="1"/>
                <w:bCs w:val="1"/>
                <w:color w:val="auto"/>
              </w:rPr>
              <w:t>Total liabilities</w:t>
            </w:r>
          </w:p>
        </w:tc>
        <w:tc>
          <w:tcPr>
            <w:tcW w:w="8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21,699</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18,441</w:t>
            </w:r>
          </w:p>
        </w:tc>
        <w:tc>
          <w:tcPr>
            <w:tcW w:w="0" w:type="dxa"/>
            <w:vAlign w:val="bottom"/>
          </w:tcPr>
          <w:p>
            <w:pPr>
              <w:spacing w:after="0"/>
              <w:rPr>
                <w:sz w:val="1"/>
                <w:szCs w:val="1"/>
                <w:color w:val="auto"/>
              </w:rPr>
            </w:pPr>
          </w:p>
        </w:tc>
      </w:tr>
      <w:tr>
        <w:trPr>
          <w:trHeight w:val="139"/>
        </w:trPr>
        <w:tc>
          <w:tcPr>
            <w:tcW w:w="840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Commitments and contingencies (Note 13)</w:t>
            </w: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400" w:type="dxa"/>
            <w:vAlign w:val="bottom"/>
          </w:tcPr>
          <w:p>
            <w:pPr>
              <w:ind w:left="20"/>
              <w:spacing w:after="0"/>
              <w:rPr>
                <w:sz w:val="20"/>
                <w:szCs w:val="20"/>
                <w:color w:val="auto"/>
              </w:rPr>
            </w:pPr>
            <w:r>
              <w:rPr>
                <w:rFonts w:ascii="Arial" w:cs="Arial" w:eastAsia="Arial" w:hAnsi="Arial"/>
                <w:sz w:val="12"/>
                <w:szCs w:val="12"/>
                <w:color w:val="auto"/>
              </w:rPr>
              <w:t>Stockholders’ Equity:</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400" w:type="dxa"/>
            <w:vAlign w:val="bottom"/>
            <w:shd w:val="clear" w:color="auto" w:fill="CCEEFF"/>
          </w:tcPr>
          <w:p>
            <w:pPr>
              <w:ind w:left="340"/>
              <w:spacing w:after="0" w:line="123" w:lineRule="exact"/>
              <w:rPr>
                <w:sz w:val="20"/>
                <w:szCs w:val="20"/>
                <w:color w:val="auto"/>
              </w:rPr>
            </w:pPr>
            <w:r>
              <w:rPr>
                <w:rFonts w:ascii="Arial" w:cs="Arial" w:eastAsia="Arial" w:hAnsi="Arial"/>
                <w:sz w:val="12"/>
                <w:szCs w:val="12"/>
                <w:color w:val="auto"/>
                <w:w w:val="91"/>
              </w:rPr>
              <w:t>Common stock, $0.01 par value, authorized 25,000,000 shares, issued 10,658,644 and outstanding 8,253,491 shares at December 31, 2021; issued 10,500,549 and</w:t>
            </w:r>
          </w:p>
        </w:tc>
        <w:tc>
          <w:tcPr>
            <w:tcW w:w="8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4"/>
        </w:trPr>
        <w:tc>
          <w:tcPr>
            <w:tcW w:w="8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outstanding 8,326,948 shares at December 31, 2020</w:t>
            </w:r>
          </w:p>
        </w:tc>
        <w:tc>
          <w:tcPr>
            <w:tcW w:w="88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400" w:type="dxa"/>
            <w:vAlign w:val="bottom"/>
          </w:tcPr>
          <w:p>
            <w:pPr>
              <w:ind w:left="340"/>
              <w:spacing w:after="0"/>
              <w:rPr>
                <w:sz w:val="20"/>
                <w:szCs w:val="20"/>
                <w:color w:val="auto"/>
              </w:rPr>
            </w:pPr>
            <w:r>
              <w:rPr>
                <w:rFonts w:ascii="Arial" w:cs="Arial" w:eastAsia="Arial" w:hAnsi="Arial"/>
                <w:sz w:val="12"/>
                <w:szCs w:val="12"/>
                <w:color w:val="auto"/>
              </w:rPr>
              <w:t>Additional paid-in capital</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195,187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210,268</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Treasury stock, at cost – 2,405,154 shares at December 31, 2021; 2,173,559 shares at December 31, 2020</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(81,750)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(77,967)</w:t>
            </w:r>
          </w:p>
        </w:tc>
        <w:tc>
          <w:tcPr>
            <w:tcW w:w="0" w:type="dxa"/>
            <w:vAlign w:val="bottom"/>
          </w:tcPr>
          <w:p>
            <w:pPr>
              <w:spacing w:after="0"/>
              <w:rPr>
                <w:sz w:val="1"/>
                <w:szCs w:val="1"/>
                <w:color w:val="auto"/>
              </w:rPr>
            </w:pPr>
          </w:p>
        </w:tc>
      </w:tr>
      <w:tr>
        <w:trPr>
          <w:trHeight w:val="154"/>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Retained earnings (accumulated deficit)</w:t>
            </w:r>
          </w:p>
        </w:tc>
        <w:tc>
          <w:tcPr>
            <w:tcW w:w="8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(1,695)</w:t>
            </w: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ind w:left="580"/>
              <w:spacing w:after="0" w:line="134" w:lineRule="exact"/>
              <w:rPr>
                <w:sz w:val="20"/>
                <w:szCs w:val="20"/>
                <w:color w:val="auto"/>
              </w:rPr>
            </w:pPr>
            <w:r>
              <w:rPr>
                <w:rFonts w:ascii="Arial" w:cs="Arial" w:eastAsia="Arial" w:hAnsi="Arial"/>
                <w:sz w:val="12"/>
                <w:szCs w:val="12"/>
                <w:b w:val="1"/>
                <w:bCs w:val="1"/>
                <w:color w:val="auto"/>
              </w:rPr>
              <w:t>Total stockholders’ equity</w:t>
            </w:r>
          </w:p>
        </w:tc>
        <w:tc>
          <w:tcPr>
            <w:tcW w:w="8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117,906</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130,711</w:t>
            </w:r>
          </w:p>
        </w:tc>
        <w:tc>
          <w:tcPr>
            <w:tcW w:w="0" w:type="dxa"/>
            <w:vAlign w:val="bottom"/>
          </w:tcPr>
          <w:p>
            <w:pPr>
              <w:spacing w:after="0"/>
              <w:rPr>
                <w:sz w:val="1"/>
                <w:szCs w:val="1"/>
                <w:color w:val="auto"/>
              </w:rPr>
            </w:pPr>
          </w:p>
        </w:tc>
      </w:tr>
      <w:tr>
        <w:trPr>
          <w:trHeight w:val="144"/>
        </w:trPr>
        <w:tc>
          <w:tcPr>
            <w:tcW w:w="8400" w:type="dxa"/>
            <w:vAlign w:val="bottom"/>
          </w:tcPr>
          <w:p>
            <w:pPr>
              <w:ind w:left="560"/>
              <w:spacing w:after="0"/>
              <w:rPr>
                <w:sz w:val="20"/>
                <w:szCs w:val="20"/>
                <w:color w:val="auto"/>
              </w:rPr>
            </w:pPr>
            <w:r>
              <w:rPr>
                <w:rFonts w:ascii="Arial" w:cs="Arial" w:eastAsia="Arial" w:hAnsi="Arial"/>
                <w:sz w:val="12"/>
                <w:szCs w:val="12"/>
                <w:b w:val="1"/>
                <w:bCs w:val="1"/>
                <w:color w:val="auto"/>
              </w:rPr>
              <w:t>Total liabilities and stockholders’ equity</w:t>
            </w:r>
          </w:p>
        </w:tc>
        <w:tc>
          <w:tcPr>
            <w:tcW w:w="880" w:type="dxa"/>
            <w:vAlign w:val="bottom"/>
            <w:tcBorders>
              <w:bottom w:val="single" w:sz="8" w:color="auto"/>
            </w:tcBorders>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139,605</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149,152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715"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COMPREHENSIVE INCOME (LOSS)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shares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3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31"/>
        </w:trPr>
        <w:tc>
          <w:tcPr>
            <w:tcW w:w="73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2019</w:t>
            </w:r>
          </w:p>
        </w:tc>
      </w:tr>
      <w:tr>
        <w:trPr>
          <w:trHeight w:val="148"/>
        </w:trPr>
        <w:tc>
          <w:tcPr>
            <w:tcW w:w="73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Revenues:</w:t>
            </w: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Advisory fees: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73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Asset-based</w:t>
            </w: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45,927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38,028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57,033</w:t>
            </w:r>
          </w:p>
        </w:tc>
      </w:tr>
      <w:tr>
        <w:trPr>
          <w:trHeight w:val="154"/>
        </w:trPr>
        <w:tc>
          <w:tcPr>
            <w:tcW w:w="7320" w:type="dxa"/>
            <w:vAlign w:val="bottom"/>
          </w:tcPr>
          <w:p>
            <w:pPr>
              <w:ind w:left="580"/>
              <w:spacing w:after="0"/>
              <w:rPr>
                <w:sz w:val="20"/>
                <w:szCs w:val="20"/>
                <w:color w:val="auto"/>
              </w:rPr>
            </w:pPr>
            <w:r>
              <w:rPr>
                <w:rFonts w:ascii="Arial" w:cs="Arial" w:eastAsia="Arial" w:hAnsi="Arial"/>
                <w:sz w:val="12"/>
                <w:szCs w:val="12"/>
                <w:color w:val="auto"/>
              </w:rPr>
              <w:t>Performance-based</w:t>
            </w:r>
          </w:p>
        </w:tc>
        <w:tc>
          <w:tcPr>
            <w:tcW w:w="7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3,335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2,808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764</w:t>
            </w:r>
          </w:p>
        </w:tc>
      </w:tr>
      <w:tr>
        <w:trPr>
          <w:trHeight w:val="159"/>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Trust fees</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24,030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23,563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25,483</w:t>
            </w: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Trust performance-based</w:t>
            </w:r>
          </w:p>
        </w:tc>
        <w:tc>
          <w:tcPr>
            <w:tcW w:w="7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366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 net</w:t>
            </w:r>
          </w:p>
        </w:tc>
        <w:tc>
          <w:tcPr>
            <w:tcW w:w="7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346</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799</w:t>
            </w:r>
          </w:p>
        </w:tc>
      </w:tr>
      <w:tr>
        <w:trPr>
          <w:trHeight w:val="144"/>
        </w:trPr>
        <w:tc>
          <w:tcPr>
            <w:tcW w:w="7320" w:type="dxa"/>
            <w:vAlign w:val="bottom"/>
            <w:tcBorders>
              <w:bottom w:val="single" w:sz="8" w:color="CCEEFF"/>
            </w:tcBorders>
          </w:tcPr>
          <w:p>
            <w:pPr>
              <w:ind w:left="580"/>
              <w:spacing w:after="0" w:line="132" w:lineRule="exact"/>
              <w:rPr>
                <w:sz w:val="20"/>
                <w:szCs w:val="20"/>
                <w:color w:val="auto"/>
              </w:rPr>
            </w:pPr>
            <w:r>
              <w:rPr>
                <w:rFonts w:ascii="Arial" w:cs="Arial" w:eastAsia="Arial" w:hAnsi="Arial"/>
                <w:sz w:val="12"/>
                <w:szCs w:val="12"/>
                <w:color w:val="auto"/>
              </w:rPr>
              <w:t>Total revenues</w:t>
            </w: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73,054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65,111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84,079</w:t>
            </w:r>
          </w:p>
        </w:tc>
      </w:tr>
      <w:tr>
        <w:trPr>
          <w:trHeight w:val="149"/>
        </w:trPr>
        <w:tc>
          <w:tcPr>
            <w:tcW w:w="732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Expenses:</w:t>
            </w: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Employee compensation and benefits</w:t>
            </w:r>
          </w:p>
        </w:tc>
        <w:tc>
          <w:tcPr>
            <w:tcW w:w="7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42,532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42,141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50,152</w:t>
            </w:r>
          </w:p>
        </w:tc>
      </w:tr>
      <w:tr>
        <w:trPr>
          <w:trHeight w:val="159"/>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Sales and marketing</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1,194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2,068</w:t>
            </w: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Westwood mutual funds</w:t>
            </w:r>
          </w:p>
        </w:tc>
        <w:tc>
          <w:tcPr>
            <w:tcW w:w="7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2,657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1,681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3,097</w:t>
            </w:r>
          </w:p>
        </w:tc>
      </w:tr>
      <w:tr>
        <w:trPr>
          <w:trHeight w:val="159"/>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Information technology</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8,111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8,426</w:t>
            </w: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Professional services</w:t>
            </w:r>
          </w:p>
        </w:tc>
        <w:tc>
          <w:tcPr>
            <w:tcW w:w="7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4,391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4,271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4,322</w:t>
            </w:r>
          </w:p>
        </w:tc>
      </w:tr>
      <w:tr>
        <w:trPr>
          <w:trHeight w:val="159"/>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General and administrative</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8,941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9,516</w:t>
            </w: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Impairment expense</w:t>
            </w:r>
          </w:p>
        </w:tc>
        <w:tc>
          <w:tcPr>
            <w:tcW w:w="7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3,403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(Gain) loss on foreign currency transactions</w:t>
            </w:r>
          </w:p>
        </w:tc>
        <w:tc>
          <w:tcPr>
            <w:tcW w:w="7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1,854</w:t>
            </w:r>
          </w:p>
        </w:tc>
      </w:tr>
      <w:tr>
        <w:trPr>
          <w:trHeight w:val="144"/>
        </w:trPr>
        <w:tc>
          <w:tcPr>
            <w:tcW w:w="7320" w:type="dxa"/>
            <w:vAlign w:val="bottom"/>
            <w:tcBorders>
              <w:bottom w:val="single" w:sz="8" w:color="CCEEFF"/>
            </w:tcBorders>
          </w:tcPr>
          <w:p>
            <w:pPr>
              <w:ind w:left="580"/>
              <w:spacing w:after="0" w:line="132" w:lineRule="exact"/>
              <w:rPr>
                <w:sz w:val="20"/>
                <w:szCs w:val="20"/>
                <w:color w:val="auto"/>
              </w:rPr>
            </w:pPr>
            <w:r>
              <w:rPr>
                <w:rFonts w:ascii="Arial" w:cs="Arial" w:eastAsia="Arial" w:hAnsi="Arial"/>
                <w:sz w:val="12"/>
                <w:szCs w:val="12"/>
                <w:color w:val="auto"/>
              </w:rPr>
              <w:t>Total expenses</w:t>
            </w:r>
          </w:p>
        </w:tc>
        <w:tc>
          <w:tcPr>
            <w:tcW w:w="7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67,095</w:t>
            </w: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68,558</w:t>
            </w: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79,435</w:t>
            </w:r>
          </w:p>
        </w:tc>
      </w:tr>
      <w:tr>
        <w:trPr>
          <w:trHeight w:val="149"/>
        </w:trPr>
        <w:tc>
          <w:tcPr>
            <w:tcW w:w="732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Net operating income (loss)</w:t>
            </w:r>
          </w:p>
        </w:tc>
        <w:tc>
          <w:tcPr>
            <w:tcW w:w="7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5,959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4,644</w:t>
            </w:r>
          </w:p>
        </w:tc>
      </w:tr>
      <w:tr>
        <w:trPr>
          <w:trHeight w:val="144"/>
        </w:trPr>
        <w:tc>
          <w:tcPr>
            <w:tcW w:w="7320" w:type="dxa"/>
            <w:vAlign w:val="bottom"/>
          </w:tcPr>
          <w:p>
            <w:pPr>
              <w:ind w:left="340"/>
              <w:spacing w:after="0" w:line="132" w:lineRule="exact"/>
              <w:rPr>
                <w:sz w:val="20"/>
                <w:szCs w:val="20"/>
                <w:color w:val="auto"/>
              </w:rPr>
            </w:pPr>
            <w:r>
              <w:rPr>
                <w:rFonts w:ascii="Arial" w:cs="Arial" w:eastAsia="Arial" w:hAnsi="Arial"/>
                <w:sz w:val="12"/>
                <w:szCs w:val="12"/>
                <w:color w:val="auto"/>
              </w:rPr>
              <w:t>Realized gains on private investments</w:t>
            </w:r>
          </w:p>
        </w:tc>
        <w:tc>
          <w:tcPr>
            <w:tcW w:w="7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8,371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change in unrealized appreciation (depreciation) on private investments</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3,296</w:t>
            </w: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Investment income</w:t>
            </w:r>
          </w:p>
        </w:tc>
        <w:tc>
          <w:tcPr>
            <w:tcW w:w="7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868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604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1,318</w:t>
            </w:r>
          </w:p>
        </w:tc>
      </w:tr>
      <w:tr>
        <w:trPr>
          <w:trHeight w:val="159"/>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 income</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Foreign currency translation adjustments to net income (loss) upon liquidation of a foreign subsidiary</w:t>
            </w:r>
          </w:p>
        </w:tc>
        <w:tc>
          <w:tcPr>
            <w:tcW w:w="7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(4,169)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9"/>
        </w:trPr>
        <w:tc>
          <w:tcPr>
            <w:tcW w:w="73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Income (loss) before income taxes</w:t>
            </w:r>
          </w:p>
        </w:tc>
        <w:tc>
          <w:tcPr>
            <w:tcW w:w="7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14,003</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(7,588)</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9,402</w:t>
            </w:r>
          </w:p>
        </w:tc>
      </w:tr>
      <w:tr>
        <w:trPr>
          <w:trHeight w:val="154"/>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Provision for income taxes</w:t>
            </w:r>
          </w:p>
        </w:tc>
        <w:tc>
          <w:tcPr>
            <w:tcW w:w="7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1,359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3,491</w:t>
            </w:r>
          </w:p>
        </w:tc>
      </w:tr>
      <w:tr>
        <w:trPr>
          <w:trHeight w:val="16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7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9,763</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(8,947)</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5,911</w:t>
            </w:r>
          </w:p>
        </w:tc>
      </w:tr>
      <w:tr>
        <w:trPr>
          <w:trHeight w:val="149"/>
        </w:trPr>
        <w:tc>
          <w:tcPr>
            <w:tcW w:w="7320" w:type="dxa"/>
            <w:vAlign w:val="bottom"/>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4"/>
        </w:trPr>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Foreign currency translation adjustments</w:t>
            </w: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1,940</w:t>
            </w:r>
          </w:p>
        </w:tc>
      </w:tr>
      <w:tr>
        <w:trPr>
          <w:trHeight w:val="154"/>
        </w:trPr>
        <w:tc>
          <w:tcPr>
            <w:tcW w:w="7320" w:type="dxa"/>
            <w:vAlign w:val="bottom"/>
          </w:tcPr>
          <w:p>
            <w:pPr>
              <w:ind w:left="340"/>
              <w:spacing w:after="0"/>
              <w:rPr>
                <w:sz w:val="20"/>
                <w:szCs w:val="20"/>
                <w:color w:val="auto"/>
              </w:rPr>
            </w:pPr>
            <w:r>
              <w:rPr>
                <w:rFonts w:ascii="Arial" w:cs="Arial" w:eastAsia="Arial" w:hAnsi="Arial"/>
                <w:sz w:val="12"/>
                <w:szCs w:val="12"/>
                <w:color w:val="auto"/>
              </w:rPr>
              <w:t>Reclassification of cumulative foreign currency translation adjustments to net income (loss) upon liquidation of a foreign currency</w:t>
            </w:r>
          </w:p>
        </w:tc>
        <w:tc>
          <w:tcPr>
            <w:tcW w:w="7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4,169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comprehensive income (loss)</w:t>
            </w:r>
          </w:p>
        </w:tc>
        <w:tc>
          <w:tcPr>
            <w:tcW w:w="72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9,763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7,851</w:t>
            </w:r>
          </w:p>
        </w:tc>
      </w:tr>
      <w:tr>
        <w:trPr>
          <w:trHeight w:val="167"/>
        </w:trPr>
        <w:tc>
          <w:tcPr>
            <w:tcW w:w="7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7"/>
        </w:trPr>
        <w:tc>
          <w:tcPr>
            <w:tcW w:w="7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Earnings (loss) per share:</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54"/>
        </w:trPr>
        <w:tc>
          <w:tcPr>
            <w:tcW w:w="7320" w:type="dxa"/>
            <w:vAlign w:val="bottom"/>
          </w:tcPr>
          <w:p>
            <w:pPr>
              <w:ind w:left="400"/>
              <w:spacing w:after="0"/>
              <w:rPr>
                <w:sz w:val="20"/>
                <w:szCs w:val="20"/>
                <w:color w:val="auto"/>
              </w:rPr>
            </w:pPr>
            <w:r>
              <w:rPr>
                <w:rFonts w:ascii="Arial" w:cs="Arial" w:eastAsia="Arial" w:hAnsi="Arial"/>
                <w:sz w:val="12"/>
                <w:szCs w:val="12"/>
                <w:color w:val="auto"/>
              </w:rPr>
              <w:t>Basic</w:t>
            </w:r>
          </w:p>
        </w:tc>
        <w:tc>
          <w:tcPr>
            <w:tcW w:w="720" w:type="dxa"/>
            <w:vAlign w:val="bottom"/>
          </w:tcPr>
          <w:p>
            <w:pPr>
              <w:jc w:val="right"/>
              <w:ind w:right="612"/>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3"/>
                <w:szCs w:val="13"/>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3"/>
                <w:szCs w:val="13"/>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0.70</w:t>
            </w:r>
          </w:p>
        </w:tc>
      </w:tr>
      <w:tr>
        <w:trPr>
          <w:trHeight w:val="159"/>
        </w:trPr>
        <w:tc>
          <w:tcPr>
            <w:tcW w:w="7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Diluted</w:t>
            </w: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0.70</w:t>
            </w:r>
          </w:p>
        </w:tc>
      </w:tr>
      <w:tr>
        <w:trPr>
          <w:trHeight w:val="154"/>
        </w:trPr>
        <w:tc>
          <w:tcPr>
            <w:tcW w:w="7320" w:type="dxa"/>
            <w:vAlign w:val="bottom"/>
          </w:tcPr>
          <w:p>
            <w:pPr>
              <w:ind w:left="20"/>
              <w:spacing w:after="0"/>
              <w:rPr>
                <w:sz w:val="20"/>
                <w:szCs w:val="20"/>
                <w:color w:val="auto"/>
              </w:rPr>
            </w:pPr>
            <w:r>
              <w:rPr>
                <w:rFonts w:ascii="Arial" w:cs="Arial" w:eastAsia="Arial" w:hAnsi="Arial"/>
                <w:sz w:val="12"/>
                <w:szCs w:val="12"/>
                <w:b w:val="1"/>
                <w:bCs w:val="1"/>
                <w:color w:val="auto"/>
              </w:rPr>
              <w:t>Weighted average shares outstanding:</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7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Basic</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7,875,395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7,987,554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8,408,017</w:t>
            </w:r>
          </w:p>
        </w:tc>
      </w:tr>
      <w:tr>
        <w:trPr>
          <w:trHeight w:val="152"/>
        </w:trPr>
        <w:tc>
          <w:tcPr>
            <w:tcW w:w="7320" w:type="dxa"/>
            <w:vAlign w:val="bottom"/>
          </w:tcPr>
          <w:p>
            <w:pPr>
              <w:ind w:left="400"/>
              <w:spacing w:after="0"/>
              <w:rPr>
                <w:sz w:val="20"/>
                <w:szCs w:val="20"/>
                <w:color w:val="auto"/>
              </w:rPr>
            </w:pPr>
            <w:r>
              <w:rPr>
                <w:rFonts w:ascii="Arial" w:cs="Arial" w:eastAsia="Arial" w:hAnsi="Arial"/>
                <w:sz w:val="12"/>
                <w:szCs w:val="12"/>
                <w:color w:val="auto"/>
              </w:rPr>
              <w:t>Diluted</w:t>
            </w:r>
          </w:p>
        </w:tc>
        <w:tc>
          <w:tcPr>
            <w:tcW w:w="7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86"/>
              </w:rPr>
              <w:t>7,927,972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7,987,554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8,463,239</w:t>
            </w:r>
          </w:p>
        </w:tc>
      </w:tr>
    </w:tbl>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715" w:right="339" w:bottom="1440" w:gutter="0" w:footer="0" w:header="0"/>
        </w:sectPr>
      </w:pPr>
    </w:p>
    <w:bookmarkStart w:id="47" w:name="page48"/>
    <w:bookmarkEnd w:id="47"/>
    <w:p>
      <w:pPr>
        <w:ind w:left="3820"/>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86"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600" w:type="dxa"/>
            <w:vAlign w:val="bottom"/>
          </w:tcPr>
          <w:p>
            <w:pPr>
              <w:spacing w:after="0"/>
              <w:rPr>
                <w:sz w:val="8"/>
                <w:szCs w:val="8"/>
                <w:color w:val="auto"/>
              </w:rPr>
            </w:pPr>
          </w:p>
        </w:tc>
        <w:tc>
          <w:tcPr>
            <w:tcW w:w="1760" w:type="dxa"/>
            <w:vAlign w:val="bottom"/>
            <w:gridSpan w:val="3"/>
          </w:tcPr>
          <w:p>
            <w:pPr>
              <w:jc w:val="center"/>
              <w:ind w:left="208"/>
              <w:spacing w:after="0"/>
              <w:rPr>
                <w:sz w:val="20"/>
                <w:szCs w:val="20"/>
                <w:color w:val="auto"/>
              </w:rPr>
            </w:pPr>
            <w:r>
              <w:rPr>
                <w:rFonts w:ascii="Arial" w:cs="Arial" w:eastAsia="Arial" w:hAnsi="Arial"/>
                <w:sz w:val="9"/>
                <w:szCs w:val="9"/>
                <w:b w:val="1"/>
                <w:bCs w:val="1"/>
                <w:color w:val="auto"/>
                <w:w w:val="90"/>
              </w:rPr>
              <w:t>Westwood Holdings</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1760" w:type="dxa"/>
            <w:vAlign w:val="bottom"/>
            <w:gridSpan w:val="3"/>
          </w:tcPr>
          <w:p>
            <w:pPr>
              <w:jc w:val="center"/>
              <w:ind w:left="208"/>
              <w:spacing w:after="0"/>
              <w:rPr>
                <w:sz w:val="20"/>
                <w:szCs w:val="20"/>
                <w:color w:val="auto"/>
              </w:rPr>
            </w:pPr>
            <w:r>
              <w:rPr>
                <w:rFonts w:ascii="Arial" w:cs="Arial" w:eastAsia="Arial" w:hAnsi="Arial"/>
                <w:sz w:val="9"/>
                <w:szCs w:val="9"/>
                <w:b w:val="1"/>
                <w:bCs w:val="1"/>
                <w:color w:val="auto"/>
                <w:w w:val="96"/>
              </w:rPr>
              <w:t>Group, Inc.</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Accumulated</w:t>
            </w:r>
          </w:p>
        </w:tc>
        <w:tc>
          <w:tcPr>
            <w:tcW w:w="60" w:type="dxa"/>
            <w:vAlign w:val="bottom"/>
          </w:tcPr>
          <w:p>
            <w:pPr>
              <w:spacing w:after="0"/>
              <w:rPr>
                <w:sz w:val="9"/>
                <w:szCs w:val="9"/>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89"/>
              </w:rPr>
              <w:t>Retained</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600" w:type="dxa"/>
            <w:vAlign w:val="bottom"/>
          </w:tcPr>
          <w:p>
            <w:pPr>
              <w:spacing w:after="0"/>
              <w:rPr>
                <w:sz w:val="8"/>
                <w:szCs w:val="8"/>
                <w:color w:val="auto"/>
              </w:rPr>
            </w:pPr>
          </w:p>
        </w:tc>
        <w:tc>
          <w:tcPr>
            <w:tcW w:w="1760" w:type="dxa"/>
            <w:vAlign w:val="bottom"/>
            <w:tcBorders>
              <w:bottom w:val="single" w:sz="8" w:color="auto"/>
            </w:tcBorders>
            <w:gridSpan w:val="3"/>
          </w:tcPr>
          <w:p>
            <w:pPr>
              <w:jc w:val="center"/>
              <w:ind w:left="208"/>
              <w:spacing w:after="0" w:line="88" w:lineRule="exact"/>
              <w:rPr>
                <w:sz w:val="20"/>
                <w:szCs w:val="20"/>
                <w:color w:val="auto"/>
              </w:rPr>
            </w:pPr>
            <w:r>
              <w:rPr>
                <w:rFonts w:ascii="Arial" w:cs="Arial" w:eastAsia="Arial" w:hAnsi="Arial"/>
                <w:sz w:val="9"/>
                <w:szCs w:val="9"/>
                <w:b w:val="1"/>
                <w:bCs w:val="1"/>
                <w:color w:val="auto"/>
                <w:w w:val="91"/>
              </w:rPr>
              <w:t>Common Stock, Par</w:t>
            </w: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tcPr>
          <w:p>
            <w:pPr>
              <w:jc w:val="center"/>
              <w:ind w:right="320"/>
              <w:spacing w:after="0" w:line="88" w:lineRule="exact"/>
              <w:rPr>
                <w:sz w:val="20"/>
                <w:szCs w:val="20"/>
                <w:color w:val="auto"/>
              </w:rPr>
            </w:pPr>
            <w:r>
              <w:rPr>
                <w:rFonts w:ascii="Arial" w:cs="Arial" w:eastAsia="Arial" w:hAnsi="Arial"/>
                <w:sz w:val="9"/>
                <w:szCs w:val="9"/>
                <w:b w:val="1"/>
                <w:bCs w:val="1"/>
                <w:color w:val="auto"/>
                <w:w w:val="91"/>
              </w:rPr>
              <w:t>Other</w:t>
            </w:r>
          </w:p>
        </w:tc>
        <w:tc>
          <w:tcPr>
            <w:tcW w:w="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600" w:type="dxa"/>
            <w:vAlign w:val="bottom"/>
          </w:tcPr>
          <w:p>
            <w:pPr>
              <w:spacing w:after="0"/>
              <w:rPr>
                <w:sz w:val="5"/>
                <w:szCs w:val="5"/>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9"/>
                <w:szCs w:val="9"/>
                <w:b w:val="1"/>
                <w:bCs w:val="1"/>
                <w:color w:val="auto"/>
              </w:rPr>
              <w:t>Shares</w:t>
            </w:r>
          </w:p>
        </w:tc>
        <w:tc>
          <w:tcPr>
            <w:tcW w:w="700" w:type="dxa"/>
            <w:vAlign w:val="bottom"/>
            <w:vMerge w:val="restart"/>
          </w:tcPr>
          <w:p>
            <w:pPr>
              <w:jc w:val="right"/>
              <w:ind w:right="9"/>
              <w:spacing w:after="0"/>
              <w:rPr>
                <w:sz w:val="20"/>
                <w:szCs w:val="20"/>
                <w:color w:val="auto"/>
              </w:rPr>
            </w:pPr>
            <w:r>
              <w:rPr>
                <w:rFonts w:ascii="Arial" w:cs="Arial" w:eastAsia="Arial" w:hAnsi="Arial"/>
                <w:sz w:val="9"/>
                <w:szCs w:val="9"/>
                <w:b w:val="1"/>
                <w:bCs w:val="1"/>
                <w:color w:val="auto"/>
              </w:rPr>
              <w:t>Amount</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tcPr>
          <w:p>
            <w:pPr>
              <w:jc w:val="center"/>
              <w:ind w:right="280"/>
              <w:spacing w:after="0" w:line="59" w:lineRule="exact"/>
              <w:rPr>
                <w:sz w:val="20"/>
                <w:szCs w:val="20"/>
                <w:color w:val="auto"/>
              </w:rPr>
            </w:pPr>
            <w:r>
              <w:rPr>
                <w:rFonts w:ascii="Arial" w:cs="Arial" w:eastAsia="Arial" w:hAnsi="Arial"/>
                <w:sz w:val="6"/>
                <w:szCs w:val="6"/>
                <w:b w:val="1"/>
                <w:bCs w:val="1"/>
                <w:color w:val="auto"/>
              </w:rPr>
              <w:t>Paid-In</w:t>
            </w:r>
          </w:p>
        </w:tc>
        <w:tc>
          <w:tcPr>
            <w:tcW w:w="140" w:type="dxa"/>
            <w:vAlign w:val="bottom"/>
          </w:tcPr>
          <w:p>
            <w:pPr>
              <w:spacing w:after="0"/>
              <w:rPr>
                <w:sz w:val="5"/>
                <w:szCs w:val="5"/>
                <w:color w:val="auto"/>
              </w:rPr>
            </w:pPr>
          </w:p>
        </w:tc>
        <w:tc>
          <w:tcPr>
            <w:tcW w:w="800" w:type="dxa"/>
            <w:vAlign w:val="bottom"/>
            <w:gridSpan w:val="2"/>
          </w:tcPr>
          <w:p>
            <w:pPr>
              <w:jc w:val="center"/>
              <w:ind w:right="240"/>
              <w:spacing w:after="0" w:line="59" w:lineRule="exact"/>
              <w:rPr>
                <w:sz w:val="20"/>
                <w:szCs w:val="20"/>
                <w:color w:val="auto"/>
              </w:rPr>
            </w:pPr>
            <w:r>
              <w:rPr>
                <w:rFonts w:ascii="Arial" w:cs="Arial" w:eastAsia="Arial" w:hAnsi="Arial"/>
                <w:sz w:val="6"/>
                <w:szCs w:val="6"/>
                <w:b w:val="1"/>
                <w:bCs w:val="1"/>
                <w:color w:val="auto"/>
              </w:rPr>
              <w:t>Treasury</w:t>
            </w:r>
          </w:p>
        </w:tc>
        <w:tc>
          <w:tcPr>
            <w:tcW w:w="220" w:type="dxa"/>
            <w:vAlign w:val="bottom"/>
          </w:tcPr>
          <w:p>
            <w:pPr>
              <w:spacing w:after="0"/>
              <w:rPr>
                <w:sz w:val="5"/>
                <w:szCs w:val="5"/>
                <w:color w:val="auto"/>
              </w:rPr>
            </w:pPr>
          </w:p>
        </w:tc>
        <w:tc>
          <w:tcPr>
            <w:tcW w:w="1260" w:type="dxa"/>
            <w:vAlign w:val="bottom"/>
            <w:gridSpan w:val="2"/>
          </w:tcPr>
          <w:p>
            <w:pPr>
              <w:jc w:val="center"/>
              <w:ind w:right="320"/>
              <w:spacing w:after="0" w:line="59" w:lineRule="exact"/>
              <w:rPr>
                <w:sz w:val="20"/>
                <w:szCs w:val="20"/>
                <w:color w:val="auto"/>
              </w:rPr>
            </w:pPr>
            <w:r>
              <w:rPr>
                <w:rFonts w:ascii="Arial" w:cs="Arial" w:eastAsia="Arial" w:hAnsi="Arial"/>
                <w:sz w:val="6"/>
                <w:szCs w:val="6"/>
                <w:b w:val="1"/>
                <w:bCs w:val="1"/>
                <w:color w:val="auto"/>
              </w:rPr>
              <w:t>Comprehensive</w:t>
            </w:r>
          </w:p>
        </w:tc>
        <w:tc>
          <w:tcPr>
            <w:tcW w:w="60" w:type="dxa"/>
            <w:vAlign w:val="bottom"/>
          </w:tcPr>
          <w:p>
            <w:pPr>
              <w:spacing w:after="0"/>
              <w:rPr>
                <w:sz w:val="5"/>
                <w:szCs w:val="5"/>
                <w:color w:val="auto"/>
              </w:rPr>
            </w:pPr>
          </w:p>
        </w:tc>
        <w:tc>
          <w:tcPr>
            <w:tcW w:w="1100" w:type="dxa"/>
            <w:vAlign w:val="bottom"/>
            <w:gridSpan w:val="2"/>
          </w:tcPr>
          <w:p>
            <w:pPr>
              <w:jc w:val="center"/>
              <w:ind w:right="160"/>
              <w:spacing w:after="0" w:line="59" w:lineRule="exact"/>
              <w:rPr>
                <w:sz w:val="20"/>
                <w:szCs w:val="20"/>
                <w:color w:val="auto"/>
              </w:rPr>
            </w:pPr>
            <w:r>
              <w:rPr>
                <w:rFonts w:ascii="Arial" w:cs="Arial" w:eastAsia="Arial" w:hAnsi="Arial"/>
                <w:sz w:val="6"/>
                <w:szCs w:val="6"/>
                <w:b w:val="1"/>
                <w:bCs w:val="1"/>
                <w:color w:val="auto"/>
              </w:rPr>
              <w:t>Earnings (Accumulated</w:t>
            </w:r>
          </w:p>
        </w:tc>
        <w:tc>
          <w:tcPr>
            <w:tcW w:w="200" w:type="dxa"/>
            <w:vAlign w:val="bottom"/>
          </w:tcPr>
          <w:p>
            <w:pPr>
              <w:spacing w:after="0"/>
              <w:rPr>
                <w:sz w:val="5"/>
                <w:szCs w:val="5"/>
                <w:color w:val="auto"/>
              </w:rPr>
            </w:pPr>
          </w:p>
        </w:tc>
        <w:tc>
          <w:tcPr>
            <w:tcW w:w="700" w:type="dxa"/>
            <w:vAlign w:val="bottom"/>
            <w:vMerge w:val="restart"/>
          </w:tcPr>
          <w:p>
            <w:pPr>
              <w:jc w:val="right"/>
              <w:ind w:right="288"/>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Capital</w:t>
            </w:r>
          </w:p>
        </w:tc>
        <w:tc>
          <w:tcPr>
            <w:tcW w:w="14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9"/>
              </w:rPr>
              <w:t>Stock</w:t>
            </w:r>
          </w:p>
        </w:tc>
        <w:tc>
          <w:tcPr>
            <w:tcW w:w="220" w:type="dxa"/>
            <w:vAlign w:val="bottom"/>
          </w:tcPr>
          <w:p>
            <w:pPr>
              <w:spacing w:after="0"/>
              <w:rPr>
                <w:sz w:val="10"/>
                <w:szCs w:val="1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88"/>
              </w:rPr>
              <w:t>Income (Loss)</w:t>
            </w:r>
          </w:p>
        </w:tc>
        <w:tc>
          <w:tcPr>
            <w:tcW w:w="60" w:type="dxa"/>
            <w:vAlign w:val="bottom"/>
          </w:tcPr>
          <w:p>
            <w:pPr>
              <w:spacing w:after="0"/>
              <w:rPr>
                <w:sz w:val="10"/>
                <w:szCs w:val="1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8"/>
              </w:rPr>
              <w:t>Deficit)</w:t>
            </w: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December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8,904,902</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194,116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(58,711)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(4,883)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30,525</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161,149</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5,911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5,911</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1,940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1,940</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Issuance of restricted stock, net of forfeitures</w:t>
            </w:r>
          </w:p>
        </w:tc>
        <w:tc>
          <w:tcPr>
            <w:tcW w:w="960" w:type="dxa"/>
            <w:vAlign w:val="bottom"/>
          </w:tcPr>
          <w:p>
            <w:pPr>
              <w:jc w:val="right"/>
              <w:spacing w:after="0"/>
              <w:rPr>
                <w:sz w:val="20"/>
                <w:szCs w:val="20"/>
                <w:color w:val="auto"/>
              </w:rPr>
            </w:pPr>
            <w:r>
              <w:rPr>
                <w:rFonts w:ascii="Arial" w:cs="Arial" w:eastAsia="Arial" w:hAnsi="Arial"/>
                <w:sz w:val="10"/>
                <w:szCs w:val="10"/>
                <w:color w:val="auto"/>
              </w:rPr>
              <w:t>123,986</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10,305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10,305</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Reclassification of compensation liability to be paid in shares</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ind w:right="9"/>
              <w:spacing w:after="0"/>
              <w:rPr>
                <w:sz w:val="20"/>
                <w:szCs w:val="20"/>
                <w:color w:val="auto"/>
              </w:rPr>
            </w:pPr>
            <w:r>
              <w:rPr>
                <w:rFonts w:ascii="Arial" w:cs="Arial" w:eastAsia="Arial" w:hAnsi="Arial"/>
                <w:sz w:val="10"/>
                <w:szCs w:val="10"/>
                <w:color w:val="auto"/>
              </w:rPr>
              <w:t>232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232</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Dividends declared ($2.88 per share)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(25,469)</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Purchases of treasury stock</w:t>
            </w:r>
          </w:p>
        </w:tc>
        <w:tc>
          <w:tcPr>
            <w:tcW w:w="960" w:type="dxa"/>
            <w:vAlign w:val="bottom"/>
          </w:tcPr>
          <w:p>
            <w:pPr>
              <w:jc w:val="right"/>
              <w:spacing w:after="0"/>
              <w:rPr>
                <w:sz w:val="20"/>
                <w:szCs w:val="20"/>
                <w:color w:val="auto"/>
              </w:rPr>
            </w:pPr>
            <w:r>
              <w:rPr>
                <w:rFonts w:ascii="Arial" w:cs="Arial" w:eastAsia="Arial" w:hAnsi="Arial"/>
                <w:sz w:val="10"/>
                <w:szCs w:val="10"/>
                <w:color w:val="auto"/>
              </w:rPr>
              <w:t>(110,606)</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(3,394)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(3,394)</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 treasury stock under employee stock plans</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Restricted stock returned for payment of taxes</w:t>
            </w:r>
          </w:p>
        </w:tc>
        <w:tc>
          <w:tcPr>
            <w:tcW w:w="960" w:type="dxa"/>
            <w:vAlign w:val="bottom"/>
          </w:tcPr>
          <w:p>
            <w:pPr>
              <w:jc w:val="right"/>
              <w:spacing w:after="0"/>
              <w:rPr>
                <w:sz w:val="20"/>
                <w:szCs w:val="20"/>
                <w:color w:val="auto"/>
              </w:rPr>
            </w:pPr>
            <w:r>
              <w:rPr>
                <w:rFonts w:ascii="Arial" w:cs="Arial" w:eastAsia="Arial" w:hAnsi="Arial"/>
                <w:sz w:val="10"/>
                <w:szCs w:val="10"/>
                <w:color w:val="auto"/>
              </w:rPr>
              <w:t>(62,036)</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(2,387)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(2,387)</w:t>
            </w:r>
          </w:p>
        </w:tc>
        <w:tc>
          <w:tcPr>
            <w:tcW w:w="0" w:type="dxa"/>
            <w:vAlign w:val="bottom"/>
          </w:tcPr>
          <w:p>
            <w:pPr>
              <w:spacing w:after="0"/>
              <w:rPr>
                <w:sz w:val="1"/>
                <w:szCs w:val="1"/>
                <w:color w:val="auto"/>
              </w:rPr>
            </w:pPr>
          </w:p>
        </w:tc>
      </w:tr>
      <w:tr>
        <w:trPr>
          <w:trHeight w:val="130"/>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8,881,086</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203,441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(63,281)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(2,943)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10,967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148,287</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(8,947)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(8,947)</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(1,226)</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Foreign currency translation adjustments reclassification</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4,169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4,169</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 restricted stock, net of forfeitures</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193,968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ind w:right="9"/>
              <w:spacing w:after="0"/>
              <w:rPr>
                <w:sz w:val="20"/>
                <w:szCs w:val="20"/>
                <w:color w:val="auto"/>
              </w:rPr>
            </w:pPr>
            <w:r>
              <w:rPr>
                <w:rFonts w:ascii="Arial" w:cs="Arial" w:eastAsia="Arial" w:hAnsi="Arial"/>
                <w:sz w:val="10"/>
                <w:szCs w:val="10"/>
                <w:color w:val="auto"/>
              </w:rPr>
              <w:t>6,701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6,701</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Reclassification of compensation liability to be paid in shares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Dividends declared ($0.43 per share), net of forfeitures</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(3,715)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(3,715)</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Purchases of treasury stock</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(679,756)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(12,952)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(12,952)</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Purchase of treasury stock under employee stock plans</w:t>
            </w:r>
          </w:p>
        </w:tc>
        <w:tc>
          <w:tcPr>
            <w:tcW w:w="960" w:type="dxa"/>
            <w:vAlign w:val="bottom"/>
          </w:tcPr>
          <w:p>
            <w:pPr>
              <w:jc w:val="right"/>
              <w:spacing w:after="0"/>
              <w:rPr>
                <w:sz w:val="20"/>
                <w:szCs w:val="20"/>
                <w:color w:val="auto"/>
              </w:rPr>
            </w:pPr>
            <w:r>
              <w:rPr>
                <w:rFonts w:ascii="Arial" w:cs="Arial" w:eastAsia="Arial" w:hAnsi="Arial"/>
                <w:sz w:val="10"/>
                <w:szCs w:val="10"/>
                <w:color w:val="auto"/>
              </w:rPr>
              <w:t>(27,474)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(697)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(697)</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 treasury stock under employee stock plans</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Restricted stock returned for payment of taxes</w:t>
            </w:r>
          </w:p>
        </w:tc>
        <w:tc>
          <w:tcPr>
            <w:tcW w:w="960" w:type="dxa"/>
            <w:vAlign w:val="bottom"/>
          </w:tcPr>
          <w:p>
            <w:pPr>
              <w:jc w:val="right"/>
              <w:spacing w:after="0"/>
              <w:rPr>
                <w:sz w:val="20"/>
                <w:szCs w:val="20"/>
                <w:color w:val="auto"/>
              </w:rPr>
            </w:pPr>
            <w:r>
              <w:rPr>
                <w:rFonts w:ascii="Arial" w:cs="Arial" w:eastAsia="Arial" w:hAnsi="Arial"/>
                <w:sz w:val="10"/>
                <w:szCs w:val="10"/>
                <w:color w:val="auto"/>
              </w:rPr>
              <w:t>(43,045)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(1,120)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(1,120)</w:t>
            </w:r>
          </w:p>
        </w:tc>
        <w:tc>
          <w:tcPr>
            <w:tcW w:w="0" w:type="dxa"/>
            <w:vAlign w:val="bottom"/>
          </w:tcPr>
          <w:p>
            <w:pPr>
              <w:spacing w:after="0"/>
              <w:rPr>
                <w:sz w:val="1"/>
                <w:szCs w:val="1"/>
                <w:color w:val="auto"/>
              </w:rPr>
            </w:pPr>
          </w:p>
        </w:tc>
      </w:tr>
      <w:tr>
        <w:trPr>
          <w:trHeight w:val="130"/>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8,326,948</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210,268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(77,967)</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(1,695)</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130,711</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9,763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9,763</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 restricted stock, net of forfeitures</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158,098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ind w:right="9"/>
              <w:spacing w:after="0"/>
              <w:rPr>
                <w:sz w:val="20"/>
                <w:szCs w:val="20"/>
                <w:color w:val="auto"/>
              </w:rPr>
            </w:pPr>
            <w:r>
              <w:rPr>
                <w:rFonts w:ascii="Arial" w:cs="Arial" w:eastAsia="Arial" w:hAnsi="Arial"/>
                <w:sz w:val="10"/>
                <w:szCs w:val="10"/>
                <w:color w:val="auto"/>
              </w:rPr>
              <w:t>5,835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5,835</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Return of capital ($2.50 per share)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(20,823)</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Dividends declared ($0.45 per share), net of forfeitures</w:t>
            </w: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(3,706)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(3,706)</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Purchases of treasury stock</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(182,549)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(2,990)</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Arial" w:cs="Arial" w:eastAsia="Arial" w:hAnsi="Arial"/>
                <w:sz w:val="10"/>
                <w:szCs w:val="10"/>
                <w:color w:val="auto"/>
              </w:rPr>
              <w:t>Issuance of treasury stock under employee stock plans</w:t>
            </w:r>
          </w:p>
        </w:tc>
        <w:tc>
          <w:tcPr>
            <w:tcW w:w="960" w:type="dxa"/>
            <w:vAlign w:val="bottom"/>
          </w:tcPr>
          <w:p>
            <w:pPr>
              <w:jc w:val="right"/>
              <w:spacing w:after="0"/>
              <w:rPr>
                <w:sz w:val="20"/>
                <w:szCs w:val="20"/>
                <w:color w:val="auto"/>
              </w:rPr>
            </w:pPr>
            <w:r>
              <w:rPr>
                <w:rFonts w:ascii="Arial" w:cs="Arial" w:eastAsia="Arial" w:hAnsi="Arial"/>
                <w:sz w:val="10"/>
                <w:szCs w:val="10"/>
                <w:color w:val="auto"/>
              </w:rPr>
              <w:t>2,353</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3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Restricted stock returned for payment of taxes</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(51,359)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(884)</w:t>
            </w:r>
          </w:p>
        </w:tc>
        <w:tc>
          <w:tcPr>
            <w:tcW w:w="0" w:type="dxa"/>
            <w:vAlign w:val="bottom"/>
          </w:tcPr>
          <w:p>
            <w:pPr>
              <w:spacing w:after="0"/>
              <w:rPr>
                <w:sz w:val="1"/>
                <w:szCs w:val="1"/>
                <w:color w:val="auto"/>
              </w:rPr>
            </w:pPr>
          </w:p>
        </w:tc>
      </w:tr>
      <w:tr>
        <w:trPr>
          <w:trHeight w:val="127"/>
        </w:trPr>
        <w:tc>
          <w:tcPr>
            <w:tcW w:w="3600" w:type="dxa"/>
            <w:vAlign w:val="bottom"/>
          </w:tcPr>
          <w:p>
            <w:pPr>
              <w:ind w:left="20"/>
              <w:spacing w:after="0"/>
              <w:rPr>
                <w:sz w:val="20"/>
                <w:szCs w:val="20"/>
                <w:color w:val="auto"/>
              </w:rPr>
            </w:pPr>
            <w:r>
              <w:rPr>
                <w:rFonts w:ascii="Arial" w:cs="Arial" w:eastAsia="Arial" w:hAnsi="Arial"/>
                <w:sz w:val="10"/>
                <w:szCs w:val="10"/>
                <w:b w:val="1"/>
                <w:bCs w:val="1"/>
                <w:color w:val="auto"/>
              </w:rPr>
              <w:t>BALANCE, December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8,253,491</w:t>
            </w: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107</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195,187</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(81,750)</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4,362</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117,906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8" w:name="page49"/>
    <w:bookmarkEnd w:id="48"/>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6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b w:val="1"/>
                <w:bCs w:val="1"/>
                <w:color w:val="auto"/>
                <w:w w:val="97"/>
              </w:rPr>
              <w:t>Years ended December 31,</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31"/>
        </w:trPr>
        <w:tc>
          <w:tcPr>
            <w:tcW w:w="76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2019</w:t>
            </w:r>
          </w:p>
        </w:tc>
      </w:tr>
      <w:tr>
        <w:trPr>
          <w:trHeight w:val="128"/>
        </w:trPr>
        <w:tc>
          <w:tcPr>
            <w:tcW w:w="76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4"/>
        </w:trPr>
        <w:tc>
          <w:tcPr>
            <w:tcW w:w="7680" w:type="dxa"/>
            <w:vAlign w:val="bottom"/>
          </w:tcPr>
          <w:p>
            <w:pPr>
              <w:ind w:left="240"/>
              <w:spacing w:after="0"/>
              <w:rPr>
                <w:sz w:val="20"/>
                <w:szCs w:val="20"/>
                <w:color w:val="auto"/>
              </w:rPr>
            </w:pPr>
            <w:r>
              <w:rPr>
                <w:rFonts w:ascii="Arial" w:cs="Arial" w:eastAsia="Arial" w:hAnsi="Arial"/>
                <w:sz w:val="10"/>
                <w:szCs w:val="10"/>
                <w:color w:val="auto"/>
              </w:rPr>
              <w:t>Net income (loss)</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9,763</w:t>
            </w:r>
          </w:p>
        </w:tc>
        <w:tc>
          <w:tcPr>
            <w:tcW w:w="360" w:type="dxa"/>
            <w:vAlign w:val="bottom"/>
            <w:gridSpan w:val="2"/>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(8,947)</w:t>
            </w:r>
          </w:p>
        </w:tc>
        <w:tc>
          <w:tcPr>
            <w:tcW w:w="100" w:type="dxa"/>
            <w:vAlign w:val="bottom"/>
          </w:tcPr>
          <w:p>
            <w:pPr>
              <w:spacing w:after="0"/>
              <w:rPr>
                <w:sz w:val="11"/>
                <w:szCs w:val="11"/>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5,911</w:t>
            </w:r>
          </w:p>
        </w:tc>
      </w:tr>
      <w:tr>
        <w:trPr>
          <w:trHeight w:val="140"/>
        </w:trPr>
        <w:tc>
          <w:tcPr>
            <w:tcW w:w="76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Adjustments to reconcile net income (loss) to net cash provided by (used in) operating activities: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Depreciation</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750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921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898</w:t>
            </w:r>
          </w:p>
        </w:tc>
      </w:tr>
      <w:tr>
        <w:trPr>
          <w:trHeight w:val="140"/>
        </w:trPr>
        <w:tc>
          <w:tcPr>
            <w:tcW w:w="7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Amortization of intangible assets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1,721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1,726</w:t>
            </w: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Net change in unrealized (appreciation) depreciation on investments</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1,845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1,056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(3,650)</w:t>
            </w:r>
          </w:p>
        </w:tc>
      </w:tr>
      <w:tr>
        <w:trPr>
          <w:trHeight w:val="140"/>
        </w:trPr>
        <w:tc>
          <w:tcPr>
            <w:tcW w:w="7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Realized gains on private investments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(8,371)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Stock-based compensation expense</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5,835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6,701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10,305</w:t>
            </w:r>
          </w:p>
        </w:tc>
      </w:tr>
      <w:tr>
        <w:trPr>
          <w:trHeight w:val="140"/>
        </w:trPr>
        <w:tc>
          <w:tcPr>
            <w:tcW w:w="7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Deferred income taxes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754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2,906</w:t>
            </w: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Loss on asset disposition</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0"/>
        </w:trPr>
        <w:tc>
          <w:tcPr>
            <w:tcW w:w="7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Gain on asset disposition</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Non-cash lease expense</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1,235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1,500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1,151</w:t>
            </w:r>
          </w:p>
        </w:tc>
      </w:tr>
      <w:tr>
        <w:trPr>
          <w:trHeight w:val="140"/>
        </w:trPr>
        <w:tc>
          <w:tcPr>
            <w:tcW w:w="7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Impairment of goodwill</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3,403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Currency translation adjustment reclassification</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4,169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0"/>
        </w:trPr>
        <w:tc>
          <w:tcPr>
            <w:tcW w:w="76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Changes in operating assets and liabilities: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Net (purchases) sales of investments – trading securities</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4,513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(19,562)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15,811</w:t>
            </w:r>
          </w:p>
        </w:tc>
      </w:tr>
      <w:tr>
        <w:trPr>
          <w:trHeight w:val="140"/>
        </w:trPr>
        <w:tc>
          <w:tcPr>
            <w:tcW w:w="7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Accounts receivable</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3,683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5,404</w:t>
            </w: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Other current assets</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189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(170)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(608)</w:t>
            </w:r>
          </w:p>
        </w:tc>
      </w:tr>
      <w:tr>
        <w:trPr>
          <w:trHeight w:val="140"/>
        </w:trPr>
        <w:tc>
          <w:tcPr>
            <w:tcW w:w="7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Accounts payable and accrued liabilities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w:t>
            </w:r>
          </w:p>
        </w:tc>
      </w:tr>
      <w:tr>
        <w:trPr>
          <w:trHeight w:val="134"/>
        </w:trPr>
        <w:tc>
          <w:tcPr>
            <w:tcW w:w="7680" w:type="dxa"/>
            <w:vAlign w:val="bottom"/>
          </w:tcPr>
          <w:p>
            <w:pPr>
              <w:ind w:left="480"/>
              <w:spacing w:after="0"/>
              <w:rPr>
                <w:sz w:val="20"/>
                <w:szCs w:val="20"/>
                <w:color w:val="auto"/>
              </w:rPr>
            </w:pPr>
            <w:r>
              <w:rPr>
                <w:rFonts w:ascii="Arial" w:cs="Arial" w:eastAsia="Arial" w:hAnsi="Arial"/>
                <w:sz w:val="10"/>
                <w:szCs w:val="10"/>
                <w:color w:val="auto"/>
              </w:rPr>
              <w:t>Compensation and benefits payable</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2,042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(2,270)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(5,018)</w:t>
            </w:r>
          </w:p>
        </w:tc>
      </w:tr>
      <w:tr>
        <w:trPr>
          <w:trHeight w:val="140"/>
        </w:trPr>
        <w:tc>
          <w:tcPr>
            <w:tcW w:w="7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Income taxes payable</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(849)</w:t>
            </w:r>
          </w:p>
        </w:tc>
      </w:tr>
      <w:tr>
        <w:trPr>
          <w:trHeight w:val="134"/>
        </w:trPr>
        <w:tc>
          <w:tcPr>
            <w:tcW w:w="7680" w:type="dxa"/>
            <w:vAlign w:val="bottom"/>
            <w:tcBorders>
              <w:bottom w:val="single" w:sz="8" w:color="CCEEFF"/>
            </w:tcBorders>
          </w:tcPr>
          <w:p>
            <w:pPr>
              <w:ind w:left="480"/>
              <w:spacing w:after="0"/>
              <w:rPr>
                <w:sz w:val="20"/>
                <w:szCs w:val="20"/>
                <w:color w:val="auto"/>
              </w:rPr>
            </w:pPr>
            <w:r>
              <w:rPr>
                <w:rFonts w:ascii="Arial" w:cs="Arial" w:eastAsia="Arial" w:hAnsi="Arial"/>
                <w:sz w:val="10"/>
                <w:szCs w:val="10"/>
                <w:color w:val="auto"/>
              </w:rPr>
              <w:t>Other liabilities</w:t>
            </w:r>
          </w:p>
        </w:tc>
        <w:tc>
          <w:tcPr>
            <w:tcW w:w="7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(1,569)</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(1,561)</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(1,433)</w:t>
            </w:r>
          </w:p>
        </w:tc>
      </w:tr>
      <w:tr>
        <w:trPr>
          <w:trHeight w:val="130"/>
        </w:trPr>
        <w:tc>
          <w:tcPr>
            <w:tcW w:w="7680" w:type="dxa"/>
            <w:vAlign w:val="bottom"/>
            <w:shd w:val="clear" w:color="auto" w:fill="CCEEFF"/>
          </w:tcPr>
          <w:p>
            <w:pPr>
              <w:ind w:left="720"/>
              <w:spacing w:after="0"/>
              <w:rPr>
                <w:sz w:val="20"/>
                <w:szCs w:val="20"/>
                <w:color w:val="auto"/>
              </w:rPr>
            </w:pPr>
            <w:r>
              <w:rPr>
                <w:rFonts w:ascii="Arial" w:cs="Arial" w:eastAsia="Arial" w:hAnsi="Arial"/>
                <w:sz w:val="10"/>
                <w:szCs w:val="10"/>
                <w:color w:val="auto"/>
              </w:rPr>
              <w:t>Net cash provided by (used in) operating activities</w:t>
            </w:r>
          </w:p>
        </w:tc>
        <w:tc>
          <w:tcPr>
            <w:tcW w:w="7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19,385</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(9,770)</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32,172</w:t>
            </w:r>
          </w:p>
        </w:tc>
      </w:tr>
      <w:tr>
        <w:trPr>
          <w:trHeight w:val="121"/>
        </w:trPr>
        <w:tc>
          <w:tcPr>
            <w:tcW w:w="7680" w:type="dxa"/>
            <w:vAlign w:val="bottom"/>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3"/>
        </w:trPr>
        <w:tc>
          <w:tcPr>
            <w:tcW w:w="76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Sale of investments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9,258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7680" w:type="dxa"/>
            <w:vAlign w:val="bottom"/>
          </w:tcPr>
          <w:p>
            <w:pPr>
              <w:ind w:left="240"/>
              <w:spacing w:after="0"/>
              <w:rPr>
                <w:sz w:val="20"/>
                <w:szCs w:val="20"/>
                <w:color w:val="auto"/>
              </w:rPr>
            </w:pPr>
            <w:r>
              <w:rPr>
                <w:rFonts w:ascii="Arial" w:cs="Arial" w:eastAsia="Arial" w:hAnsi="Arial"/>
                <w:sz w:val="10"/>
                <w:szCs w:val="10"/>
                <w:color w:val="auto"/>
              </w:rPr>
              <w:t>Purchases of investments</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(3,671)</w:t>
            </w:r>
          </w:p>
        </w:tc>
      </w:tr>
      <w:tr>
        <w:trPr>
          <w:trHeight w:val="140"/>
        </w:trPr>
        <w:tc>
          <w:tcPr>
            <w:tcW w:w="76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Purchases of property and equipment</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w:t>
            </w:r>
          </w:p>
        </w:tc>
      </w:tr>
      <w:tr>
        <w:trPr>
          <w:trHeight w:val="134"/>
        </w:trPr>
        <w:tc>
          <w:tcPr>
            <w:tcW w:w="7680" w:type="dxa"/>
            <w:vAlign w:val="bottom"/>
          </w:tcPr>
          <w:p>
            <w:pPr>
              <w:ind w:left="240"/>
              <w:spacing w:after="0"/>
              <w:rPr>
                <w:sz w:val="20"/>
                <w:szCs w:val="20"/>
                <w:color w:val="auto"/>
              </w:rPr>
            </w:pPr>
            <w:r>
              <w:rPr>
                <w:rFonts w:ascii="Arial" w:cs="Arial" w:eastAsia="Arial" w:hAnsi="Arial"/>
                <w:sz w:val="10"/>
                <w:szCs w:val="10"/>
                <w:color w:val="auto"/>
              </w:rPr>
              <w:t>Additions to internally developed software</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(584)</w:t>
            </w:r>
          </w:p>
        </w:tc>
      </w:tr>
      <w:tr>
        <w:trPr>
          <w:trHeight w:val="140"/>
        </w:trPr>
        <w:tc>
          <w:tcPr>
            <w:tcW w:w="76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Proceeds on sale of property and equipment</w:t>
            </w:r>
          </w:p>
        </w:tc>
        <w:tc>
          <w:tcPr>
            <w:tcW w:w="7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501</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89</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680" w:type="dxa"/>
            <w:vAlign w:val="bottom"/>
            <w:tcBorders>
              <w:bottom w:val="single" w:sz="8" w:color="CCEEFF"/>
            </w:tcBorders>
          </w:tcPr>
          <w:p>
            <w:pPr>
              <w:ind w:left="720"/>
              <w:spacing w:after="0" w:line="111" w:lineRule="exact"/>
              <w:rPr>
                <w:sz w:val="20"/>
                <w:szCs w:val="20"/>
                <w:color w:val="auto"/>
              </w:rPr>
            </w:pPr>
            <w:r>
              <w:rPr>
                <w:rFonts w:ascii="Arial" w:cs="Arial" w:eastAsia="Arial" w:hAnsi="Arial"/>
                <w:sz w:val="10"/>
                <w:szCs w:val="10"/>
                <w:color w:val="auto"/>
              </w:rPr>
              <w:t>Net cash provided by (used in) investing activities</w:t>
            </w:r>
          </w:p>
        </w:tc>
        <w:tc>
          <w:tcPr>
            <w:tcW w:w="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9,566</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(4,848)</w:t>
            </w:r>
          </w:p>
        </w:tc>
      </w:tr>
      <w:tr>
        <w:trPr>
          <w:trHeight w:val="130"/>
        </w:trPr>
        <w:tc>
          <w:tcPr>
            <w:tcW w:w="76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4"/>
        </w:trPr>
        <w:tc>
          <w:tcPr>
            <w:tcW w:w="7680" w:type="dxa"/>
            <w:vAlign w:val="bottom"/>
          </w:tcPr>
          <w:p>
            <w:pPr>
              <w:ind w:left="240"/>
              <w:spacing w:after="0"/>
              <w:rPr>
                <w:sz w:val="20"/>
                <w:szCs w:val="20"/>
                <w:color w:val="auto"/>
              </w:rPr>
            </w:pPr>
            <w:r>
              <w:rPr>
                <w:rFonts w:ascii="Arial" w:cs="Arial" w:eastAsia="Arial" w:hAnsi="Arial"/>
                <w:sz w:val="10"/>
                <w:szCs w:val="10"/>
                <w:color w:val="auto"/>
              </w:rPr>
              <w:t>Purchases of treasury stock</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(2,990)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(12,952)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(2,414)</w:t>
            </w:r>
          </w:p>
        </w:tc>
      </w:tr>
      <w:tr>
        <w:trPr>
          <w:trHeight w:val="140"/>
        </w:trPr>
        <w:tc>
          <w:tcPr>
            <w:tcW w:w="76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Purchases of treasury stock under employee stock plans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(980)</w:t>
            </w:r>
          </w:p>
        </w:tc>
      </w:tr>
      <w:tr>
        <w:trPr>
          <w:trHeight w:val="134"/>
        </w:trPr>
        <w:tc>
          <w:tcPr>
            <w:tcW w:w="7680" w:type="dxa"/>
            <w:vAlign w:val="bottom"/>
          </w:tcPr>
          <w:p>
            <w:pPr>
              <w:ind w:left="240"/>
              <w:spacing w:after="0"/>
              <w:rPr>
                <w:sz w:val="20"/>
                <w:szCs w:val="20"/>
                <w:color w:val="auto"/>
              </w:rPr>
            </w:pPr>
            <w:r>
              <w:rPr>
                <w:rFonts w:ascii="Arial" w:cs="Arial" w:eastAsia="Arial" w:hAnsi="Arial"/>
                <w:sz w:val="10"/>
                <w:szCs w:val="10"/>
                <w:color w:val="auto"/>
              </w:rPr>
              <w:t>Restricted stock returned for payment of taxes</w:t>
            </w:r>
          </w:p>
        </w:tc>
        <w:tc>
          <w:tcPr>
            <w:tcW w:w="7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(884)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(1,120)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(2,387)</w:t>
            </w:r>
          </w:p>
        </w:tc>
      </w:tr>
      <w:tr>
        <w:trPr>
          <w:trHeight w:val="140"/>
        </w:trPr>
        <w:tc>
          <w:tcPr>
            <w:tcW w:w="76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Cash dividends</w:t>
            </w:r>
          </w:p>
        </w:tc>
        <w:tc>
          <w:tcPr>
            <w:tcW w:w="7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(22,932)</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(11,043)</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(26,089)</w:t>
            </w:r>
          </w:p>
        </w:tc>
      </w:tr>
      <w:tr>
        <w:trPr>
          <w:trHeight w:val="124"/>
        </w:trPr>
        <w:tc>
          <w:tcPr>
            <w:tcW w:w="7680" w:type="dxa"/>
            <w:vAlign w:val="bottom"/>
            <w:tcBorders>
              <w:bottom w:val="single" w:sz="8" w:color="CCEEFF"/>
            </w:tcBorders>
          </w:tcPr>
          <w:p>
            <w:pPr>
              <w:ind w:left="720"/>
              <w:spacing w:after="0" w:line="111" w:lineRule="exact"/>
              <w:rPr>
                <w:sz w:val="20"/>
                <w:szCs w:val="20"/>
                <w:color w:val="auto"/>
              </w:rPr>
            </w:pPr>
            <w:r>
              <w:rPr>
                <w:rFonts w:ascii="Arial" w:cs="Arial" w:eastAsia="Arial" w:hAnsi="Arial"/>
                <w:sz w:val="10"/>
                <w:szCs w:val="10"/>
                <w:color w:val="auto"/>
              </w:rPr>
              <w:t>Net cash used in financing activities</w:t>
            </w:r>
          </w:p>
        </w:tc>
        <w:tc>
          <w:tcPr>
            <w:tcW w:w="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(26,806)</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(25,812)</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(31,870)</w:t>
            </w:r>
          </w:p>
        </w:tc>
      </w:tr>
      <w:tr>
        <w:trPr>
          <w:trHeight w:val="130"/>
        </w:trPr>
        <w:tc>
          <w:tcPr>
            <w:tcW w:w="7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Effect of currency rate changes on cash</w:t>
            </w:r>
          </w:p>
        </w:tc>
        <w:tc>
          <w:tcPr>
            <w:tcW w:w="7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(1,164)</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1,863</w:t>
            </w:r>
          </w:p>
        </w:tc>
      </w:tr>
      <w:tr>
        <w:trPr>
          <w:trHeight w:val="124"/>
        </w:trPr>
        <w:tc>
          <w:tcPr>
            <w:tcW w:w="7680" w:type="dxa"/>
            <w:vAlign w:val="bottom"/>
          </w:tcPr>
          <w:p>
            <w:pPr>
              <w:ind w:left="20"/>
              <w:spacing w:after="0"/>
              <w:rPr>
                <w:sz w:val="20"/>
                <w:szCs w:val="20"/>
                <w:color w:val="auto"/>
              </w:rPr>
            </w:pPr>
            <w:r>
              <w:rPr>
                <w:rFonts w:ascii="Arial" w:cs="Arial" w:eastAsia="Arial" w:hAnsi="Arial"/>
                <w:sz w:val="10"/>
                <w:szCs w:val="10"/>
                <w:b w:val="1"/>
                <w:bCs w:val="1"/>
                <w:color w:val="auto"/>
              </w:rPr>
              <w:t>Net increase (decrease) in cash and cash equivalents</w:t>
            </w:r>
          </w:p>
        </w:tc>
        <w:tc>
          <w:tcPr>
            <w:tcW w:w="72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2,190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(36,750)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(2,683)</w:t>
            </w:r>
          </w:p>
        </w:tc>
      </w:tr>
      <w:tr>
        <w:trPr>
          <w:trHeight w:val="140"/>
        </w:trPr>
        <w:tc>
          <w:tcPr>
            <w:tcW w:w="76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and cash equivalents, beginning of year</w:t>
            </w:r>
          </w:p>
        </w:tc>
        <w:tc>
          <w:tcPr>
            <w:tcW w:w="7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13,016</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49,766</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52,449</w:t>
            </w:r>
          </w:p>
        </w:tc>
      </w:tr>
      <w:tr>
        <w:trPr>
          <w:trHeight w:val="147"/>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Cash and cash equivalents, end of year</w:t>
            </w:r>
          </w:p>
        </w:tc>
        <w:tc>
          <w:tcPr>
            <w:tcW w:w="720" w:type="dxa"/>
            <w:vAlign w:val="bottom"/>
            <w:tcBorders>
              <w:bottom w:val="single" w:sz="8" w:color="auto"/>
            </w:tcBorders>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15,206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13,016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49,766</w:t>
            </w:r>
          </w:p>
        </w:tc>
      </w:tr>
      <w:tr>
        <w:trPr>
          <w:trHeight w:val="137"/>
        </w:trPr>
        <w:tc>
          <w:tcPr>
            <w:tcW w:w="7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Supplemental cash flow information:</w:t>
            </w: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4"/>
        </w:trPr>
        <w:tc>
          <w:tcPr>
            <w:tcW w:w="7680" w:type="dxa"/>
            <w:vAlign w:val="bottom"/>
          </w:tcPr>
          <w:p>
            <w:pPr>
              <w:ind w:left="240"/>
              <w:spacing w:after="0"/>
              <w:rPr>
                <w:sz w:val="20"/>
                <w:szCs w:val="20"/>
                <w:color w:val="auto"/>
              </w:rPr>
            </w:pPr>
            <w:r>
              <w:rPr>
                <w:rFonts w:ascii="Arial" w:cs="Arial" w:eastAsia="Arial" w:hAnsi="Arial"/>
                <w:sz w:val="10"/>
                <w:szCs w:val="10"/>
                <w:color w:val="auto"/>
              </w:rPr>
              <w:t>Cash paid during the year for income taxes</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1,858</w:t>
            </w:r>
          </w:p>
        </w:tc>
        <w:tc>
          <w:tcPr>
            <w:tcW w:w="360" w:type="dxa"/>
            <w:vAlign w:val="bottom"/>
            <w:gridSpan w:val="2"/>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8"/>
              <w:spacing w:after="0"/>
              <w:rPr>
                <w:sz w:val="20"/>
                <w:szCs w:val="20"/>
                <w:color w:val="auto"/>
              </w:rPr>
            </w:pPr>
            <w:r>
              <w:rPr>
                <w:rFonts w:ascii="Arial" w:cs="Arial" w:eastAsia="Arial" w:hAnsi="Arial"/>
                <w:sz w:val="10"/>
                <w:szCs w:val="10"/>
                <w:color w:val="auto"/>
              </w:rPr>
              <w:t>1,271</w:t>
            </w:r>
          </w:p>
        </w:tc>
        <w:tc>
          <w:tcPr>
            <w:tcW w:w="100" w:type="dxa"/>
            <w:vAlign w:val="bottom"/>
          </w:tcPr>
          <w:p>
            <w:pPr>
              <w:spacing w:after="0"/>
              <w:rPr>
                <w:sz w:val="11"/>
                <w:szCs w:val="11"/>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1,431</w:t>
            </w:r>
          </w:p>
        </w:tc>
      </w:tr>
      <w:tr>
        <w:trPr>
          <w:trHeight w:val="140"/>
        </w:trPr>
        <w:tc>
          <w:tcPr>
            <w:tcW w:w="76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Accrued dividends</w:t>
            </w:r>
          </w:p>
        </w:tc>
        <w:tc>
          <w:tcPr>
            <w:tcW w:w="720" w:type="dxa"/>
            <w:vAlign w:val="bottom"/>
            <w:shd w:val="clear" w:color="auto" w:fill="CCEEFF"/>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2,933</w:t>
            </w: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1,336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8,666</w:t>
            </w:r>
          </w:p>
        </w:tc>
      </w:tr>
    </w:tbl>
    <w:p>
      <w:pPr>
        <w:spacing w:after="0" w:line="5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DESCRIPTION OF THE BUSINESS:</w:t>
      </w:r>
    </w:p>
    <w:p>
      <w:pPr>
        <w:spacing w:after="0" w:line="90" w:lineRule="exact"/>
        <w:rPr>
          <w:sz w:val="20"/>
          <w:szCs w:val="20"/>
          <w:color w:val="auto"/>
        </w:rPr>
      </w:pPr>
    </w:p>
    <w:p>
      <w:pPr>
        <w:ind w:firstLine="353"/>
        <w:spacing w:after="0" w:line="259" w:lineRule="auto"/>
        <w:rPr>
          <w:sz w:val="20"/>
          <w:szCs w:val="20"/>
          <w:color w:val="auto"/>
        </w:rPr>
      </w:pPr>
      <w:r>
        <w:rPr>
          <w:rFonts w:ascii="Arial" w:cs="Arial" w:eastAsia="Arial" w:hAnsi="Arial"/>
          <w:sz w:val="13"/>
          <w:szCs w:val="13"/>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Westwood Trust and Westwood International Advisors Inc. (“Westwood International Advisors”). On July 27, 2020, Westwood’s Board of Directors approved the liquidation of Westwood International Advisors, which occurred effective September 30, 2020.</w:t>
      </w:r>
    </w:p>
    <w:p>
      <w:pPr>
        <w:spacing w:after="0" w:line="60" w:lineRule="exact"/>
        <w:rPr>
          <w:sz w:val="20"/>
          <w:szCs w:val="20"/>
          <w:color w:val="auto"/>
        </w:rPr>
      </w:pPr>
    </w:p>
    <w:p>
      <w:pPr>
        <w:ind w:right="80" w:firstLine="353"/>
        <w:spacing w:after="0" w:line="257" w:lineRule="auto"/>
        <w:rPr>
          <w:sz w:val="20"/>
          <w:szCs w:val="20"/>
          <w:color w:val="auto"/>
        </w:rPr>
      </w:pPr>
      <w:r>
        <w:rPr>
          <w:rFonts w:ascii="Arial" w:cs="Arial" w:eastAsia="Arial" w:hAnsi="Arial"/>
          <w:sz w:val="13"/>
          <w:szCs w:val="13"/>
          <w:color w:val="auto"/>
        </w:rPr>
        <w:t>Westwood Management provides investment advisory services to institutional clients, a family of mutual funds called the Westwood Funds®, other mutual funds, individual investors and clients of Westwood Trust. Prior to its liquidation, our wholly owned subsidiary, Westwood International Advisors, provided investment advisory services to institutional clients, the Westwood Funds®, other mutual funds, the UCITS Fund (which was liquidated in June 2020), individual investors and clients of Westwood Trust. Westwood Trust provides trust and custodial services and participation in self-sponsored common trust funds (“CTFs”) to institutions and high net worth individuals. Revenue is largely dependent on the total value and composition of AUM. Accordingly, fluctuations in financial markets and in the composition of AUM impact our revenues and results of operations.</w:t>
      </w:r>
    </w:p>
    <w:p>
      <w:pPr>
        <w:spacing w:after="0" w:line="62" w:lineRule="exact"/>
        <w:rPr>
          <w:sz w:val="20"/>
          <w:szCs w:val="20"/>
          <w:color w:val="auto"/>
        </w:rPr>
      </w:pPr>
    </w:p>
    <w:p>
      <w:pPr>
        <w:ind w:firstLine="353"/>
        <w:spacing w:after="0" w:line="275" w:lineRule="auto"/>
        <w:rPr>
          <w:sz w:val="20"/>
          <w:szCs w:val="20"/>
          <w:color w:val="auto"/>
        </w:rPr>
      </w:pPr>
      <w:r>
        <w:rPr>
          <w:rFonts w:ascii="Arial" w:cs="Arial" w:eastAsia="Arial" w:hAnsi="Arial"/>
          <w:sz w:val="13"/>
          <w:szCs w:val="13"/>
          <w:color w:val="auto"/>
        </w:rPr>
        <w:t>Westwood Management is registered with the Securities and Exchange Commission ("SEC") as an investment advisor under the Investment Advisers Act of 1940. Westwood Trust is chartered and regulated by the Texas Department of Banking.</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Principles of Consolidation</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accompanying Consolidated Financial Statements include the accounts of Westwood and its subsidiaries. All intercompany accounts and transactions have been eliminated upon consolidation.</w:t>
      </w:r>
    </w:p>
    <w:p>
      <w:pPr>
        <w:spacing w:after="0" w:line="97" w:lineRule="exact"/>
        <w:rPr>
          <w:sz w:val="20"/>
          <w:szCs w:val="20"/>
          <w:color w:val="auto"/>
        </w:rPr>
      </w:pPr>
    </w:p>
    <w:p>
      <w:pPr>
        <w:ind w:right="160" w:firstLine="353"/>
        <w:spacing w:after="0" w:line="284" w:lineRule="auto"/>
        <w:rPr>
          <w:sz w:val="20"/>
          <w:szCs w:val="20"/>
          <w:color w:val="auto"/>
        </w:rPr>
      </w:pPr>
      <w:r>
        <w:rPr>
          <w:rFonts w:ascii="Arial" w:cs="Arial" w:eastAsia="Arial" w:hAnsi="Arial"/>
          <w:sz w:val="12"/>
          <w:szCs w:val="12"/>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the investors’ abilities to direct the activities of the entity.</w:t>
      </w:r>
    </w:p>
    <w:p>
      <w:pPr>
        <w:spacing w:after="0" w:line="46" w:lineRule="exact"/>
        <w:rPr>
          <w:sz w:val="20"/>
          <w:szCs w:val="20"/>
          <w:color w:val="auto"/>
        </w:rPr>
      </w:pPr>
    </w:p>
    <w:p>
      <w:pPr>
        <w:ind w:right="20" w:firstLine="353"/>
        <w:spacing w:after="0" w:line="279" w:lineRule="auto"/>
        <w:rPr>
          <w:sz w:val="20"/>
          <w:szCs w:val="20"/>
          <w:color w:val="auto"/>
        </w:rPr>
      </w:pPr>
      <w:r>
        <w:rPr>
          <w:rFonts w:ascii="Arial" w:cs="Arial" w:eastAsia="Arial" w:hAnsi="Arial"/>
          <w:sz w:val="12"/>
          <w:szCs w:val="12"/>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50" w:lineRule="exact"/>
        <w:rPr>
          <w:sz w:val="20"/>
          <w:szCs w:val="20"/>
          <w:color w:val="auto"/>
        </w:rPr>
      </w:pPr>
    </w:p>
    <w:p>
      <w:pPr>
        <w:ind w:right="40" w:firstLine="353"/>
        <w:spacing w:after="0" w:line="275" w:lineRule="auto"/>
        <w:rPr>
          <w:sz w:val="20"/>
          <w:szCs w:val="20"/>
          <w:color w:val="auto"/>
        </w:rPr>
      </w:pPr>
      <w:r>
        <w:rPr>
          <w:rFonts w:ascii="Arial" w:cs="Arial" w:eastAsia="Arial" w:hAnsi="Arial"/>
          <w:sz w:val="13"/>
          <w:szCs w:val="13"/>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49" w:lineRule="exact"/>
        <w:rPr>
          <w:sz w:val="20"/>
          <w:szCs w:val="20"/>
          <w:color w:val="auto"/>
        </w:rPr>
      </w:pPr>
    </w:p>
    <w:p>
      <w:pPr>
        <w:ind w:right="160" w:firstLine="353"/>
        <w:spacing w:after="0" w:line="275" w:lineRule="auto"/>
        <w:rPr>
          <w:sz w:val="20"/>
          <w:szCs w:val="20"/>
          <w:color w:val="auto"/>
        </w:rPr>
      </w:pPr>
      <w:r>
        <w:rPr>
          <w:rFonts w:ascii="Arial" w:cs="Arial" w:eastAsia="Arial" w:hAnsi="Arial"/>
          <w:sz w:val="13"/>
          <w:szCs w:val="13"/>
          <w:color w:val="auto"/>
        </w:rPr>
        <w:t>We evaluated (i) our relationship as sponsor of the Common Trust Funds (“CTFs”) and managing member of the private equity funds Westwood Hospitality and Westwood Technology Opportunities Fund I, LP (collectively the “Private Funds”), (ii) our advisory relationships with the Westwood Funds®, and (iii) our investments in InvestCloud and Charis discussed in Note 5</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222222"/>
        </w:rPr>
        <w:t xml:space="preserve">“Investments” </w:t>
      </w:r>
      <w:r>
        <w:rPr>
          <w:rFonts w:ascii="Arial" w:cs="Arial" w:eastAsia="Arial" w:hAnsi="Arial"/>
          <w:sz w:val="13"/>
          <w:szCs w:val="13"/>
          <w:color w:val="000000"/>
        </w:rPr>
        <w:t>(“Private Equity”) to determine whether each of these entities is a variable interest entity (“VIE”) or voting ownership entity (“VOE”).</w:t>
      </w:r>
    </w:p>
    <w:p>
      <w:pPr>
        <w:spacing w:after="0" w:line="86" w:lineRule="exact"/>
        <w:rPr>
          <w:sz w:val="20"/>
          <w:szCs w:val="20"/>
          <w:color w:val="auto"/>
        </w:rPr>
      </w:pPr>
    </w:p>
    <w:p>
      <w:pPr>
        <w:ind w:firstLine="353"/>
        <w:spacing w:after="0" w:line="318" w:lineRule="auto"/>
        <w:rPr>
          <w:sz w:val="20"/>
          <w:szCs w:val="20"/>
          <w:color w:val="auto"/>
        </w:rPr>
      </w:pPr>
      <w:r>
        <w:rPr>
          <w:rFonts w:ascii="Arial" w:cs="Arial" w:eastAsia="Arial" w:hAnsi="Arial"/>
          <w:sz w:val="12"/>
          <w:szCs w:val="12"/>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26" w:lineRule="exact"/>
        <w:rPr>
          <w:sz w:val="20"/>
          <w:szCs w:val="20"/>
          <w:color w:val="auto"/>
        </w:rPr>
      </w:pPr>
    </w:p>
    <w:p>
      <w:pPr>
        <w:ind w:right="140" w:firstLine="353"/>
        <w:spacing w:after="0" w:line="263" w:lineRule="auto"/>
        <w:rPr>
          <w:sz w:val="20"/>
          <w:szCs w:val="20"/>
          <w:color w:val="auto"/>
        </w:rPr>
      </w:pPr>
      <w:r>
        <w:rPr>
          <w:rFonts w:ascii="Arial" w:cs="Arial" w:eastAsia="Arial" w:hAnsi="Arial"/>
          <w:sz w:val="13"/>
          <w:szCs w:val="13"/>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w:t>
      </w:r>
    </w:p>
    <w:p>
      <w:pPr>
        <w:spacing w:after="0" w:line="57" w:lineRule="exact"/>
        <w:rPr>
          <w:sz w:val="20"/>
          <w:szCs w:val="20"/>
          <w:color w:val="auto"/>
        </w:rPr>
      </w:pPr>
    </w:p>
    <w:p>
      <w:pPr>
        <w:ind w:right="240" w:firstLine="353"/>
        <w:spacing w:after="0" w:line="275" w:lineRule="auto"/>
        <w:rPr>
          <w:sz w:val="20"/>
          <w:szCs w:val="20"/>
          <w:color w:val="auto"/>
        </w:rPr>
      </w:pPr>
      <w:r>
        <w:rPr>
          <w:rFonts w:ascii="Arial" w:cs="Arial" w:eastAsia="Arial" w:hAnsi="Arial"/>
          <w:sz w:val="13"/>
          <w:szCs w:val="13"/>
          <w:color w:val="auto"/>
        </w:rPr>
        <w:t>Based on our analyses of our investments in these entities for the periods ending December 31, 2021 and 2020, we have not consolidated the CTFs or Private Funds under the VIE method or the Westwood Funds® or Private Equity under the VOE method.</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90" w:lineRule="exact"/>
        <w:rPr>
          <w:sz w:val="20"/>
          <w:szCs w:val="20"/>
          <w:color w:val="auto"/>
        </w:rPr>
      </w:pPr>
    </w:p>
    <w:p>
      <w:pPr>
        <w:ind w:right="360" w:firstLine="353"/>
        <w:spacing w:after="0" w:line="275"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estimates and assumptions that affect the reported amounts of assets and liabilities and the reported amounts of revenues and expenses during the reporting period. Actual results could differ from those estimates.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and Cash Equivalents</w:t>
      </w:r>
    </w:p>
    <w:p>
      <w:pPr>
        <w:spacing w:after="0" w:line="90" w:lineRule="exact"/>
        <w:rPr>
          <w:sz w:val="20"/>
          <w:szCs w:val="20"/>
          <w:color w:val="auto"/>
        </w:rPr>
      </w:pPr>
    </w:p>
    <w:p>
      <w:pPr>
        <w:ind w:firstLine="353"/>
        <w:spacing w:after="0" w:line="263" w:lineRule="auto"/>
        <w:rPr>
          <w:sz w:val="20"/>
          <w:szCs w:val="20"/>
          <w:color w:val="auto"/>
        </w:rPr>
      </w:pPr>
      <w:r>
        <w:rPr>
          <w:rFonts w:ascii="Arial" w:cs="Arial" w:eastAsia="Arial" w:hAnsi="Arial"/>
          <w:sz w:val="13"/>
          <w:szCs w:val="13"/>
          <w:color w:val="auto"/>
        </w:rPr>
        <w:t>Cash and cash equivalents consist of money market accounts and other short-term, highly liquid investments with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Accounts Receivable</w:t>
      </w:r>
    </w:p>
    <w:p>
      <w:pPr>
        <w:spacing w:after="0" w:line="90" w:lineRule="exact"/>
        <w:rPr>
          <w:sz w:val="20"/>
          <w:szCs w:val="20"/>
          <w:color w:val="auto"/>
        </w:rPr>
      </w:pPr>
    </w:p>
    <w:p>
      <w:pPr>
        <w:ind w:right="60" w:firstLine="353"/>
        <w:spacing w:after="0" w:line="259" w:lineRule="auto"/>
        <w:rPr>
          <w:sz w:val="20"/>
          <w:szCs w:val="20"/>
          <w:color w:val="auto"/>
        </w:rPr>
      </w:pPr>
      <w:r>
        <w:rPr>
          <w:rFonts w:ascii="Arial" w:cs="Arial" w:eastAsia="Arial" w:hAnsi="Arial"/>
          <w:sz w:val="13"/>
          <w:szCs w:val="13"/>
          <w:color w:val="auto"/>
        </w:rPr>
        <w:t>Accounts receivable represents balances arising from services provided to customers and are recorded on an accrual basis, net of any allowance for doubtful accounts. Accounts receivable are written off when they are determined to be uncollectible. Any allowance for doubtful accounts is estimated based on the Company’s historical amounts written off, existing conditions in the industry, and the financial stability of the customer. The majority of our accounts receivable balances consist of advisory and trust fees receivable from customers that we believe are, and have experienced to be, fully collectible. Accordingly, our Consolidated Financial Statements include neither an allowance for bad debt, nor bad debt expense.</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Investments</w:t>
      </w:r>
    </w:p>
    <w:p>
      <w:pPr>
        <w:spacing w:after="0" w:line="90" w:lineRule="exact"/>
        <w:rPr>
          <w:sz w:val="20"/>
          <w:szCs w:val="20"/>
          <w:color w:val="auto"/>
        </w:rPr>
      </w:pPr>
    </w:p>
    <w:p>
      <w:pPr>
        <w:ind w:right="340" w:firstLine="353"/>
        <w:spacing w:after="0" w:line="263" w:lineRule="auto"/>
        <w:rPr>
          <w:sz w:val="20"/>
          <w:szCs w:val="20"/>
          <w:color w:val="auto"/>
        </w:rPr>
      </w:pPr>
      <w:r>
        <w:rPr>
          <w:rFonts w:ascii="Arial" w:cs="Arial" w:eastAsia="Arial" w:hAnsi="Arial"/>
          <w:sz w:val="13"/>
          <w:szCs w:val="13"/>
          <w:color w:val="auto"/>
        </w:rPr>
        <w:t>With the exception of our investment in Charis, discussed below under "Fair Value of Financial Instruments", investments that are measured at fair market value are classified as trading securities and are carried at quoted market values on the accompanying Consolidated Balance Sheets. Net unrealized holding gains or losses on investments classified as trading securities are reflected as a component of other revenues. We measure realized gains and losses on investments using the specific identification method.</w:t>
      </w:r>
    </w:p>
    <w:p>
      <w:pPr>
        <w:spacing w:after="0" w:line="57" w:lineRule="exact"/>
        <w:rPr>
          <w:sz w:val="20"/>
          <w:szCs w:val="20"/>
          <w:color w:val="auto"/>
        </w:rPr>
      </w:pPr>
    </w:p>
    <w:p>
      <w:pPr>
        <w:jc w:val="both"/>
        <w:ind w:right="100" w:firstLine="353"/>
        <w:spacing w:after="0" w:line="295" w:lineRule="auto"/>
        <w:rPr>
          <w:sz w:val="20"/>
          <w:szCs w:val="20"/>
          <w:color w:val="auto"/>
        </w:rPr>
      </w:pPr>
      <w:r>
        <w:rPr>
          <w:rFonts w:ascii="Arial" w:cs="Arial" w:eastAsia="Arial" w:hAnsi="Arial"/>
          <w:sz w:val="12"/>
          <w:szCs w:val="12"/>
          <w:color w:val="auto"/>
        </w:rPr>
        <w:t>For an investment without a readily determinable fair value, the Company has elected to apply the measurement alternative of cost minus impairment, if any, plus or minus changes resulting from observable price changes. The Company will reassess whether such an investment qualifies for the measurement alternative at each reporting period. In evaluating an investment for impairment or observable price changes, we will use inputs including recent financing events, as well as other available information regarding the investee's historical and forecasted performance.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90" w:lineRule="exact"/>
        <w:rPr>
          <w:sz w:val="20"/>
          <w:szCs w:val="20"/>
          <w:color w:val="auto"/>
        </w:rPr>
      </w:pPr>
    </w:p>
    <w:p>
      <w:pPr>
        <w:ind w:right="20" w:firstLine="353"/>
        <w:spacing w:after="0" w:line="256" w:lineRule="auto"/>
        <w:rPr>
          <w:sz w:val="20"/>
          <w:szCs w:val="20"/>
          <w:color w:val="auto"/>
        </w:rPr>
      </w:pPr>
      <w:r>
        <w:rPr>
          <w:rFonts w:ascii="Arial" w:cs="Arial" w:eastAsia="Arial" w:hAnsi="Arial"/>
          <w:sz w:val="13"/>
          <w:szCs w:val="13"/>
          <w:color w:val="auto"/>
        </w:rPr>
        <w:t>We determined the estimated fair values of our financial instruments using available information. The fair value amounts discussed in Notes 5 “Investments” and 6 “Fair Value of Financial Instruments” are not necessarily indicative of either the amounts realizable upon disposition of these instruments or of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equity funds, equities and exchange-traded bond funds, equals fair value based on prices quoted in active markets and, with respect to funds, the reported net asset value (“NAV”) of the shares held. Market values of our money market holdings generally do not fluctuate.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Our investment in Westwood Hospitality is measured at fair value using NAV as a practical expedient.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right="80" w:firstLine="353"/>
        <w:spacing w:after="0" w:line="318" w:lineRule="auto"/>
        <w:rPr>
          <w:sz w:val="20"/>
          <w:szCs w:val="20"/>
          <w:color w:val="auto"/>
        </w:rPr>
      </w:pPr>
      <w:r>
        <w:rPr>
          <w:rFonts w:ascii="Arial" w:cs="Arial" w:eastAsia="Arial" w:hAnsi="Arial"/>
          <w:sz w:val="12"/>
          <w:szCs w:val="12"/>
          <w:color w:val="auto"/>
        </w:rPr>
        <w:t>Our investment in Charis is measured at fair value on a recurring basis using a market approach based on a price to tangible book value multiple that is determined to be reasonable in the current environment, or market transactions. Management believes this valuation methodology is consistent with the banking industry and will reevaluate our methodology and inputs on a quarterly basis.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 and Other Intangible Assets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Goodwill represents the excess of the cost of acquired assets over the fair value of the underlying identifiable assets at the date of acquisition. Goodwill is tested at least annually for impairment.</w:t>
      </w:r>
    </w:p>
    <w:p>
      <w:pPr>
        <w:spacing w:after="0" w:line="97" w:lineRule="exact"/>
        <w:rPr>
          <w:sz w:val="20"/>
          <w:szCs w:val="20"/>
          <w:color w:val="auto"/>
        </w:rPr>
      </w:pPr>
    </w:p>
    <w:p>
      <w:pPr>
        <w:ind w:right="40" w:firstLine="353"/>
        <w:spacing w:after="0" w:line="309" w:lineRule="auto"/>
        <w:rPr>
          <w:sz w:val="20"/>
          <w:szCs w:val="20"/>
          <w:color w:val="auto"/>
        </w:rPr>
      </w:pPr>
      <w:r>
        <w:rPr>
          <w:rFonts w:ascii="Arial" w:cs="Arial" w:eastAsia="Arial" w:hAnsi="Arial"/>
          <w:sz w:val="11"/>
          <w:szCs w:val="11"/>
          <w:color w:val="auto"/>
        </w:rPr>
        <w:t>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and recent financial performance of our reporting units. The quantitative analysis requires a comparison of each reporting unit’s carrying value to the fair value of the respective unit. An impairment charge would be recognized for the amount by which the carrying amount exceeds the reporting unit’s fair value; however, the loss recognized should not exceed the total amount of goodwill allocated to that reporting unit. The fair value of each reporting unit is estimated using a market multiple approach and an income approach.</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Following a sustained decline in the Company's market capitalization, we determined in 2020 that the entire goodwill related to our Advisory segment was impaired, and accordingly we recorded charges of</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$3.4 million to "Impairment expense" on the Consolidated Statements of Comprehensive Income (Loss). As part of our evaluation, we determined the fair value of each of our reporting units using a weighted average</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approach of the market and income approaches. As part of the 2020 Advisory reporting unit assessment, we determined that an increase in the discount rate (from the prior assessment) applied in the valuation was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required to align with market-based assumptions. The higher discount rate, in conjunction with revised long-term projections, resulted in a lower fair value of the Advisory segment. There was no goodwill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impairment in the Advisory segment during the years ended December 31, 2021 or 2019.</w:t>
      </w:r>
    </w:p>
    <w:p>
      <w:pPr>
        <w:spacing w:after="0" w:line="78" w:lineRule="exact"/>
        <w:rPr>
          <w:sz w:val="20"/>
          <w:szCs w:val="20"/>
          <w:color w:val="auto"/>
        </w:rPr>
      </w:pPr>
    </w:p>
    <w:p>
      <w:pPr>
        <w:ind w:right="160" w:firstLine="353"/>
        <w:spacing w:after="0" w:line="275" w:lineRule="auto"/>
        <w:rPr>
          <w:sz w:val="20"/>
          <w:szCs w:val="20"/>
          <w:color w:val="auto"/>
        </w:rPr>
      </w:pPr>
      <w:r>
        <w:rPr>
          <w:rFonts w:ascii="Arial" w:cs="Arial" w:eastAsia="Arial" w:hAnsi="Arial"/>
          <w:sz w:val="13"/>
          <w:szCs w:val="13"/>
          <w:color w:val="auto"/>
        </w:rPr>
        <w:t>We completed our most recent annual goodwill impairment assessment during the third quarter of 2021, and determined that no goodwill impairment related to the Trust segment was required. There was no goodwill impairment in the Trust segment during the years ended December 31, 2021, 2020 or 2019.</w:t>
      </w:r>
    </w:p>
    <w:p>
      <w:pPr>
        <w:spacing w:after="0" w:line="49" w:lineRule="exact"/>
        <w:rPr>
          <w:sz w:val="20"/>
          <w:szCs w:val="20"/>
          <w:color w:val="auto"/>
        </w:rPr>
      </w:pPr>
    </w:p>
    <w:p>
      <w:pPr>
        <w:ind w:right="200" w:firstLine="353"/>
        <w:spacing w:after="0" w:line="263" w:lineRule="auto"/>
        <w:rPr>
          <w:sz w:val="20"/>
          <w:szCs w:val="20"/>
          <w:color w:val="auto"/>
        </w:rPr>
      </w:pPr>
      <w:r>
        <w:rPr>
          <w:rFonts w:ascii="Arial" w:cs="Arial" w:eastAsia="Arial" w:hAnsi="Arial"/>
          <w:sz w:val="13"/>
          <w:szCs w:val="13"/>
          <w:color w:val="auto"/>
        </w:rPr>
        <w:t>Our intangible assets represent the acquisition date fair value of the acquired client relationships, trade names and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10 “Goodwill and Other Intangible Assets.”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and Equipment</w:t>
      </w:r>
    </w:p>
    <w:p>
      <w:pPr>
        <w:spacing w:after="0" w:line="90" w:lineRule="exact"/>
        <w:rPr>
          <w:sz w:val="20"/>
          <w:szCs w:val="20"/>
          <w:color w:val="auto"/>
        </w:rPr>
      </w:pPr>
    </w:p>
    <w:p>
      <w:pPr>
        <w:jc w:val="both"/>
        <w:ind w:right="140" w:firstLine="353"/>
        <w:spacing w:after="0" w:line="263" w:lineRule="auto"/>
        <w:rPr>
          <w:sz w:val="20"/>
          <w:szCs w:val="20"/>
          <w:color w:val="auto"/>
        </w:rPr>
      </w:pPr>
      <w:r>
        <w:rPr>
          <w:rFonts w:ascii="Arial" w:cs="Arial" w:eastAsia="Arial" w:hAnsi="Arial"/>
          <w:sz w:val="13"/>
          <w:szCs w:val="13"/>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 improvements, furniture and fixtures, computer hardware and most office equipment purchases.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90" w:lineRule="exact"/>
        <w:rPr>
          <w:sz w:val="20"/>
          <w:szCs w:val="20"/>
          <w:color w:val="auto"/>
        </w:rPr>
      </w:pPr>
    </w:p>
    <w:p>
      <w:pPr>
        <w:ind w:right="60" w:firstLine="353"/>
        <w:spacing w:after="0" w:line="257" w:lineRule="auto"/>
        <w:rPr>
          <w:sz w:val="20"/>
          <w:szCs w:val="20"/>
          <w:color w:val="auto"/>
        </w:rPr>
      </w:pPr>
      <w:r>
        <w:rPr>
          <w:rFonts w:ascii="Arial" w:cs="Arial" w:eastAsia="Arial" w:hAnsi="Arial"/>
          <w:sz w:val="13"/>
          <w:szCs w:val="13"/>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Our revenues from a contract asset related to wealth management software, and its implementation, are recognized over time, and all other revenues are recognized at a point in time. We derive our revenues from investment advisory fees, trust fees and other sources of revenues. Advisory and Trust fees are calculated based on a percentage of AUM and the performance obligation is realized over the then-current calendar quarter. Once clients receive our investment advisory services we have an enforceable right to payment.</w:t>
      </w:r>
    </w:p>
    <w:p>
      <w:pPr>
        <w:spacing w:after="0" w:line="62" w:lineRule="exact"/>
        <w:rPr>
          <w:sz w:val="20"/>
          <w:szCs w:val="20"/>
          <w:color w:val="auto"/>
        </w:rPr>
      </w:pPr>
    </w:p>
    <w:p>
      <w:pPr>
        <w:ind w:right="20" w:firstLine="353"/>
        <w:spacing w:after="0" w:line="263" w:lineRule="auto"/>
        <w:rPr>
          <w:sz w:val="20"/>
          <w:szCs w:val="20"/>
          <w:color w:val="auto"/>
        </w:rPr>
      </w:pPr>
      <w:r>
        <w:rPr>
          <w:rFonts w:ascii="Arial" w:cs="Arial" w:eastAsia="Arial" w:hAnsi="Arial"/>
          <w:sz w:val="13"/>
          <w:szCs w:val="13"/>
          <w:color w:val="auto"/>
        </w:rPr>
        <w:t>Incremental costs to obtain a contract are eligible to be capitalized if the costs are expected to be recovered over the service period. We incur certain incremental costs in obtaining new business and continually evaluate whether costs should be capitalized and amortized over the expected period of benefit of the asset. Certain costs used to fulfill a contract such as the distribution services utilized to sell our Westwood Funds® are expensed as incurred. We recognize the incremental costs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obtaining a contract as an expense when incurred if the amortization period of the asset that the entity otherwise would have recognized is one year or less.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90" w:lineRule="exact"/>
        <w:rPr>
          <w:sz w:val="20"/>
          <w:szCs w:val="20"/>
          <w:color w:val="auto"/>
        </w:rPr>
      </w:pPr>
    </w:p>
    <w:p>
      <w:pPr>
        <w:ind w:right="100" w:firstLine="353"/>
        <w:spacing w:after="0" w:line="263" w:lineRule="auto"/>
        <w:rPr>
          <w:sz w:val="20"/>
          <w:szCs w:val="20"/>
          <w:color w:val="auto"/>
        </w:rPr>
      </w:pPr>
      <w:r>
        <w:rPr>
          <w:rFonts w:ascii="Arial" w:cs="Arial" w:eastAsia="Arial" w:hAnsi="Arial"/>
          <w:sz w:val="13"/>
          <w:szCs w:val="13"/>
          <w:color w:val="auto"/>
        </w:rPr>
        <w:t xml:space="preserve">We have issued restricted stock to certain U.S. employees and Board of Directors in accordance with our Eighth Amended and Restated Westwood Holdings Group, Inc. Stock Incentive Plan (the “Plan”). We account for stock-based compensation in accordance with 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and adopted Accounting Standards Update (“ASU”) 2016-09,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Improvements to Employee Share-Based Payment Accounting </w:t>
      </w:r>
      <w:r>
        <w:rPr>
          <w:rFonts w:ascii="Arial" w:cs="Arial" w:eastAsia="Arial" w:hAnsi="Arial"/>
          <w:sz w:val="13"/>
          <w:szCs w:val="13"/>
          <w:color w:val="auto"/>
        </w:rPr>
        <w:t>effective January 1, 2017.</w:t>
      </w:r>
    </w:p>
    <w:p>
      <w:pPr>
        <w:spacing w:after="0" w:line="57" w:lineRule="exact"/>
        <w:rPr>
          <w:sz w:val="20"/>
          <w:szCs w:val="20"/>
          <w:color w:val="auto"/>
        </w:rPr>
      </w:pPr>
    </w:p>
    <w:p>
      <w:pPr>
        <w:ind w:right="20" w:firstLine="353"/>
        <w:spacing w:after="0" w:line="284" w:lineRule="auto"/>
        <w:rPr>
          <w:sz w:val="20"/>
          <w:szCs w:val="20"/>
          <w:color w:val="auto"/>
        </w:rPr>
      </w:pPr>
      <w:r>
        <w:rPr>
          <w:rFonts w:ascii="Arial" w:cs="Arial" w:eastAsia="Arial" w:hAnsi="Arial"/>
          <w:sz w:val="12"/>
          <w:szCs w:val="12"/>
          <w:color w:val="auto"/>
        </w:rPr>
        <w:t>Under ASC 718, 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w:t>
      </w:r>
    </w:p>
    <w:p>
      <w:pPr>
        <w:spacing w:after="0" w:line="46" w:lineRule="exact"/>
        <w:rPr>
          <w:sz w:val="20"/>
          <w:szCs w:val="20"/>
          <w:color w:val="auto"/>
        </w:rPr>
      </w:pPr>
    </w:p>
    <w:p>
      <w:pPr>
        <w:ind w:firstLine="353"/>
        <w:spacing w:after="0" w:line="255" w:lineRule="auto"/>
        <w:rPr>
          <w:sz w:val="20"/>
          <w:szCs w:val="20"/>
          <w:color w:val="auto"/>
        </w:rPr>
      </w:pPr>
      <w:r>
        <w:rPr>
          <w:rFonts w:ascii="Arial" w:cs="Arial" w:eastAsia="Arial" w:hAnsi="Arial"/>
          <w:sz w:val="13"/>
          <w:szCs w:val="13"/>
          <w:color w:val="auto"/>
        </w:rPr>
        <w:t>The Share Award Plan of Westwood Holdings Group, Inc. for Service Provided in Canada to its Subsidiaries (the “Canadian Plan”) provided compensation in the form of common stock for services performed by employees of Westwood International Advisors, prior to its 2020 closure. We recorded compensation costs for these awards on a straight-line basis over the vesting period once we determined it was probable that the award would be earned. Awards expected to be settled in shares were funded into a trust pursuant to an established Canadian employee benefit plan. Generally, the Canadian trust subsequently acquired Westwood common shares in market transactions and held such shares until the shares were vested and distributed, or forfeited. Shares held in the trust were shown on our Consolidated Balance Sheet as treasury shares. Until shares were acquired by the trust, we recorded compensation costs and measured the liability as a cash-based award, which was included in “Compensation and benefits payable” on our Consolidated Balance Sheets. For the year ended December 31, 2021, there was no compensation expense recorded for these awards. For the years ended December 31, 2020 and 2019, the compensation expense recorded for these awards was $0.2 million and $0.1 million, respectively. When the number of shares related to an award was determinable, the award became an equity award accounted for in a manner similar to restricted stock, which is described in Note 7 “Employee Benefits.”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Currency Translation and Re-measurement</w:t>
      </w:r>
    </w:p>
    <w:p>
      <w:pPr>
        <w:spacing w:after="0" w:line="90" w:lineRule="exact"/>
        <w:rPr>
          <w:sz w:val="20"/>
          <w:szCs w:val="20"/>
          <w:color w:val="auto"/>
        </w:rPr>
      </w:pPr>
    </w:p>
    <w:p>
      <w:pPr>
        <w:ind w:right="240" w:firstLine="353"/>
        <w:spacing w:after="0" w:line="275" w:lineRule="auto"/>
        <w:rPr>
          <w:sz w:val="20"/>
          <w:szCs w:val="20"/>
          <w:color w:val="auto"/>
        </w:rPr>
      </w:pPr>
      <w:r>
        <w:rPr>
          <w:rFonts w:ascii="Arial" w:cs="Arial" w:eastAsia="Arial" w:hAnsi="Arial"/>
          <w:sz w:val="13"/>
          <w:szCs w:val="13"/>
          <w:color w:val="auto"/>
        </w:rPr>
        <w:t>Assets and liabilities of Westwood International Advisors, our non-U.S. dollar functional currency subsidiary, are translated at exchange rates as of applicable reporting dates. The gains and losses resulting from translating non-U.S. dollar functional currency into U.S. dollars are recorded through other comprehensive income (loss).</w:t>
      </w:r>
    </w:p>
    <w:p>
      <w:pPr>
        <w:spacing w:after="0" w:line="49" w:lineRule="exact"/>
        <w:rPr>
          <w:sz w:val="20"/>
          <w:szCs w:val="20"/>
          <w:color w:val="auto"/>
        </w:rPr>
      </w:pPr>
    </w:p>
    <w:p>
      <w:pPr>
        <w:ind w:right="80" w:firstLine="353"/>
        <w:spacing w:after="0" w:line="275" w:lineRule="auto"/>
        <w:rPr>
          <w:sz w:val="20"/>
          <w:szCs w:val="20"/>
          <w:color w:val="auto"/>
        </w:rPr>
      </w:pPr>
      <w:r>
        <w:rPr>
          <w:rFonts w:ascii="Arial" w:cs="Arial" w:eastAsia="Arial" w:hAnsi="Arial"/>
          <w:sz w:val="13"/>
          <w:szCs w:val="13"/>
          <w:color w:val="auto"/>
        </w:rPr>
        <w:t>Following the closure and liquidation of Westwood International Advisors, we reclassified foreign currency translation adjustments of $4.2 million from accumulated other comprehensive income (loss) to net income (loss) in the year ended December 31, 2020.</w:t>
      </w:r>
    </w:p>
    <w:p>
      <w:pPr>
        <w:spacing w:after="0" w:line="49" w:lineRule="exact"/>
        <w:rPr>
          <w:sz w:val="20"/>
          <w:szCs w:val="20"/>
          <w:color w:val="auto"/>
        </w:rPr>
      </w:pPr>
    </w:p>
    <w:p>
      <w:pPr>
        <w:ind w:right="20" w:firstLine="353"/>
        <w:spacing w:after="0" w:line="263" w:lineRule="auto"/>
        <w:rPr>
          <w:sz w:val="20"/>
          <w:szCs w:val="20"/>
          <w:color w:val="auto"/>
        </w:rPr>
      </w:pPr>
      <w:r>
        <w:rPr>
          <w:rFonts w:ascii="Arial" w:cs="Arial" w:eastAsia="Arial" w:hAnsi="Arial"/>
          <w:sz w:val="13"/>
          <w:szCs w:val="13"/>
          <w:color w:val="auto"/>
        </w:rPr>
        <w:t>Revenue and expense transactions are recorded at the rates of exchange prevailing on the dates of the transactions. Gains and losses resulting from transactions in foreign currencies are included in “(Gain) loss on foreign currency transactions” in our Consolidated Statements of Comprehensive Income (Loss). For the year ended December 31, 2020, we recorded a gain of $1.2 million and for the year ended December 31, 2019, we recorded a loss of $1.9 million.</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90" w:lineRule="exact"/>
        <w:rPr>
          <w:sz w:val="20"/>
          <w:szCs w:val="20"/>
          <w:color w:val="auto"/>
        </w:rPr>
      </w:pPr>
    </w:p>
    <w:p>
      <w:pPr>
        <w:ind w:right="20" w:firstLine="353"/>
        <w:spacing w:after="0" w:line="318" w:lineRule="auto"/>
        <w:rPr>
          <w:sz w:val="20"/>
          <w:szCs w:val="20"/>
          <w:color w:val="auto"/>
        </w:rPr>
      </w:pPr>
      <w:r>
        <w:rPr>
          <w:rFonts w:ascii="Arial" w:cs="Arial" w:eastAsia="Arial" w:hAnsi="Arial"/>
          <w:sz w:val="12"/>
          <w:szCs w:val="12"/>
          <w:color w:val="auto"/>
        </w:rPr>
        <w:t>We file a U. S. federal income tax return as a consolidated group for Westwood and its U.S.-based subsidiaries. We file a Canadian income tax return for Westwood International Advisors. Deferred income tax assets and liabilities are determined based on temporary differences between the financial statements and income tax bases of assets and liabilities as measured at enacted income tax rates.</w:t>
      </w:r>
    </w:p>
    <w:p>
      <w:pPr>
        <w:spacing w:after="0" w:line="26" w:lineRule="exact"/>
        <w:rPr>
          <w:sz w:val="20"/>
          <w:szCs w:val="20"/>
          <w:color w:val="auto"/>
        </w:rPr>
      </w:pPr>
    </w:p>
    <w:p>
      <w:pPr>
        <w:ind w:right="20" w:firstLine="353"/>
        <w:spacing w:after="0" w:line="288" w:lineRule="auto"/>
        <w:rPr>
          <w:sz w:val="20"/>
          <w:szCs w:val="20"/>
          <w:color w:val="auto"/>
        </w:rPr>
      </w:pPr>
      <w:r>
        <w:rPr>
          <w:rFonts w:ascii="Arial" w:cs="Arial" w:eastAsia="Arial" w:hAnsi="Arial"/>
          <w:sz w:val="12"/>
          <w:szCs w:val="12"/>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3" w:name="page54"/>
    <w:bookmarkEnd w:id="53"/>
    <w:p>
      <w:pPr>
        <w:jc w:val="center"/>
        <w:ind w:right="-1"/>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jc w:val="both"/>
        <w:ind w:left="2" w:right="420" w:firstLine="353"/>
        <w:spacing w:after="0" w:line="263" w:lineRule="auto"/>
        <w:rPr>
          <w:sz w:val="20"/>
          <w:szCs w:val="20"/>
          <w:color w:val="auto"/>
        </w:rPr>
      </w:pPr>
      <w:r>
        <w:rPr>
          <w:rFonts w:ascii="Arial" w:cs="Arial" w:eastAsia="Arial" w:hAnsi="Arial"/>
          <w:sz w:val="13"/>
          <w:szCs w:val="13"/>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Comprehensive Income (Loss). See Note 8 “Income Taxes.”</w:t>
      </w:r>
    </w:p>
    <w:p>
      <w:pPr>
        <w:spacing w:after="0" w:line="5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Recent Accounting Pronouncements</w:t>
      </w:r>
    </w:p>
    <w:p>
      <w:pPr>
        <w:spacing w:after="0" w:line="90"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Recently Adopted</w:t>
      </w:r>
    </w:p>
    <w:p>
      <w:pPr>
        <w:spacing w:after="0" w:line="86" w:lineRule="exact"/>
        <w:rPr>
          <w:sz w:val="20"/>
          <w:szCs w:val="20"/>
          <w:color w:val="auto"/>
        </w:rPr>
      </w:pPr>
    </w:p>
    <w:p>
      <w:pPr>
        <w:ind w:left="2" w:right="140" w:firstLine="353"/>
        <w:spacing w:after="0" w:line="263" w:lineRule="auto"/>
        <w:rPr>
          <w:sz w:val="20"/>
          <w:szCs w:val="20"/>
          <w:color w:val="auto"/>
        </w:rPr>
      </w:pPr>
      <w:r>
        <w:rPr>
          <w:rFonts w:ascii="Arial" w:cs="Arial" w:eastAsia="Arial" w:hAnsi="Arial"/>
          <w:sz w:val="13"/>
          <w:szCs w:val="13"/>
          <w:color w:val="auto"/>
        </w:rPr>
        <w:t xml:space="preserve">In December 2019, the FASB issued ASU No. 2019-12, </w:t>
      </w:r>
      <w:r>
        <w:rPr>
          <w:rFonts w:ascii="Arial" w:cs="Arial" w:eastAsia="Arial" w:hAnsi="Arial"/>
          <w:sz w:val="13"/>
          <w:szCs w:val="13"/>
          <w:i w:val="1"/>
          <w:iCs w:val="1"/>
          <w:color w:val="auto"/>
        </w:rPr>
        <w:t>Simplifying the Accounting for Income Taxes</w:t>
      </w:r>
      <w:r>
        <w:rPr>
          <w:rFonts w:ascii="Arial" w:cs="Arial" w:eastAsia="Arial" w:hAnsi="Arial"/>
          <w:sz w:val="13"/>
          <w:szCs w:val="13"/>
          <w:color w:val="auto"/>
        </w:rPr>
        <w:t>, which is intended to simplify various aspects of the income tax accounting guidance, including interim-period accounting for enacted changes in tax law. ASU 2019-12 is effective for public business entities for fiscal years beginning after December 15, 2020, including interim periods within those fiscal years, and early adoption is permitted. We adopted this ASU as of January 1, 2021, and it did not have a material impact on our Consolidated Financial Statements.</w:t>
      </w:r>
    </w:p>
    <w:p>
      <w:pPr>
        <w:spacing w:after="0" w:line="53" w:lineRule="exact"/>
        <w:rPr>
          <w:sz w:val="20"/>
          <w:szCs w:val="20"/>
          <w:color w:val="auto"/>
        </w:rPr>
      </w:pPr>
    </w:p>
    <w:p>
      <w:pPr>
        <w:ind w:left="2" w:right="9980" w:hanging="2"/>
        <w:spacing w:after="0" w:line="412" w:lineRule="auto"/>
        <w:tabs>
          <w:tab w:leader="none" w:pos="132"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REVENUE Advisory Fee Revenues</w:t>
      </w:r>
    </w:p>
    <w:p>
      <w:pPr>
        <w:spacing w:after="0" w:line="1" w:lineRule="exact"/>
        <w:rPr>
          <w:sz w:val="20"/>
          <w:szCs w:val="20"/>
          <w:color w:val="auto"/>
        </w:rPr>
      </w:pPr>
    </w:p>
    <w:p>
      <w:pPr>
        <w:ind w:left="2" w:right="60" w:firstLine="353"/>
        <w:spacing w:after="0" w:line="284" w:lineRule="auto"/>
        <w:rPr>
          <w:sz w:val="20"/>
          <w:szCs w:val="20"/>
          <w:color w:val="auto"/>
        </w:rPr>
      </w:pPr>
      <w:r>
        <w:rPr>
          <w:rFonts w:ascii="Arial" w:cs="Arial" w:eastAsia="Arial" w:hAnsi="Arial"/>
          <w:sz w:val="12"/>
          <w:szCs w:val="12"/>
          <w:color w:val="auto"/>
        </w:rPr>
        <w:t>Our advisory fees are generated by Westwood Management and Westwood International Advisors (prior to its closure, effective September 30, 2020), for managing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and mutual fund accounts.</w:t>
      </w:r>
    </w:p>
    <w:p>
      <w:pPr>
        <w:spacing w:after="0" w:line="46" w:lineRule="exact"/>
        <w:rPr>
          <w:sz w:val="20"/>
          <w:szCs w:val="20"/>
          <w:color w:val="auto"/>
        </w:rPr>
      </w:pPr>
    </w:p>
    <w:p>
      <w:pPr>
        <w:ind w:left="2" w:right="280" w:firstLine="353"/>
        <w:spacing w:after="0" w:line="259" w:lineRule="auto"/>
        <w:rPr>
          <w:sz w:val="20"/>
          <w:szCs w:val="20"/>
          <w:color w:val="auto"/>
        </w:rPr>
      </w:pPr>
      <w:r>
        <w:rPr>
          <w:rFonts w:ascii="Arial" w:cs="Arial" w:eastAsia="Arial" w:hAnsi="Arial"/>
          <w:sz w:val="13"/>
          <w:szCs w:val="13"/>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60" w:lineRule="exact"/>
        <w:rPr>
          <w:sz w:val="20"/>
          <w:szCs w:val="20"/>
          <w:color w:val="auto"/>
        </w:rPr>
      </w:pPr>
    </w:p>
    <w:p>
      <w:pPr>
        <w:ind w:left="2" w:right="180" w:firstLine="353"/>
        <w:spacing w:after="0" w:line="275" w:lineRule="auto"/>
        <w:rPr>
          <w:sz w:val="20"/>
          <w:szCs w:val="20"/>
          <w:color w:val="auto"/>
        </w:rPr>
      </w:pPr>
      <w:r>
        <w:rPr>
          <w:rFonts w:ascii="Arial" w:cs="Arial" w:eastAsia="Arial" w:hAnsi="Arial"/>
          <w:sz w:val="13"/>
          <w:szCs w:val="13"/>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45"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Arrangements with Performance-Based Obligations</w:t>
      </w:r>
    </w:p>
    <w:p>
      <w:pPr>
        <w:spacing w:after="0" w:line="90" w:lineRule="exact"/>
        <w:rPr>
          <w:sz w:val="20"/>
          <w:szCs w:val="20"/>
          <w:color w:val="auto"/>
        </w:rPr>
      </w:pPr>
    </w:p>
    <w:p>
      <w:pPr>
        <w:ind w:left="2" w:right="100" w:firstLine="353"/>
        <w:spacing w:after="0" w:line="275" w:lineRule="auto"/>
        <w:rPr>
          <w:sz w:val="20"/>
          <w:szCs w:val="20"/>
          <w:color w:val="auto"/>
        </w:rPr>
      </w:pPr>
      <w:r>
        <w:rPr>
          <w:rFonts w:ascii="Arial" w:cs="Arial" w:eastAsia="Arial" w:hAnsi="Arial"/>
          <w:sz w:val="13"/>
          <w:szCs w:val="13"/>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49" w:lineRule="exact"/>
        <w:rPr>
          <w:sz w:val="20"/>
          <w:szCs w:val="20"/>
          <w:color w:val="auto"/>
        </w:rPr>
      </w:pPr>
    </w:p>
    <w:p>
      <w:pPr>
        <w:ind w:left="2" w:right="160" w:firstLine="353"/>
        <w:spacing w:after="0" w:line="275" w:lineRule="auto"/>
        <w:rPr>
          <w:sz w:val="20"/>
          <w:szCs w:val="20"/>
          <w:color w:val="auto"/>
        </w:rPr>
      </w:pPr>
      <w:r>
        <w:rPr>
          <w:rFonts w:ascii="Arial" w:cs="Arial" w:eastAsia="Arial" w:hAnsi="Arial"/>
          <w:sz w:val="13"/>
          <w:szCs w:val="13"/>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45"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Trust Fee Revenues</w:t>
      </w:r>
    </w:p>
    <w:p>
      <w:pPr>
        <w:spacing w:after="0" w:line="90" w:lineRule="exact"/>
        <w:rPr>
          <w:sz w:val="20"/>
          <w:szCs w:val="20"/>
          <w:color w:val="auto"/>
        </w:rPr>
      </w:pPr>
    </w:p>
    <w:p>
      <w:pPr>
        <w:ind w:left="2" w:firstLine="353"/>
        <w:spacing w:after="0" w:line="259" w:lineRule="auto"/>
        <w:rPr>
          <w:sz w:val="20"/>
          <w:szCs w:val="20"/>
          <w:color w:val="auto"/>
        </w:rPr>
      </w:pPr>
      <w:r>
        <w:rPr>
          <w:rFonts w:ascii="Arial" w:cs="Arial" w:eastAsia="Arial" w:hAnsi="Arial"/>
          <w:sz w:val="13"/>
          <w:szCs w:val="13"/>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Consolidated Financial Statements contain no deferred advisory fee revenues.</w:t>
      </w:r>
    </w:p>
    <w:p>
      <w:pPr>
        <w:spacing w:after="0" w:line="5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Other Revenues</w:t>
      </w:r>
    </w:p>
    <w:p>
      <w:pPr>
        <w:spacing w:after="0" w:line="90" w:lineRule="exact"/>
        <w:rPr>
          <w:sz w:val="20"/>
          <w:szCs w:val="20"/>
          <w:color w:val="auto"/>
        </w:rPr>
      </w:pPr>
    </w:p>
    <w:p>
      <w:pPr>
        <w:ind w:left="2" w:right="60" w:firstLine="353"/>
        <w:spacing w:after="0" w:line="275" w:lineRule="auto"/>
        <w:rPr>
          <w:sz w:val="20"/>
          <w:szCs w:val="20"/>
          <w:color w:val="auto"/>
        </w:rPr>
      </w:pPr>
      <w:r>
        <w:rPr>
          <w:rFonts w:ascii="Arial" w:cs="Arial" w:eastAsia="Arial" w:hAnsi="Arial"/>
          <w:sz w:val="13"/>
          <w:szCs w:val="13"/>
          <w:color w:val="auto"/>
        </w:rPr>
        <w:t>Following the execution of a $2.6 million contract with a service provider, we recognized contract revenue of $0.4 million for the year ended December 31, 2020, which was recognized over time for financial reporting purposes. We estimate contract revenue based upon the expected value method, which requires significant judgment regarding probabilities of</w:t>
      </w:r>
    </w:p>
    <w:p>
      <w:pPr>
        <w:spacing w:after="0" w:line="37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right="440"/>
        <w:spacing w:after="0" w:line="275" w:lineRule="auto"/>
        <w:rPr>
          <w:sz w:val="20"/>
          <w:szCs w:val="20"/>
          <w:color w:val="auto"/>
        </w:rPr>
      </w:pPr>
      <w:r>
        <w:rPr>
          <w:rFonts w:ascii="Arial" w:cs="Arial" w:eastAsia="Arial" w:hAnsi="Arial"/>
          <w:sz w:val="13"/>
          <w:szCs w:val="13"/>
          <w:color w:val="auto"/>
        </w:rPr>
        <w:t>consideration amounts, variable considerations and constraints. We did not recognize any contract revenue for the years ended December 31, 2021 or 2019. In 2021 we collected $0.3 million of the previously recognized contract revenues.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Disaggregated</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Sales taxes are excluded from revenues. The following table presents our revenue disaggregated by account type (in thousands). In 2021, we recast certain prior year revenues related to performance fees.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w w:val="88"/>
              </w:rPr>
              <w:t>Year Ended December 31,</w:t>
            </w: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47"/>
        </w:trPr>
        <w:tc>
          <w:tcPr>
            <w:tcW w:w="66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b w:val="1"/>
                <w:bCs w:val="1"/>
                <w:color w:val="auto"/>
              </w:rPr>
              <w:t>2019</w:t>
            </w:r>
          </w:p>
        </w:tc>
      </w:tr>
      <w:tr>
        <w:trPr>
          <w:trHeight w:val="149"/>
        </w:trPr>
        <w:tc>
          <w:tcPr>
            <w:tcW w:w="662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Advisory Fees:</w:t>
            </w: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66"/>
        </w:trPr>
        <w:tc>
          <w:tcPr>
            <w:tcW w:w="6620" w:type="dxa"/>
            <w:vAlign w:val="bottom"/>
          </w:tcPr>
          <w:p>
            <w:pPr>
              <w:ind w:left="600"/>
              <w:spacing w:after="0"/>
              <w:rPr>
                <w:sz w:val="20"/>
                <w:szCs w:val="20"/>
                <w:color w:val="auto"/>
              </w:rPr>
            </w:pPr>
            <w:r>
              <w:rPr>
                <w:rFonts w:ascii="Arial" w:cs="Arial" w:eastAsia="Arial" w:hAnsi="Arial"/>
                <w:sz w:val="13"/>
                <w:szCs w:val="13"/>
                <w:color w:val="auto"/>
              </w:rPr>
              <w:t>Institutional</w:t>
            </w:r>
          </w:p>
        </w:tc>
        <w:tc>
          <w:tcPr>
            <w:tcW w:w="1060" w:type="dxa"/>
            <w:vAlign w:val="bottom"/>
          </w:tcPr>
          <w:p>
            <w:pPr>
              <w:jc w:val="right"/>
              <w:ind w:right="579"/>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31,069</w:t>
            </w:r>
          </w:p>
        </w:tc>
        <w:tc>
          <w:tcPr>
            <w:tcW w:w="100" w:type="dxa"/>
            <w:vAlign w:val="bottom"/>
          </w:tcPr>
          <w:p>
            <w:pPr>
              <w:spacing w:after="0"/>
              <w:rPr>
                <w:sz w:val="14"/>
                <w:szCs w:val="14"/>
                <w:color w:val="auto"/>
              </w:rPr>
            </w:pPr>
          </w:p>
        </w:tc>
        <w:tc>
          <w:tcPr>
            <w:tcW w:w="6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28,878</w:t>
            </w:r>
          </w:p>
        </w:tc>
        <w:tc>
          <w:tcPr>
            <w:tcW w:w="100" w:type="dxa"/>
            <w:vAlign w:val="bottom"/>
          </w:tcPr>
          <w:p>
            <w:pPr>
              <w:spacing w:after="0"/>
              <w:rPr>
                <w:sz w:val="14"/>
                <w:szCs w:val="14"/>
                <w:color w:val="auto"/>
              </w:rPr>
            </w:pPr>
          </w:p>
        </w:tc>
        <w:tc>
          <w:tcPr>
            <w:tcW w:w="60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38,053</w:t>
            </w:r>
          </w:p>
        </w:tc>
      </w:tr>
      <w:tr>
        <w:trPr>
          <w:trHeight w:val="167"/>
        </w:trPr>
        <w:tc>
          <w:tcPr>
            <w:tcW w:w="66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Mutual Funds</w:t>
            </w: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17,507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19,288</w:t>
            </w:r>
          </w:p>
        </w:tc>
      </w:tr>
      <w:tr>
        <w:trPr>
          <w:trHeight w:val="166"/>
        </w:trPr>
        <w:tc>
          <w:tcPr>
            <w:tcW w:w="6620" w:type="dxa"/>
            <w:vAlign w:val="bottom"/>
          </w:tcPr>
          <w:p>
            <w:pPr>
              <w:ind w:left="600"/>
              <w:spacing w:after="0"/>
              <w:rPr>
                <w:sz w:val="20"/>
                <w:szCs w:val="20"/>
                <w:color w:val="auto"/>
              </w:rPr>
            </w:pPr>
            <w:r>
              <w:rPr>
                <w:rFonts w:ascii="Arial" w:cs="Arial" w:eastAsia="Arial" w:hAnsi="Arial"/>
                <w:sz w:val="13"/>
                <w:szCs w:val="13"/>
                <w:color w:val="auto"/>
              </w:rPr>
              <w:t>Wealth Management</w:t>
            </w:r>
          </w:p>
        </w:tc>
        <w:tc>
          <w:tcPr>
            <w:tcW w:w="1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686</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470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456</w:t>
            </w:r>
          </w:p>
        </w:tc>
      </w:tr>
      <w:tr>
        <w:trPr>
          <w:trHeight w:val="167"/>
        </w:trPr>
        <w:tc>
          <w:tcPr>
            <w:tcW w:w="6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Trust Fees</w:t>
            </w: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24,131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23,929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25,483</w:t>
            </w:r>
          </w:p>
        </w:tc>
      </w:tr>
      <w:tr>
        <w:trPr>
          <w:trHeight w:val="166"/>
        </w:trPr>
        <w:tc>
          <w:tcPr>
            <w:tcW w:w="66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799</w:t>
            </w:r>
          </w:p>
        </w:tc>
      </w:tr>
      <w:tr>
        <w:trPr>
          <w:trHeight w:val="166"/>
        </w:trPr>
        <w:tc>
          <w:tcPr>
            <w:tcW w:w="6620" w:type="dxa"/>
            <w:vAlign w:val="bottom"/>
            <w:tcBorders>
              <w:bottom w:val="single" w:sz="8" w:color="CCEEFF"/>
            </w:tcBorders>
            <w:shd w:val="clear" w:color="auto" w:fill="CCEEFF"/>
          </w:tcPr>
          <w:p>
            <w:pPr>
              <w:ind w:left="600"/>
              <w:spacing w:after="0" w:line="148" w:lineRule="exact"/>
              <w:rPr>
                <w:sz w:val="20"/>
                <w:szCs w:val="20"/>
                <w:color w:val="auto"/>
              </w:rPr>
            </w:pPr>
            <w:r>
              <w:rPr>
                <w:rFonts w:ascii="Arial" w:cs="Arial" w:eastAsia="Arial" w:hAnsi="Arial"/>
                <w:sz w:val="13"/>
                <w:szCs w:val="13"/>
                <w:color w:val="auto"/>
              </w:rPr>
              <w:t>Total revenues</w:t>
            </w:r>
          </w:p>
        </w:tc>
        <w:tc>
          <w:tcPr>
            <w:tcW w:w="10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73,054</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65,111</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84,079</w:t>
            </w:r>
          </w:p>
        </w:tc>
      </w:tr>
    </w:tbl>
    <w:p>
      <w:pPr>
        <w:spacing w:after="0" w:line="23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have clients in various locations around the world. The following table presents our revenue disaggregated by our clients' geographical locations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00" w:type="dxa"/>
            <w:vAlign w:val="bottom"/>
          </w:tcPr>
          <w:p>
            <w:pPr>
              <w:ind w:left="360"/>
              <w:spacing w:after="0"/>
              <w:rPr>
                <w:sz w:val="20"/>
                <w:szCs w:val="20"/>
                <w:color w:val="auto"/>
              </w:rPr>
            </w:pPr>
            <w:r>
              <w:rPr>
                <w:rFonts w:ascii="Arial" w:cs="Arial" w:eastAsia="Arial" w:hAnsi="Arial"/>
                <w:sz w:val="12"/>
                <w:szCs w:val="12"/>
                <w:b w:val="1"/>
                <w:bCs w:val="1"/>
                <w:color w:val="auto"/>
              </w:rPr>
              <w:t>Year Ended December 31, 2021</w:t>
            </w:r>
          </w:p>
        </w:tc>
        <w:tc>
          <w:tcPr>
            <w:tcW w:w="56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Advisory</w:t>
            </w:r>
          </w:p>
        </w:tc>
        <w:tc>
          <w:tcPr>
            <w:tcW w:w="580" w:type="dxa"/>
            <w:vAlign w:val="bottom"/>
          </w:tcPr>
          <w:p>
            <w:pPr>
              <w:spacing w:after="0"/>
              <w:rPr>
                <w:sz w:val="13"/>
                <w:szCs w:val="13"/>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Trust</w:t>
            </w:r>
          </w:p>
        </w:tc>
        <w:tc>
          <w:tcPr>
            <w:tcW w:w="52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Performance-based</w:t>
            </w: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Other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jc w:val="right"/>
              <w:ind w:right="359"/>
              <w:spacing w:after="0"/>
              <w:rPr>
                <w:sz w:val="20"/>
                <w:szCs w:val="20"/>
                <w:color w:val="auto"/>
              </w:rPr>
            </w:pPr>
            <w:r>
              <w:rPr>
                <w:rFonts w:ascii="Arial" w:cs="Arial" w:eastAsia="Arial" w:hAnsi="Arial"/>
                <w:sz w:val="12"/>
                <w:szCs w:val="12"/>
                <w:b w:val="1"/>
                <w:bCs w:val="1"/>
                <w:color w:val="auto"/>
              </w:rPr>
              <w:t>Total</w:t>
            </w:r>
          </w:p>
        </w:tc>
      </w:tr>
      <w:tr>
        <w:trPr>
          <w:trHeight w:val="149"/>
        </w:trPr>
        <w:tc>
          <w:tcPr>
            <w:tcW w:w="3300" w:type="dxa"/>
            <w:vAlign w:val="bottom"/>
            <w:tcBorders>
              <w:top w:val="single" w:sz="8" w:color="CCEEFF"/>
            </w:tcBorders>
            <w:shd w:val="clear" w:color="auto" w:fill="CCEEFF"/>
          </w:tcPr>
          <w:p>
            <w:pPr>
              <w:ind w:left="360"/>
              <w:spacing w:after="0" w:line="148" w:lineRule="exact"/>
              <w:rPr>
                <w:sz w:val="20"/>
                <w:szCs w:val="20"/>
                <w:color w:val="auto"/>
              </w:rPr>
            </w:pPr>
            <w:r>
              <w:rPr>
                <w:rFonts w:ascii="Arial" w:cs="Arial" w:eastAsia="Arial" w:hAnsi="Arial"/>
                <w:sz w:val="13"/>
                <w:szCs w:val="13"/>
                <w:color w:val="auto"/>
              </w:rPr>
              <w:t>Canada</w:t>
            </w:r>
          </w:p>
        </w:tc>
        <w:tc>
          <w:tcPr>
            <w:tcW w:w="5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1,163</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1,163</w:t>
            </w:r>
          </w:p>
        </w:tc>
      </w:tr>
      <w:tr>
        <w:trPr>
          <w:trHeight w:val="166"/>
        </w:trPr>
        <w:tc>
          <w:tcPr>
            <w:tcW w:w="3300" w:type="dxa"/>
            <w:vAlign w:val="bottom"/>
          </w:tcPr>
          <w:p>
            <w:pPr>
              <w:ind w:left="360"/>
              <w:spacing w:after="0"/>
              <w:rPr>
                <w:sz w:val="20"/>
                <w:szCs w:val="20"/>
                <w:color w:val="auto"/>
              </w:rPr>
            </w:pPr>
            <w:r>
              <w:rPr>
                <w:rFonts w:ascii="Arial" w:cs="Arial" w:eastAsia="Arial" w:hAnsi="Arial"/>
                <w:sz w:val="13"/>
                <w:szCs w:val="13"/>
                <w:color w:val="auto"/>
              </w:rPr>
              <w:t>Europe</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638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262</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900</w:t>
            </w:r>
          </w:p>
        </w:tc>
      </w:tr>
      <w:tr>
        <w:trPr>
          <w:trHeight w:val="167"/>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U.S.</w:t>
            </w: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45,512</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24,131</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1,687</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70,991</w:t>
            </w:r>
          </w:p>
        </w:tc>
      </w:tr>
      <w:tr>
        <w:trPr>
          <w:trHeight w:val="147"/>
        </w:trPr>
        <w:tc>
          <w:tcPr>
            <w:tcW w:w="3300" w:type="dxa"/>
            <w:vAlign w:val="bottom"/>
          </w:tcPr>
          <w:p>
            <w:pPr>
              <w:ind w:left="360"/>
              <w:spacing w:after="0" w:line="148" w:lineRule="exact"/>
              <w:rPr>
                <w:sz w:val="20"/>
                <w:szCs w:val="20"/>
                <w:color w:val="auto"/>
              </w:rPr>
            </w:pPr>
            <w:r>
              <w:rPr>
                <w:rFonts w:ascii="Arial" w:cs="Arial" w:eastAsia="Arial" w:hAnsi="Arial"/>
                <w:sz w:val="13"/>
                <w:szCs w:val="13"/>
                <w:color w:val="auto"/>
              </w:rPr>
              <w:t>Total</w:t>
            </w: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47,313</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24,131</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1,949</w:t>
            </w:r>
          </w:p>
        </w:tc>
        <w:tc>
          <w:tcPr>
            <w:tcW w:w="80" w:type="dxa"/>
            <w:vAlign w:val="bottom"/>
          </w:tcPr>
          <w:p>
            <w:pPr>
              <w:spacing w:after="0"/>
              <w:rPr>
                <w:sz w:val="12"/>
                <w:szCs w:val="12"/>
                <w:color w:val="auto"/>
              </w:rPr>
            </w:pPr>
          </w:p>
        </w:tc>
        <w:tc>
          <w:tcPr>
            <w:tcW w:w="110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73,054</w:t>
            </w:r>
          </w:p>
        </w:tc>
      </w:tr>
      <w:tr>
        <w:trPr>
          <w:trHeight w:val="20"/>
        </w:trPr>
        <w:tc>
          <w:tcPr>
            <w:tcW w:w="3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0"/>
        </w:trPr>
        <w:tc>
          <w:tcPr>
            <w:tcW w:w="3300" w:type="dxa"/>
            <w:vAlign w:val="bottom"/>
          </w:tcPr>
          <w:p>
            <w:pPr>
              <w:ind w:left="360"/>
              <w:spacing w:after="0"/>
              <w:rPr>
                <w:sz w:val="20"/>
                <w:szCs w:val="20"/>
                <w:color w:val="auto"/>
              </w:rPr>
            </w:pPr>
            <w:r>
              <w:rPr>
                <w:rFonts w:ascii="Arial" w:cs="Arial" w:eastAsia="Arial" w:hAnsi="Arial"/>
                <w:sz w:val="12"/>
                <w:szCs w:val="12"/>
                <w:b w:val="1"/>
                <w:bCs w:val="1"/>
                <w:color w:val="auto"/>
              </w:rPr>
              <w:t>Year Ended December 31, 2020</w:t>
            </w:r>
          </w:p>
        </w:tc>
        <w:tc>
          <w:tcPr>
            <w:tcW w:w="56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Advisory</w:t>
            </w:r>
          </w:p>
        </w:tc>
        <w:tc>
          <w:tcPr>
            <w:tcW w:w="58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Trust</w:t>
            </w:r>
          </w:p>
        </w:tc>
        <w:tc>
          <w:tcPr>
            <w:tcW w:w="5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Performance-based</w:t>
            </w: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Other</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ind w:right="359"/>
              <w:spacing w:after="0"/>
              <w:rPr>
                <w:sz w:val="20"/>
                <w:szCs w:val="20"/>
                <w:color w:val="auto"/>
              </w:rPr>
            </w:pPr>
            <w:r>
              <w:rPr>
                <w:rFonts w:ascii="Arial" w:cs="Arial" w:eastAsia="Arial" w:hAnsi="Arial"/>
                <w:sz w:val="12"/>
                <w:szCs w:val="12"/>
                <w:b w:val="1"/>
                <w:bCs w:val="1"/>
                <w:color w:val="auto"/>
              </w:rPr>
              <w:t>Total</w:t>
            </w:r>
          </w:p>
        </w:tc>
      </w:tr>
      <w:tr>
        <w:trPr>
          <w:trHeight w:val="149"/>
        </w:trPr>
        <w:tc>
          <w:tcPr>
            <w:tcW w:w="3300" w:type="dxa"/>
            <w:vAlign w:val="bottom"/>
            <w:tcBorders>
              <w:top w:val="single" w:sz="8" w:color="CCEEFF"/>
            </w:tcBorders>
            <w:shd w:val="clear" w:color="auto" w:fill="CCEEFF"/>
          </w:tcPr>
          <w:p>
            <w:pPr>
              <w:ind w:left="360"/>
              <w:spacing w:after="0" w:line="148" w:lineRule="exact"/>
              <w:rPr>
                <w:sz w:val="20"/>
                <w:szCs w:val="20"/>
                <w:color w:val="auto"/>
              </w:rPr>
            </w:pPr>
            <w:r>
              <w:rPr>
                <w:rFonts w:ascii="Arial" w:cs="Arial" w:eastAsia="Arial" w:hAnsi="Arial"/>
                <w:sz w:val="13"/>
                <w:szCs w:val="13"/>
                <w:color w:val="auto"/>
              </w:rPr>
              <w:t>Asia</w:t>
            </w:r>
          </w:p>
        </w:tc>
        <w:tc>
          <w:tcPr>
            <w:tcW w:w="5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w:t>
            </w:r>
          </w:p>
        </w:tc>
      </w:tr>
      <w:tr>
        <w:trPr>
          <w:trHeight w:val="166"/>
        </w:trPr>
        <w:tc>
          <w:tcPr>
            <w:tcW w:w="3300" w:type="dxa"/>
            <w:vAlign w:val="bottom"/>
          </w:tcPr>
          <w:p>
            <w:pPr>
              <w:ind w:left="360"/>
              <w:spacing w:after="0"/>
              <w:rPr>
                <w:sz w:val="20"/>
                <w:szCs w:val="20"/>
                <w:color w:val="auto"/>
              </w:rPr>
            </w:pPr>
            <w:r>
              <w:rPr>
                <w:rFonts w:ascii="Arial" w:cs="Arial" w:eastAsia="Arial" w:hAnsi="Arial"/>
                <w:sz w:val="13"/>
                <w:szCs w:val="13"/>
                <w:color w:val="auto"/>
              </w:rPr>
              <w:t>Canada</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1,505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1,505</w:t>
            </w:r>
          </w:p>
        </w:tc>
      </w:tr>
      <w:tr>
        <w:trPr>
          <w:trHeight w:val="167"/>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Europe</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4,277</w:t>
            </w:r>
          </w:p>
        </w:tc>
      </w:tr>
      <w:tr>
        <w:trPr>
          <w:trHeight w:val="166"/>
        </w:trPr>
        <w:tc>
          <w:tcPr>
            <w:tcW w:w="33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U.S.</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33,120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23,563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1,604</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58,633</w:t>
            </w:r>
          </w:p>
        </w:tc>
      </w:tr>
      <w:tr>
        <w:trPr>
          <w:trHeight w:val="166"/>
        </w:trPr>
        <w:tc>
          <w:tcPr>
            <w:tcW w:w="3300" w:type="dxa"/>
            <w:vAlign w:val="bottom"/>
            <w:tcBorders>
              <w:bottom w:val="single" w:sz="8" w:color="CCEEFF"/>
            </w:tcBorders>
            <w:shd w:val="clear" w:color="auto" w:fill="CCEEFF"/>
          </w:tcPr>
          <w:p>
            <w:pPr>
              <w:ind w:left="360"/>
              <w:spacing w:after="0" w:line="148" w:lineRule="exact"/>
              <w:rPr>
                <w:sz w:val="20"/>
                <w:szCs w:val="20"/>
                <w:color w:val="auto"/>
              </w:rPr>
            </w:pPr>
            <w:r>
              <w:rPr>
                <w:rFonts w:ascii="Arial" w:cs="Arial" w:eastAsia="Arial" w:hAnsi="Arial"/>
                <w:sz w:val="13"/>
                <w:szCs w:val="13"/>
                <w:color w:val="auto"/>
              </w:rPr>
              <w:t>Total</w:t>
            </w:r>
          </w:p>
        </w:tc>
        <w:tc>
          <w:tcPr>
            <w:tcW w:w="5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38,028</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23,563</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3,174</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65,111</w:t>
            </w: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2019</w:t>
            </w:r>
          </w:p>
        </w:tc>
        <w:tc>
          <w:tcPr>
            <w:tcW w:w="220" w:type="dxa"/>
            <w:vAlign w:val="bottom"/>
          </w:tcPr>
          <w:p>
            <w:pPr>
              <w:spacing w:after="0"/>
              <w:rPr>
                <w:sz w:val="13"/>
                <w:szCs w:val="13"/>
                <w:color w:val="auto"/>
              </w:rPr>
            </w:pPr>
          </w:p>
        </w:tc>
        <w:tc>
          <w:tcPr>
            <w:tcW w:w="1100" w:type="dxa"/>
            <w:vAlign w:val="bottom"/>
            <w:gridSpan w:val="2"/>
          </w:tcPr>
          <w:p>
            <w:pPr>
              <w:ind w:left="160"/>
              <w:spacing w:after="0"/>
              <w:rPr>
                <w:sz w:val="20"/>
                <w:szCs w:val="20"/>
                <w:color w:val="auto"/>
              </w:rPr>
            </w:pPr>
            <w:r>
              <w:rPr>
                <w:rFonts w:ascii="Arial" w:cs="Arial" w:eastAsia="Arial" w:hAnsi="Arial"/>
                <w:sz w:val="12"/>
                <w:szCs w:val="12"/>
                <w:b w:val="1"/>
                <w:bCs w:val="1"/>
                <w:color w:val="auto"/>
              </w:rPr>
              <w:t>Advisory</w:t>
            </w:r>
          </w:p>
        </w:tc>
        <w:tc>
          <w:tcPr>
            <w:tcW w:w="280" w:type="dxa"/>
            <w:vAlign w:val="bottom"/>
          </w:tcPr>
          <w:p>
            <w:pPr>
              <w:spacing w:after="0"/>
              <w:rPr>
                <w:sz w:val="13"/>
                <w:szCs w:val="13"/>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b w:val="1"/>
                <w:bCs w:val="1"/>
                <w:color w:val="auto"/>
              </w:rPr>
              <w:t>Trust</w:t>
            </w:r>
          </w:p>
        </w:tc>
        <w:tc>
          <w:tcPr>
            <w:tcW w:w="24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Performance-based</w:t>
            </w:r>
          </w:p>
        </w:tc>
        <w:tc>
          <w:tcPr>
            <w:tcW w:w="880" w:type="dxa"/>
            <w:vAlign w:val="bottom"/>
          </w:tcPr>
          <w:p>
            <w:pPr>
              <w:jc w:val="right"/>
              <w:ind w:right="59"/>
              <w:spacing w:after="0"/>
              <w:rPr>
                <w:sz w:val="20"/>
                <w:szCs w:val="20"/>
                <w:color w:val="auto"/>
              </w:rPr>
            </w:pPr>
            <w:r>
              <w:rPr>
                <w:rFonts w:ascii="Arial" w:cs="Arial" w:eastAsia="Arial" w:hAnsi="Arial"/>
                <w:sz w:val="12"/>
                <w:szCs w:val="12"/>
                <w:b w:val="1"/>
                <w:bCs w:val="1"/>
                <w:color w:val="auto"/>
              </w:rPr>
              <w:t>Other</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18"/>
              <w:spacing w:after="0"/>
              <w:rPr>
                <w:sz w:val="20"/>
                <w:szCs w:val="20"/>
                <w:color w:val="auto"/>
              </w:rPr>
            </w:pPr>
            <w:r>
              <w:rPr>
                <w:rFonts w:ascii="Arial" w:cs="Arial" w:eastAsia="Arial" w:hAnsi="Arial"/>
                <w:sz w:val="12"/>
                <w:szCs w:val="12"/>
                <w:b w:val="1"/>
                <w:bCs w:val="1"/>
                <w:color w:val="auto"/>
              </w:rPr>
              <w:t>Total</w:t>
            </w:r>
          </w:p>
        </w:tc>
      </w:tr>
      <w:tr>
        <w:trPr>
          <w:trHeight w:val="149"/>
        </w:trPr>
        <w:tc>
          <w:tcPr>
            <w:tcW w:w="42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Asia</w:t>
            </w: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1,639</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1,639</w:t>
            </w:r>
          </w:p>
        </w:tc>
      </w:tr>
      <w:tr>
        <w:trPr>
          <w:trHeight w:val="166"/>
        </w:trPr>
        <w:tc>
          <w:tcPr>
            <w:tcW w:w="4200" w:type="dxa"/>
            <w:vAlign w:val="bottom"/>
          </w:tcPr>
          <w:p>
            <w:pPr>
              <w:ind w:left="20"/>
              <w:spacing w:after="0"/>
              <w:rPr>
                <w:sz w:val="20"/>
                <w:szCs w:val="20"/>
                <w:color w:val="auto"/>
              </w:rPr>
            </w:pPr>
            <w:r>
              <w:rPr>
                <w:rFonts w:ascii="Arial" w:cs="Arial" w:eastAsia="Arial" w:hAnsi="Arial"/>
                <w:sz w:val="13"/>
                <w:szCs w:val="13"/>
                <w:color w:val="auto"/>
              </w:rPr>
              <w:t>Australia</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591</w:t>
            </w:r>
          </w:p>
        </w:tc>
      </w:tr>
      <w:tr>
        <w:trPr>
          <w:trHeight w:val="167"/>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Canada</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3,022</w:t>
            </w:r>
          </w:p>
        </w:tc>
      </w:tr>
      <w:tr>
        <w:trPr>
          <w:trHeight w:val="166"/>
        </w:trPr>
        <w:tc>
          <w:tcPr>
            <w:tcW w:w="4200" w:type="dxa"/>
            <w:vAlign w:val="bottom"/>
          </w:tcPr>
          <w:p>
            <w:pPr>
              <w:ind w:left="20"/>
              <w:spacing w:after="0"/>
              <w:rPr>
                <w:sz w:val="20"/>
                <w:szCs w:val="20"/>
                <w:color w:val="auto"/>
              </w:rPr>
            </w:pPr>
            <w:r>
              <w:rPr>
                <w:rFonts w:ascii="Arial" w:cs="Arial" w:eastAsia="Arial" w:hAnsi="Arial"/>
                <w:sz w:val="13"/>
                <w:szCs w:val="13"/>
                <w:color w:val="auto"/>
              </w:rPr>
              <w:t>Europe</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3,703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764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4,467</w:t>
            </w:r>
          </w:p>
        </w:tc>
      </w:tr>
      <w:tr>
        <w:trPr>
          <w:trHeight w:val="167"/>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74,360</w:t>
            </w:r>
          </w:p>
        </w:tc>
      </w:tr>
      <w:tr>
        <w:trPr>
          <w:trHeight w:val="147"/>
        </w:trPr>
        <w:tc>
          <w:tcPr>
            <w:tcW w:w="4200" w:type="dxa"/>
            <w:vAlign w:val="bottom"/>
          </w:tcPr>
          <w:p>
            <w:pPr>
              <w:ind w:left="20"/>
              <w:spacing w:after="0" w:line="148" w:lineRule="exact"/>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57,033</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25,483</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764</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799</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84,079</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SEGMENT REPORTING:</w:t>
      </w:r>
    </w:p>
    <w:p>
      <w:pPr>
        <w:spacing w:after="0" w:line="90" w:lineRule="exact"/>
        <w:rPr>
          <w:sz w:val="20"/>
          <w:szCs w:val="20"/>
          <w:color w:val="auto"/>
        </w:rPr>
      </w:pPr>
    </w:p>
    <w:p>
      <w:pPr>
        <w:ind w:firstLine="353"/>
        <w:spacing w:after="0" w:line="284" w:lineRule="auto"/>
        <w:rPr>
          <w:sz w:val="20"/>
          <w:szCs w:val="20"/>
          <w:color w:val="auto"/>
        </w:rPr>
      </w:pPr>
      <w:r>
        <w:rPr>
          <w:rFonts w:ascii="Arial" w:cs="Arial" w:eastAsia="Arial" w:hAnsi="Arial"/>
          <w:sz w:val="12"/>
          <w:szCs w:val="12"/>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5" w:name="page56"/>
    <w:bookmarkEnd w:id="55"/>
    <w:p>
      <w:pPr>
        <w:jc w:val="center"/>
        <w:ind w:right="-21"/>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ind w:right="-21"/>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Advisory</w:t>
      </w:r>
    </w:p>
    <w:p>
      <w:pPr>
        <w:spacing w:after="0" w:line="90" w:lineRule="exact"/>
        <w:rPr>
          <w:sz w:val="20"/>
          <w:szCs w:val="20"/>
          <w:color w:val="auto"/>
        </w:rPr>
      </w:pPr>
    </w:p>
    <w:p>
      <w:pPr>
        <w:ind w:left="362"/>
        <w:spacing w:after="0"/>
        <w:rPr>
          <w:sz w:val="20"/>
          <w:szCs w:val="20"/>
          <w:color w:val="auto"/>
        </w:rPr>
      </w:pPr>
      <w:r>
        <w:rPr>
          <w:rFonts w:ascii="Arial" w:cs="Arial" w:eastAsia="Arial" w:hAnsi="Arial"/>
          <w:sz w:val="11"/>
          <w:szCs w:val="11"/>
          <w:color w:val="auto"/>
        </w:rPr>
        <w:t>Our Advisory segment provides investment advisory services to (i) corporate pension and profit sharing plans, public employee retirement funds, Taft-Hartley plans, endowments, foundations and individuals,</w:t>
      </w:r>
    </w:p>
    <w:p>
      <w:pPr>
        <w:spacing w:after="0" w:line="38" w:lineRule="exact"/>
        <w:rPr>
          <w:sz w:val="20"/>
          <w:szCs w:val="20"/>
          <w:color w:val="auto"/>
        </w:rPr>
      </w:pPr>
    </w:p>
    <w:p>
      <w:pPr>
        <w:ind w:left="2" w:right="280" w:hanging="2"/>
        <w:spacing w:after="0" w:line="257" w:lineRule="auto"/>
        <w:tabs>
          <w:tab w:leader="none" w:pos="194"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sub-advisory relationships where Westwood provides investment management services to the Westwood Funds®, funds offered by other financial institutions and funds offered by our Trust segment and (iii) pooled investment vehicles, including the UCITS Fund (liquidated in June 2020) and collective investment trusts. Westwood Management and Westwood International Advisors (prior to its closure, effective September 30, 2020), which provide investment advisory services to similar clients, are included in our Advisory segment.</w:t>
      </w:r>
    </w:p>
    <w:p>
      <w:pPr>
        <w:spacing w:after="0" w:line="57"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Trust</w:t>
      </w:r>
    </w:p>
    <w:p>
      <w:pPr>
        <w:spacing w:after="0" w:line="90" w:lineRule="exact"/>
        <w:rPr>
          <w:sz w:val="20"/>
          <w:szCs w:val="20"/>
          <w:color w:val="auto"/>
        </w:rPr>
      </w:pPr>
    </w:p>
    <w:p>
      <w:pPr>
        <w:ind w:left="362"/>
        <w:spacing w:after="0"/>
        <w:rPr>
          <w:sz w:val="20"/>
          <w:szCs w:val="20"/>
          <w:color w:val="auto"/>
        </w:rPr>
      </w:pPr>
      <w:r>
        <w:rPr>
          <w:rFonts w:ascii="Arial" w:cs="Arial" w:eastAsia="Arial" w:hAnsi="Arial"/>
          <w:sz w:val="12"/>
          <w:szCs w:val="12"/>
          <w:color w:val="auto"/>
        </w:rPr>
        <w:t>Westwood Trust provides trust and custodial services and participation in common trust funds that it sponsors to institutions and high net worth individuals. Westwood Trust is included in our Trust segment.</w:t>
      </w:r>
    </w:p>
    <w:p>
      <w:pPr>
        <w:spacing w:after="0" w:line="30"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4900" w:type="dxa"/>
            <w:vAlign w:val="bottom"/>
            <w:vMerge w:val="restart"/>
          </w:tcPr>
          <w:p>
            <w:pPr>
              <w:ind w:left="20"/>
              <w:spacing w:after="0"/>
              <w:rPr>
                <w:sz w:val="20"/>
                <w:szCs w:val="20"/>
                <w:color w:val="auto"/>
              </w:rPr>
            </w:pPr>
            <w:r>
              <w:rPr>
                <w:rFonts w:ascii="Arial" w:cs="Arial" w:eastAsia="Arial" w:hAnsi="Arial"/>
                <w:sz w:val="12"/>
                <w:szCs w:val="12"/>
                <w:color w:val="auto"/>
              </w:rPr>
              <w:t>(in thousands)</w:t>
            </w:r>
          </w:p>
        </w:tc>
        <w:tc>
          <w:tcPr>
            <w:tcW w:w="24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Advisory</w:t>
            </w:r>
          </w:p>
        </w:tc>
        <w:tc>
          <w:tcPr>
            <w:tcW w:w="26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Trust</w:t>
            </w:r>
          </w:p>
        </w:tc>
        <w:tc>
          <w:tcPr>
            <w:tcW w:w="22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1"/>
              </w:rPr>
              <w:t>Westwood</w:t>
            </w:r>
          </w:p>
        </w:tc>
        <w:tc>
          <w:tcPr>
            <w:tcW w:w="200" w:type="dxa"/>
            <w:vAlign w:val="bottom"/>
          </w:tcPr>
          <w:p>
            <w:pPr>
              <w:spacing w:after="0"/>
              <w:rPr>
                <w:sz w:val="10"/>
                <w:szCs w:val="10"/>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Eliminations</w:t>
            </w:r>
          </w:p>
        </w:tc>
        <w:tc>
          <w:tcPr>
            <w:tcW w:w="200" w:type="dxa"/>
            <w:vAlign w:val="bottom"/>
          </w:tcPr>
          <w:p>
            <w:pPr>
              <w:spacing w:after="0"/>
              <w:rPr>
                <w:sz w:val="10"/>
                <w:szCs w:val="10"/>
                <w:color w:val="auto"/>
              </w:rPr>
            </w:pPr>
          </w:p>
        </w:tc>
        <w:tc>
          <w:tcPr>
            <w:tcW w:w="1000" w:type="dxa"/>
            <w:vAlign w:val="bottom"/>
            <w:vMerge w:val="restart"/>
          </w:tcPr>
          <w:p>
            <w:pPr>
              <w:jc w:val="right"/>
              <w:ind w:right="241"/>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6"/>
        </w:trPr>
        <w:tc>
          <w:tcPr>
            <w:tcW w:w="4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Holdings</w:t>
            </w: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Year Ended December 31, 2021</w:t>
            </w: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900" w:type="dxa"/>
            <w:vAlign w:val="bottom"/>
          </w:tcPr>
          <w:p>
            <w:pPr>
              <w:ind w:left="20"/>
              <w:spacing w:after="0"/>
              <w:rPr>
                <w:sz w:val="20"/>
                <w:szCs w:val="20"/>
                <w:color w:val="auto"/>
              </w:rPr>
            </w:pPr>
            <w:r>
              <w:rPr>
                <w:rFonts w:ascii="Arial" w:cs="Arial" w:eastAsia="Arial" w:hAnsi="Arial"/>
                <w:sz w:val="12"/>
                <w:szCs w:val="12"/>
                <w:color w:val="auto"/>
              </w:rPr>
              <w:t>Revenues: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fee revenues from external sources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49,262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24,131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73,393</w:t>
            </w:r>
          </w:p>
        </w:tc>
        <w:tc>
          <w:tcPr>
            <w:tcW w:w="0" w:type="dxa"/>
            <w:vAlign w:val="bottom"/>
          </w:tcPr>
          <w:p>
            <w:pPr>
              <w:spacing w:after="0"/>
              <w:rPr>
                <w:sz w:val="1"/>
                <w:szCs w:val="1"/>
                <w:color w:val="auto"/>
              </w:rPr>
            </w:pPr>
          </w:p>
        </w:tc>
      </w:tr>
      <w:tr>
        <w:trPr>
          <w:trHeight w:val="154"/>
        </w:trPr>
        <w:tc>
          <w:tcPr>
            <w:tcW w:w="4900" w:type="dxa"/>
            <w:vAlign w:val="bottom"/>
          </w:tcPr>
          <w:p>
            <w:pPr>
              <w:ind w:left="240"/>
              <w:spacing w:after="0"/>
              <w:rPr>
                <w:sz w:val="20"/>
                <w:szCs w:val="20"/>
                <w:color w:val="auto"/>
              </w:rPr>
            </w:pPr>
            <w:r>
              <w:rPr>
                <w:rFonts w:ascii="Arial" w:cs="Arial" w:eastAsia="Arial" w:hAnsi="Arial"/>
                <w:sz w:val="12"/>
                <w:szCs w:val="12"/>
                <w:color w:val="auto"/>
              </w:rPr>
              <w:t>Net intersegment revenues</w:t>
            </w:r>
          </w:p>
        </w:tc>
        <w:tc>
          <w:tcPr>
            <w:tcW w:w="2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2,415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revenue</w:t>
            </w: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144"/>
        </w:trPr>
        <w:tc>
          <w:tcPr>
            <w:tcW w:w="4900" w:type="dxa"/>
            <w:vAlign w:val="bottom"/>
          </w:tcPr>
          <w:p>
            <w:pPr>
              <w:ind w:left="480"/>
              <w:spacing w:after="0" w:line="132" w:lineRule="exact"/>
              <w:rPr>
                <w:sz w:val="20"/>
                <w:szCs w:val="20"/>
                <w:color w:val="auto"/>
              </w:rPr>
            </w:pPr>
            <w:r>
              <w:rPr>
                <w:rFonts w:ascii="Arial" w:cs="Arial" w:eastAsia="Arial" w:hAnsi="Arial"/>
                <w:sz w:val="12"/>
                <w:szCs w:val="12"/>
                <w:color w:val="auto"/>
              </w:rPr>
              <w:t>Total revenues</w:t>
            </w:r>
          </w:p>
        </w:tc>
        <w:tc>
          <w:tcPr>
            <w:tcW w:w="24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51,338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24,487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73,054</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167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1,614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2,396</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operating expenses</w:t>
            </w: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33,249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18,092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16,129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64,699</w:t>
            </w:r>
          </w:p>
        </w:tc>
        <w:tc>
          <w:tcPr>
            <w:tcW w:w="0" w:type="dxa"/>
            <w:vAlign w:val="bottom"/>
          </w:tcPr>
          <w:p>
            <w:pPr>
              <w:spacing w:after="0"/>
              <w:rPr>
                <w:sz w:val="1"/>
                <w:szCs w:val="1"/>
                <w:color w:val="auto"/>
              </w:rPr>
            </w:pPr>
          </w:p>
        </w:tc>
      </w:tr>
      <w:tr>
        <w:trPr>
          <w:trHeight w:val="144"/>
        </w:trPr>
        <w:tc>
          <w:tcPr>
            <w:tcW w:w="4900" w:type="dxa"/>
            <w:vAlign w:val="bottom"/>
          </w:tcPr>
          <w:p>
            <w:pPr>
              <w:ind w:left="400"/>
              <w:spacing w:after="0" w:line="132" w:lineRule="exact"/>
              <w:rPr>
                <w:sz w:val="20"/>
                <w:szCs w:val="20"/>
                <w:color w:val="auto"/>
              </w:rPr>
            </w:pPr>
            <w:r>
              <w:rPr>
                <w:rFonts w:ascii="Arial" w:cs="Arial" w:eastAsia="Arial" w:hAnsi="Arial"/>
                <w:sz w:val="12"/>
                <w:szCs w:val="12"/>
                <w:color w:val="auto"/>
              </w:rPr>
              <w:t>Total expenses</w:t>
            </w:r>
          </w:p>
        </w:tc>
        <w:tc>
          <w:tcPr>
            <w:tcW w:w="24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33,416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19,706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16,744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67,095</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Realized gains on private investments</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3,524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2,731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8,371</w:t>
            </w:r>
          </w:p>
        </w:tc>
        <w:tc>
          <w:tcPr>
            <w:tcW w:w="0" w:type="dxa"/>
            <w:vAlign w:val="bottom"/>
          </w:tcPr>
          <w:p>
            <w:pPr>
              <w:spacing w:after="0"/>
              <w:rPr>
                <w:sz w:val="1"/>
                <w:szCs w:val="1"/>
                <w:color w:val="auto"/>
              </w:rPr>
            </w:pPr>
          </w:p>
        </w:tc>
      </w:tr>
      <w:tr>
        <w:trPr>
          <w:trHeight w:val="154"/>
        </w:trPr>
        <w:tc>
          <w:tcPr>
            <w:tcW w:w="4900" w:type="dxa"/>
            <w:vAlign w:val="bottom"/>
          </w:tcPr>
          <w:p>
            <w:pPr>
              <w:ind w:left="240"/>
              <w:spacing w:after="0"/>
              <w:rPr>
                <w:sz w:val="20"/>
                <w:szCs w:val="20"/>
                <w:color w:val="auto"/>
              </w:rPr>
            </w:pPr>
            <w:r>
              <w:rPr>
                <w:rFonts w:ascii="Arial" w:cs="Arial" w:eastAsia="Arial" w:hAnsi="Arial"/>
                <w:sz w:val="12"/>
                <w:szCs w:val="12"/>
                <w:color w:val="auto"/>
              </w:rPr>
              <w:t>Net change in unrealized appreciation on private investments</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(757)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(587)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(453)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(1,797)</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Investment income</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868</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income</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602</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Income (loss) before income taxes</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21,564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6,918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14,003</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4,784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1,262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4,240</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20"/>
              <w:spacing w:after="0" w:line="130" w:lineRule="exact"/>
              <w:rPr>
                <w:sz w:val="20"/>
                <w:szCs w:val="20"/>
                <w:color w:val="auto"/>
              </w:rPr>
            </w:pPr>
            <w:r>
              <w:rPr>
                <w:rFonts w:ascii="Arial" w:cs="Arial" w:eastAsia="Arial" w:hAnsi="Arial"/>
                <w:sz w:val="12"/>
                <w:szCs w:val="12"/>
                <w:color w:val="auto"/>
              </w:rPr>
              <w:t>Net income (loss)</w:t>
            </w:r>
          </w:p>
        </w:tc>
        <w:tc>
          <w:tcPr>
            <w:tcW w:w="240" w:type="dxa"/>
            <w:vAlign w:val="bottom"/>
            <w:shd w:val="clear" w:color="auto" w:fill="CCEEFF"/>
          </w:tcPr>
          <w:p>
            <w:pPr>
              <w:jc w:val="right"/>
              <w:ind w:right="101"/>
              <w:spacing w:after="0" w:line="130" w:lineRule="exact"/>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16,780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5,656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(12,673)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1"/>
              <w:spacing w:after="0" w:line="130" w:lineRule="exact"/>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line="130"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line="130"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9,763</w:t>
            </w:r>
          </w:p>
        </w:tc>
        <w:tc>
          <w:tcPr>
            <w:tcW w:w="0" w:type="dxa"/>
            <w:vAlign w:val="bottom"/>
          </w:tcPr>
          <w:p>
            <w:pPr>
              <w:spacing w:after="0"/>
              <w:rPr>
                <w:sz w:val="1"/>
                <w:szCs w:val="1"/>
                <w:color w:val="auto"/>
              </w:rPr>
            </w:pPr>
          </w:p>
        </w:tc>
      </w:tr>
      <w:tr>
        <w:trPr>
          <w:trHeight w:val="137"/>
        </w:trPr>
        <w:tc>
          <w:tcPr>
            <w:tcW w:w="490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assets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222,335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56,965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(152,479)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139,605</w:t>
            </w:r>
          </w:p>
        </w:tc>
        <w:tc>
          <w:tcPr>
            <w:tcW w:w="0" w:type="dxa"/>
            <w:vAlign w:val="bottom"/>
          </w:tcPr>
          <w:p>
            <w:pPr>
              <w:spacing w:after="0"/>
              <w:rPr>
                <w:sz w:val="1"/>
                <w:szCs w:val="1"/>
                <w:color w:val="auto"/>
              </w:rPr>
            </w:pPr>
          </w:p>
        </w:tc>
      </w:tr>
      <w:tr>
        <w:trPr>
          <w:trHeight w:val="154"/>
        </w:trPr>
        <w:tc>
          <w:tcPr>
            <w:tcW w:w="4900" w:type="dxa"/>
            <w:vAlign w:val="bottom"/>
          </w:tcPr>
          <w:p>
            <w:pPr>
              <w:ind w:left="20"/>
              <w:spacing w:after="0"/>
              <w:rPr>
                <w:sz w:val="20"/>
                <w:szCs w:val="20"/>
                <w:color w:val="auto"/>
              </w:rPr>
            </w:pPr>
            <w:r>
              <w:rPr>
                <w:rFonts w:ascii="Arial" w:cs="Arial" w:eastAsia="Arial" w:hAnsi="Arial"/>
                <w:sz w:val="12"/>
                <w:szCs w:val="12"/>
                <w:color w:val="auto"/>
              </w:rPr>
              <w:t>Segment goodwill</w:t>
            </w: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16,401</w:t>
            </w:r>
          </w:p>
        </w:tc>
        <w:tc>
          <w:tcPr>
            <w:tcW w:w="10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16,401</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Expenditures for long-lived assets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Year Ended December 31, 2020</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tcPr>
          <w:p>
            <w:pPr>
              <w:ind w:left="20"/>
              <w:spacing w:after="0"/>
              <w:rPr>
                <w:sz w:val="20"/>
                <w:szCs w:val="20"/>
                <w:color w:val="auto"/>
              </w:rPr>
            </w:pPr>
            <w:r>
              <w:rPr>
                <w:rFonts w:ascii="Arial" w:cs="Arial" w:eastAsia="Arial" w:hAnsi="Arial"/>
                <w:sz w:val="12"/>
                <w:szCs w:val="12"/>
                <w:color w:val="auto"/>
              </w:rPr>
              <w:t>Revenues: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fee revenues from external sources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40,836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23,929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64,765</w:t>
            </w:r>
          </w:p>
        </w:tc>
        <w:tc>
          <w:tcPr>
            <w:tcW w:w="0" w:type="dxa"/>
            <w:vAlign w:val="bottom"/>
          </w:tcPr>
          <w:p>
            <w:pPr>
              <w:spacing w:after="0"/>
              <w:rPr>
                <w:sz w:val="1"/>
                <w:szCs w:val="1"/>
                <w:color w:val="auto"/>
              </w:rPr>
            </w:pPr>
          </w:p>
        </w:tc>
      </w:tr>
      <w:tr>
        <w:trPr>
          <w:trHeight w:val="154"/>
        </w:trPr>
        <w:tc>
          <w:tcPr>
            <w:tcW w:w="4900" w:type="dxa"/>
            <w:vAlign w:val="bottom"/>
          </w:tcPr>
          <w:p>
            <w:pPr>
              <w:ind w:left="240"/>
              <w:spacing w:after="0"/>
              <w:rPr>
                <w:sz w:val="20"/>
                <w:szCs w:val="20"/>
                <w:color w:val="auto"/>
              </w:rPr>
            </w:pPr>
            <w:r>
              <w:rPr>
                <w:rFonts w:ascii="Arial" w:cs="Arial" w:eastAsia="Arial" w:hAnsi="Arial"/>
                <w:sz w:val="12"/>
                <w:szCs w:val="12"/>
                <w:color w:val="auto"/>
              </w:rPr>
              <w:t>Net intersegment revenues</w:t>
            </w:r>
          </w:p>
        </w:tc>
        <w:tc>
          <w:tcPr>
            <w:tcW w:w="2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2,338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interest and dividend revenue</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revenue</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311</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400"/>
              <w:spacing w:after="0" w:line="134" w:lineRule="exact"/>
              <w:rPr>
                <w:sz w:val="20"/>
                <w:szCs w:val="20"/>
                <w:color w:val="auto"/>
              </w:rPr>
            </w:pPr>
            <w:r>
              <w:rPr>
                <w:rFonts w:ascii="Arial" w:cs="Arial" w:eastAsia="Arial" w:hAnsi="Arial"/>
                <w:sz w:val="12"/>
                <w:szCs w:val="12"/>
                <w:color w:val="auto"/>
              </w:rPr>
              <w:t>Total revenues</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43,520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24,192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65,111</w:t>
            </w:r>
          </w:p>
        </w:tc>
        <w:tc>
          <w:tcPr>
            <w:tcW w:w="0" w:type="dxa"/>
            <w:vAlign w:val="bottom"/>
          </w:tcPr>
          <w:p>
            <w:pPr>
              <w:spacing w:after="0"/>
              <w:rPr>
                <w:sz w:val="1"/>
                <w:szCs w:val="1"/>
                <w:color w:val="auto"/>
              </w:rPr>
            </w:pPr>
          </w:p>
        </w:tc>
      </w:tr>
      <w:tr>
        <w:trPr>
          <w:trHeight w:val="154"/>
        </w:trPr>
        <w:tc>
          <w:tcPr>
            <w:tcW w:w="4900" w:type="dxa"/>
            <w:vAlign w:val="bottom"/>
          </w:tcPr>
          <w:p>
            <w:pPr>
              <w:ind w:left="20"/>
              <w:spacing w:after="0"/>
              <w:rPr>
                <w:sz w:val="20"/>
                <w:szCs w:val="20"/>
                <w:color w:val="auto"/>
              </w:rPr>
            </w:pPr>
            <w:r>
              <w:rPr>
                <w:rFonts w:ascii="Arial" w:cs="Arial" w:eastAsia="Arial" w:hAnsi="Arial"/>
                <w:sz w:val="12"/>
                <w:szCs w:val="12"/>
                <w:color w:val="auto"/>
              </w:rPr>
              <w:t>Expenses: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1,656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2,642</w:t>
            </w:r>
          </w:p>
        </w:tc>
        <w:tc>
          <w:tcPr>
            <w:tcW w:w="0" w:type="dxa"/>
            <w:vAlign w:val="bottom"/>
          </w:tcPr>
          <w:p>
            <w:pPr>
              <w:spacing w:after="0"/>
              <w:rPr>
                <w:sz w:val="1"/>
                <w:szCs w:val="1"/>
                <w:color w:val="auto"/>
              </w:rPr>
            </w:pPr>
          </w:p>
        </w:tc>
      </w:tr>
      <w:tr>
        <w:trPr>
          <w:trHeight w:val="154"/>
        </w:trPr>
        <w:tc>
          <w:tcPr>
            <w:tcW w:w="4900" w:type="dxa"/>
            <w:vAlign w:val="bottom"/>
          </w:tcPr>
          <w:p>
            <w:pPr>
              <w:ind w:left="240"/>
              <w:spacing w:after="0"/>
              <w:rPr>
                <w:sz w:val="20"/>
                <w:szCs w:val="20"/>
                <w:color w:val="auto"/>
              </w:rPr>
            </w:pPr>
            <w:r>
              <w:rPr>
                <w:rFonts w:ascii="Arial" w:cs="Arial" w:eastAsia="Arial" w:hAnsi="Arial"/>
                <w:sz w:val="12"/>
                <w:szCs w:val="12"/>
                <w:color w:val="auto"/>
              </w:rPr>
              <w:t>Impairment expense</w:t>
            </w:r>
          </w:p>
        </w:tc>
        <w:tc>
          <w:tcPr>
            <w:tcW w:w="2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3,403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3,403</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operating expenses</w:t>
            </w: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34,675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17,398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13,041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62,513</w:t>
            </w:r>
          </w:p>
        </w:tc>
        <w:tc>
          <w:tcPr>
            <w:tcW w:w="0" w:type="dxa"/>
            <w:vAlign w:val="bottom"/>
          </w:tcPr>
          <w:p>
            <w:pPr>
              <w:spacing w:after="0"/>
              <w:rPr>
                <w:sz w:val="1"/>
                <w:szCs w:val="1"/>
                <w:color w:val="auto"/>
              </w:rPr>
            </w:pPr>
          </w:p>
        </w:tc>
      </w:tr>
      <w:tr>
        <w:trPr>
          <w:trHeight w:val="144"/>
        </w:trPr>
        <w:tc>
          <w:tcPr>
            <w:tcW w:w="4900" w:type="dxa"/>
            <w:vAlign w:val="bottom"/>
          </w:tcPr>
          <w:p>
            <w:pPr>
              <w:ind w:left="400"/>
              <w:spacing w:after="0" w:line="132" w:lineRule="exact"/>
              <w:rPr>
                <w:sz w:val="20"/>
                <w:szCs w:val="20"/>
                <w:color w:val="auto"/>
              </w:rPr>
            </w:pPr>
            <w:r>
              <w:rPr>
                <w:rFonts w:ascii="Arial" w:cs="Arial" w:eastAsia="Arial" w:hAnsi="Arial"/>
                <w:sz w:val="12"/>
                <w:szCs w:val="12"/>
                <w:color w:val="auto"/>
              </w:rPr>
              <w:t>Total expenses</w:t>
            </w:r>
          </w:p>
        </w:tc>
        <w:tc>
          <w:tcPr>
            <w:tcW w:w="24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38,400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19,054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13,705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68,558</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change in unrealized appreciation (depreciation) on private investments</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w:t>
            </w:r>
          </w:p>
        </w:tc>
        <w:tc>
          <w:tcPr>
            <w:tcW w:w="0" w:type="dxa"/>
            <w:vAlign w:val="bottom"/>
          </w:tcPr>
          <w:p>
            <w:pPr>
              <w:spacing w:after="0"/>
              <w:rPr>
                <w:sz w:val="1"/>
                <w:szCs w:val="1"/>
                <w:color w:val="auto"/>
              </w:rPr>
            </w:pPr>
          </w:p>
        </w:tc>
      </w:tr>
      <w:tr>
        <w:trPr>
          <w:trHeight w:val="152"/>
        </w:trPr>
        <w:tc>
          <w:tcPr>
            <w:tcW w:w="4900" w:type="dxa"/>
            <w:vAlign w:val="bottom"/>
          </w:tcPr>
          <w:p>
            <w:pPr>
              <w:ind w:left="240"/>
              <w:spacing w:after="0"/>
              <w:rPr>
                <w:sz w:val="20"/>
                <w:szCs w:val="20"/>
                <w:color w:val="auto"/>
              </w:rPr>
            </w:pPr>
            <w:r>
              <w:rPr>
                <w:rFonts w:ascii="Arial" w:cs="Arial" w:eastAsia="Arial" w:hAnsi="Arial"/>
                <w:sz w:val="12"/>
                <w:szCs w:val="12"/>
                <w:color w:val="auto"/>
              </w:rPr>
              <w:t>Investment income</w:t>
            </w:r>
          </w:p>
        </w:tc>
        <w:tc>
          <w:tcPr>
            <w:tcW w:w="2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604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2"/>
          </w:cols>
          <w:pgMar w:left="298" w:top="127"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vMerge w:val="restart"/>
          </w:tcPr>
          <w:p>
            <w:pPr>
              <w:ind w:left="20"/>
              <w:spacing w:after="0"/>
              <w:rPr>
                <w:sz w:val="20"/>
                <w:szCs w:val="20"/>
                <w:color w:val="auto"/>
              </w:rPr>
            </w:pPr>
            <w:r>
              <w:rPr>
                <w:rFonts w:ascii="Arial" w:cs="Arial" w:eastAsia="Arial" w:hAnsi="Arial"/>
                <w:sz w:val="12"/>
                <w:szCs w:val="12"/>
                <w:color w:val="auto"/>
              </w:rPr>
              <w:t>(in thousands)</w:t>
            </w:r>
          </w:p>
        </w:tc>
        <w:tc>
          <w:tcPr>
            <w:tcW w:w="240" w:type="dxa"/>
            <w:vAlign w:val="bottom"/>
          </w:tcPr>
          <w:p>
            <w:pPr>
              <w:spacing w:after="0"/>
              <w:rPr>
                <w:sz w:val="10"/>
                <w:szCs w:val="10"/>
                <w:color w:val="auto"/>
              </w:rPr>
            </w:pPr>
          </w:p>
        </w:tc>
        <w:tc>
          <w:tcPr>
            <w:tcW w:w="960" w:type="dxa"/>
            <w:vAlign w:val="bottom"/>
            <w:vMerge w:val="restart"/>
          </w:tcPr>
          <w:p>
            <w:pPr>
              <w:jc w:val="right"/>
              <w:ind w:right="341"/>
              <w:spacing w:after="0"/>
              <w:rPr>
                <w:sz w:val="20"/>
                <w:szCs w:val="20"/>
                <w:color w:val="auto"/>
              </w:rPr>
            </w:pPr>
            <w:r>
              <w:rPr>
                <w:rFonts w:ascii="Arial" w:cs="Arial" w:eastAsia="Arial" w:hAnsi="Arial"/>
                <w:sz w:val="10"/>
                <w:szCs w:val="10"/>
                <w:b w:val="1"/>
                <w:bCs w:val="1"/>
                <w:color w:val="auto"/>
              </w:rPr>
              <w:t>Advisory</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421"/>
              <w:spacing w:after="0"/>
              <w:rPr>
                <w:sz w:val="20"/>
                <w:szCs w:val="20"/>
                <w:color w:val="auto"/>
              </w:rPr>
            </w:pPr>
            <w:r>
              <w:rPr>
                <w:rFonts w:ascii="Arial" w:cs="Arial" w:eastAsia="Arial" w:hAnsi="Arial"/>
                <w:sz w:val="10"/>
                <w:szCs w:val="10"/>
                <w:b w:val="1"/>
                <w:bCs w:val="1"/>
                <w:color w:val="auto"/>
              </w:rPr>
              <w:t>Trust</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ind w:left="140"/>
              <w:spacing w:after="0"/>
              <w:rPr>
                <w:sz w:val="20"/>
                <w:szCs w:val="20"/>
                <w:color w:val="auto"/>
              </w:rPr>
            </w:pPr>
            <w:r>
              <w:rPr>
                <w:rFonts w:ascii="Arial" w:cs="Arial" w:eastAsia="Arial" w:hAnsi="Arial"/>
                <w:sz w:val="10"/>
                <w:szCs w:val="10"/>
                <w:b w:val="1"/>
                <w:bCs w:val="1"/>
                <w:color w:val="auto"/>
              </w:rPr>
              <w:t>Westwood</w:t>
            </w:r>
          </w:p>
        </w:tc>
        <w:tc>
          <w:tcPr>
            <w:tcW w:w="200" w:type="dxa"/>
            <w:vAlign w:val="bottom"/>
          </w:tcPr>
          <w:p>
            <w:pPr>
              <w:spacing w:after="0"/>
              <w:rPr>
                <w:sz w:val="10"/>
                <w:szCs w:val="10"/>
                <w:color w:val="auto"/>
              </w:rPr>
            </w:pPr>
          </w:p>
        </w:tc>
        <w:tc>
          <w:tcPr>
            <w:tcW w:w="100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Eliminations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41"/>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6"/>
        </w:trPr>
        <w:tc>
          <w:tcPr>
            <w:tcW w:w="490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Holdings</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40"/>
              <w:spacing w:after="0" w:line="133" w:lineRule="exact"/>
              <w:rPr>
                <w:sz w:val="20"/>
                <w:szCs w:val="20"/>
                <w:color w:val="auto"/>
              </w:rPr>
            </w:pPr>
            <w:r>
              <w:rPr>
                <w:rFonts w:ascii="Arial" w:cs="Arial" w:eastAsia="Arial" w:hAnsi="Arial"/>
                <w:sz w:val="12"/>
                <w:szCs w:val="12"/>
                <w:color w:val="auto"/>
              </w:rPr>
              <w:t>Other income</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20"/>
        </w:trPr>
        <w:tc>
          <w:tcPr>
            <w:tcW w:w="4900" w:type="dxa"/>
            <w:vAlign w:val="bottom"/>
          </w:tcPr>
          <w:p>
            <w:pPr>
              <w:ind w:left="240"/>
              <w:spacing w:after="0" w:line="121" w:lineRule="exact"/>
              <w:rPr>
                <w:sz w:val="20"/>
                <w:szCs w:val="20"/>
                <w:color w:val="auto"/>
              </w:rPr>
            </w:pPr>
            <w:r>
              <w:rPr>
                <w:rFonts w:ascii="Arial" w:cs="Arial" w:eastAsia="Arial" w:hAnsi="Arial"/>
                <w:sz w:val="12"/>
                <w:szCs w:val="12"/>
                <w:color w:val="auto"/>
                <w:w w:val="97"/>
              </w:rPr>
              <w:t>Foreign currency translation adjustments to net income (loss) upon liquidation of a foreign</w:t>
            </w:r>
          </w:p>
        </w:tc>
        <w:tc>
          <w:tcPr>
            <w:tcW w:w="240" w:type="dxa"/>
            <w:vAlign w:val="bottom"/>
          </w:tcPr>
          <w:p>
            <w:pPr>
              <w:spacing w:after="0"/>
              <w:rPr>
                <w:sz w:val="10"/>
                <w:szCs w:val="10"/>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(4,169)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ind w:left="84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(4,169)</w:t>
            </w:r>
          </w:p>
        </w:tc>
        <w:tc>
          <w:tcPr>
            <w:tcW w:w="0" w:type="dxa"/>
            <w:vAlign w:val="bottom"/>
          </w:tcPr>
          <w:p>
            <w:pPr>
              <w:spacing w:after="0"/>
              <w:rPr>
                <w:sz w:val="1"/>
                <w:szCs w:val="1"/>
                <w:color w:val="auto"/>
              </w:rPr>
            </w:pPr>
          </w:p>
        </w:tc>
      </w:tr>
      <w:tr>
        <w:trPr>
          <w:trHeight w:val="151"/>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subsidiary</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Income (loss) before income taxes</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5,361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(17,917)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(7,588)</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3,456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1,977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1,359</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20"/>
              <w:spacing w:after="0" w:line="130" w:lineRule="exact"/>
              <w:rPr>
                <w:sz w:val="20"/>
                <w:szCs w:val="20"/>
                <w:color w:val="auto"/>
              </w:rPr>
            </w:pPr>
            <w:r>
              <w:rPr>
                <w:rFonts w:ascii="Arial" w:cs="Arial" w:eastAsia="Arial" w:hAnsi="Arial"/>
                <w:sz w:val="12"/>
                <w:szCs w:val="12"/>
                <w:color w:val="auto"/>
              </w:rPr>
              <w:t>Net income (loss)</w:t>
            </w:r>
          </w:p>
        </w:tc>
        <w:tc>
          <w:tcPr>
            <w:tcW w:w="240" w:type="dxa"/>
            <w:vAlign w:val="bottom"/>
            <w:shd w:val="clear" w:color="auto" w:fill="CCEEFF"/>
          </w:tcPr>
          <w:p>
            <w:pPr>
              <w:jc w:val="right"/>
              <w:ind w:right="101"/>
              <w:spacing w:after="0" w:line="130" w:lineRule="exact"/>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1,905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2,991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(13,843)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1"/>
              <w:spacing w:after="0" w:line="130" w:lineRule="exact"/>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line="130"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line="130"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(8,947)</w:t>
            </w:r>
          </w:p>
        </w:tc>
        <w:tc>
          <w:tcPr>
            <w:tcW w:w="0" w:type="dxa"/>
            <w:vAlign w:val="bottom"/>
          </w:tcPr>
          <w:p>
            <w:pPr>
              <w:spacing w:after="0"/>
              <w:rPr>
                <w:sz w:val="1"/>
                <w:szCs w:val="1"/>
                <w:color w:val="auto"/>
              </w:rPr>
            </w:pPr>
          </w:p>
        </w:tc>
      </w:tr>
      <w:tr>
        <w:trPr>
          <w:trHeight w:val="137"/>
        </w:trPr>
        <w:tc>
          <w:tcPr>
            <w:tcW w:w="490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assets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204,827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54,749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17,247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(127,671)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149,152</w:t>
            </w:r>
          </w:p>
        </w:tc>
        <w:tc>
          <w:tcPr>
            <w:tcW w:w="0" w:type="dxa"/>
            <w:vAlign w:val="bottom"/>
          </w:tcPr>
          <w:p>
            <w:pPr>
              <w:spacing w:after="0"/>
              <w:rPr>
                <w:sz w:val="1"/>
                <w:szCs w:val="1"/>
                <w:color w:val="auto"/>
              </w:rPr>
            </w:pPr>
          </w:p>
        </w:tc>
      </w:tr>
      <w:tr>
        <w:trPr>
          <w:trHeight w:val="154"/>
        </w:trPr>
        <w:tc>
          <w:tcPr>
            <w:tcW w:w="4900" w:type="dxa"/>
            <w:vAlign w:val="bottom"/>
          </w:tcPr>
          <w:p>
            <w:pPr>
              <w:ind w:left="20"/>
              <w:spacing w:after="0"/>
              <w:rPr>
                <w:sz w:val="20"/>
                <w:szCs w:val="20"/>
                <w:color w:val="auto"/>
              </w:rPr>
            </w:pPr>
            <w:r>
              <w:rPr>
                <w:rFonts w:ascii="Arial" w:cs="Arial" w:eastAsia="Arial" w:hAnsi="Arial"/>
                <w:sz w:val="12"/>
                <w:szCs w:val="12"/>
                <w:color w:val="auto"/>
              </w:rPr>
              <w:t>Segment goodwill</w:t>
            </w: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16,401</w:t>
            </w:r>
          </w:p>
        </w:tc>
        <w:tc>
          <w:tcPr>
            <w:tcW w:w="10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16,401</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Expenditures for long-lived assets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Year Ended December 31, 2019</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tcPr>
          <w:p>
            <w:pPr>
              <w:ind w:left="20"/>
              <w:spacing w:after="0"/>
              <w:rPr>
                <w:sz w:val="20"/>
                <w:szCs w:val="20"/>
                <w:color w:val="auto"/>
              </w:rPr>
            </w:pPr>
            <w:r>
              <w:rPr>
                <w:rFonts w:ascii="Arial" w:cs="Arial" w:eastAsia="Arial" w:hAnsi="Arial"/>
                <w:sz w:val="12"/>
                <w:szCs w:val="12"/>
                <w:color w:val="auto"/>
              </w:rPr>
              <w:t>Revenues: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fee revenues from external sources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57,797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25,483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83,280</w:t>
            </w:r>
          </w:p>
        </w:tc>
        <w:tc>
          <w:tcPr>
            <w:tcW w:w="0" w:type="dxa"/>
            <w:vAlign w:val="bottom"/>
          </w:tcPr>
          <w:p>
            <w:pPr>
              <w:spacing w:after="0"/>
              <w:rPr>
                <w:sz w:val="1"/>
                <w:szCs w:val="1"/>
                <w:color w:val="auto"/>
              </w:rPr>
            </w:pPr>
          </w:p>
        </w:tc>
      </w:tr>
      <w:tr>
        <w:trPr>
          <w:trHeight w:val="154"/>
        </w:trPr>
        <w:tc>
          <w:tcPr>
            <w:tcW w:w="4900" w:type="dxa"/>
            <w:vAlign w:val="bottom"/>
          </w:tcPr>
          <w:p>
            <w:pPr>
              <w:ind w:left="160"/>
              <w:spacing w:after="0"/>
              <w:rPr>
                <w:sz w:val="20"/>
                <w:szCs w:val="20"/>
                <w:color w:val="auto"/>
              </w:rPr>
            </w:pPr>
            <w:r>
              <w:rPr>
                <w:rFonts w:ascii="Arial" w:cs="Arial" w:eastAsia="Arial" w:hAnsi="Arial"/>
                <w:sz w:val="12"/>
                <w:szCs w:val="12"/>
                <w:color w:val="auto"/>
              </w:rPr>
              <w:t>Net intersegment revenues</w:t>
            </w:r>
          </w:p>
        </w:tc>
        <w:tc>
          <w:tcPr>
            <w:tcW w:w="2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3,457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(3,693)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interest and dividend revenue</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revenue</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696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696</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340"/>
              <w:spacing w:after="0" w:line="134" w:lineRule="exact"/>
              <w:rPr>
                <w:sz w:val="20"/>
                <w:szCs w:val="20"/>
                <w:color w:val="auto"/>
              </w:rPr>
            </w:pPr>
            <w:r>
              <w:rPr>
                <w:rFonts w:ascii="Arial" w:cs="Arial" w:eastAsia="Arial" w:hAnsi="Arial"/>
                <w:sz w:val="12"/>
                <w:szCs w:val="12"/>
                <w:color w:val="auto"/>
              </w:rPr>
              <w:t>Total revenues</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62,053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25,719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84,079</w:t>
            </w:r>
          </w:p>
        </w:tc>
        <w:tc>
          <w:tcPr>
            <w:tcW w:w="0" w:type="dxa"/>
            <w:vAlign w:val="bottom"/>
          </w:tcPr>
          <w:p>
            <w:pPr>
              <w:spacing w:after="0"/>
              <w:rPr>
                <w:sz w:val="1"/>
                <w:szCs w:val="1"/>
                <w:color w:val="auto"/>
              </w:rPr>
            </w:pPr>
          </w:p>
        </w:tc>
      </w:tr>
      <w:tr>
        <w:trPr>
          <w:trHeight w:val="154"/>
        </w:trPr>
        <w:tc>
          <w:tcPr>
            <w:tcW w:w="4900" w:type="dxa"/>
            <w:vAlign w:val="bottom"/>
          </w:tcPr>
          <w:p>
            <w:pPr>
              <w:ind w:left="20"/>
              <w:spacing w:after="0"/>
              <w:rPr>
                <w:sz w:val="20"/>
                <w:szCs w:val="20"/>
                <w:color w:val="auto"/>
              </w:rPr>
            </w:pPr>
            <w:r>
              <w:rPr>
                <w:rFonts w:ascii="Arial" w:cs="Arial" w:eastAsia="Arial" w:hAnsi="Arial"/>
                <w:sz w:val="12"/>
                <w:szCs w:val="12"/>
                <w:color w:val="auto"/>
              </w:rPr>
              <w:t>Expenses: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Depreciation and amortization</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2,624</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operating expenses</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46,235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19,672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14,597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76,811</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340"/>
              <w:spacing w:after="0" w:line="134" w:lineRule="exact"/>
              <w:rPr>
                <w:sz w:val="20"/>
                <w:szCs w:val="20"/>
                <w:color w:val="auto"/>
              </w:rPr>
            </w:pPr>
            <w:r>
              <w:rPr>
                <w:rFonts w:ascii="Arial" w:cs="Arial" w:eastAsia="Arial" w:hAnsi="Arial"/>
                <w:sz w:val="12"/>
                <w:szCs w:val="12"/>
                <w:color w:val="auto"/>
              </w:rPr>
              <w:t>Total expenses</w:t>
            </w:r>
          </w:p>
        </w:tc>
        <w:tc>
          <w:tcPr>
            <w:tcW w:w="2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46,546</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21,437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15,145</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(3,693)</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79,435</w:t>
            </w:r>
          </w:p>
        </w:tc>
        <w:tc>
          <w:tcPr>
            <w:tcW w:w="0" w:type="dxa"/>
            <w:vAlign w:val="bottom"/>
          </w:tcPr>
          <w:p>
            <w:pPr>
              <w:spacing w:after="0"/>
              <w:rPr>
                <w:sz w:val="1"/>
                <w:szCs w:val="1"/>
                <w:color w:val="auto"/>
              </w:rPr>
            </w:pPr>
          </w:p>
        </w:tc>
      </w:tr>
      <w:tr>
        <w:trPr>
          <w:trHeight w:val="144"/>
        </w:trPr>
        <w:tc>
          <w:tcPr>
            <w:tcW w:w="4900" w:type="dxa"/>
            <w:vAlign w:val="bottom"/>
          </w:tcPr>
          <w:p>
            <w:pPr>
              <w:ind w:left="160"/>
              <w:spacing w:after="0" w:line="132" w:lineRule="exact"/>
              <w:rPr>
                <w:sz w:val="20"/>
                <w:szCs w:val="20"/>
                <w:color w:val="auto"/>
              </w:rPr>
            </w:pPr>
            <w:r>
              <w:rPr>
                <w:rFonts w:ascii="Arial" w:cs="Arial" w:eastAsia="Arial" w:hAnsi="Arial"/>
                <w:sz w:val="12"/>
                <w:szCs w:val="12"/>
                <w:color w:val="auto"/>
              </w:rPr>
              <w:t>Net change in unrealized appreciation (depreciation) on private investments</w:t>
            </w:r>
          </w:p>
        </w:tc>
        <w:tc>
          <w:tcPr>
            <w:tcW w:w="24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1,438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3,296</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Investment income</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1,017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1,318</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income</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Income before income taxes</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17,962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5,606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(14,166)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9,402</w:t>
            </w: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4,308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1,459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3,491</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20"/>
              <w:spacing w:after="0" w:line="130" w:lineRule="exact"/>
              <w:rPr>
                <w:sz w:val="20"/>
                <w:szCs w:val="20"/>
                <w:color w:val="auto"/>
              </w:rPr>
            </w:pPr>
            <w:r>
              <w:rPr>
                <w:rFonts w:ascii="Arial" w:cs="Arial" w:eastAsia="Arial" w:hAnsi="Arial"/>
                <w:sz w:val="12"/>
                <w:szCs w:val="12"/>
                <w:color w:val="auto"/>
              </w:rPr>
              <w:t>Net income (loss)</w:t>
            </w:r>
          </w:p>
        </w:tc>
        <w:tc>
          <w:tcPr>
            <w:tcW w:w="240" w:type="dxa"/>
            <w:vAlign w:val="bottom"/>
            <w:shd w:val="clear" w:color="auto" w:fill="CCEEFF"/>
          </w:tcPr>
          <w:p>
            <w:pPr>
              <w:jc w:val="right"/>
              <w:ind w:right="101"/>
              <w:spacing w:after="0" w:line="130" w:lineRule="exact"/>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13,654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4,147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(11,890)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1"/>
              <w:spacing w:after="0" w:line="130" w:lineRule="exact"/>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line="130"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line="130"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5,911</w:t>
            </w:r>
          </w:p>
        </w:tc>
        <w:tc>
          <w:tcPr>
            <w:tcW w:w="0" w:type="dxa"/>
            <w:vAlign w:val="bottom"/>
          </w:tcPr>
          <w:p>
            <w:pPr>
              <w:spacing w:after="0"/>
              <w:rPr>
                <w:sz w:val="1"/>
                <w:szCs w:val="1"/>
                <w:color w:val="auto"/>
              </w:rPr>
            </w:pPr>
          </w:p>
        </w:tc>
      </w:tr>
      <w:tr>
        <w:trPr>
          <w:trHeight w:val="137"/>
        </w:trPr>
        <w:tc>
          <w:tcPr>
            <w:tcW w:w="490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assets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242,854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51,274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(140,153)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178,707</w:t>
            </w:r>
          </w:p>
        </w:tc>
        <w:tc>
          <w:tcPr>
            <w:tcW w:w="0" w:type="dxa"/>
            <w:vAlign w:val="bottom"/>
          </w:tcPr>
          <w:p>
            <w:pPr>
              <w:spacing w:after="0"/>
              <w:rPr>
                <w:sz w:val="1"/>
                <w:szCs w:val="1"/>
                <w:color w:val="auto"/>
              </w:rPr>
            </w:pPr>
          </w:p>
        </w:tc>
      </w:tr>
      <w:tr>
        <w:trPr>
          <w:trHeight w:val="154"/>
        </w:trPr>
        <w:tc>
          <w:tcPr>
            <w:tcW w:w="4900" w:type="dxa"/>
            <w:vAlign w:val="bottom"/>
          </w:tcPr>
          <w:p>
            <w:pPr>
              <w:ind w:left="20"/>
              <w:spacing w:after="0"/>
              <w:rPr>
                <w:sz w:val="20"/>
                <w:szCs w:val="20"/>
                <w:color w:val="auto"/>
              </w:rPr>
            </w:pPr>
            <w:r>
              <w:rPr>
                <w:rFonts w:ascii="Arial" w:cs="Arial" w:eastAsia="Arial" w:hAnsi="Arial"/>
                <w:sz w:val="12"/>
                <w:szCs w:val="12"/>
                <w:color w:val="auto"/>
              </w:rPr>
              <w:t>Segment goodwill</w:t>
            </w: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3,403</w:t>
            </w:r>
          </w:p>
        </w:tc>
        <w:tc>
          <w:tcPr>
            <w:tcW w:w="100" w:type="dxa"/>
            <w:vAlign w:val="bottom"/>
          </w:tcPr>
          <w:p>
            <w:pPr>
              <w:spacing w:after="0"/>
              <w:rPr>
                <w:sz w:val="13"/>
                <w:szCs w:val="13"/>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16,401</w:t>
            </w:r>
          </w:p>
        </w:tc>
        <w:tc>
          <w:tcPr>
            <w:tcW w:w="10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19,804</w:t>
            </w:r>
          </w:p>
        </w:tc>
        <w:tc>
          <w:tcPr>
            <w:tcW w:w="0" w:type="dxa"/>
            <w:vAlign w:val="bottom"/>
          </w:tcPr>
          <w:p>
            <w:pPr>
              <w:spacing w:after="0"/>
              <w:rPr>
                <w:sz w:val="1"/>
                <w:szCs w:val="1"/>
                <w:color w:val="auto"/>
              </w:rPr>
            </w:pPr>
          </w:p>
        </w:tc>
      </w:tr>
      <w:tr>
        <w:trPr>
          <w:trHeight w:val="159"/>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Expenditures for long-lived assets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Geographical information</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Refer to Note 3, “Revenue” for our revenue disaggregated by our clients' geographical location. As of December 31, 2021 and 2020, all of our property and equipment was in the United States.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5. INVESTMENTS: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Since 2018, the company has made strategic investments which we believe enhance the services we provide our customers. Each of these is discussed below.</w:t>
      </w:r>
    </w:p>
    <w:p>
      <w:pPr>
        <w:spacing w:after="0" w:line="86" w:lineRule="exact"/>
        <w:rPr>
          <w:sz w:val="20"/>
          <w:szCs w:val="20"/>
          <w:color w:val="auto"/>
        </w:rPr>
      </w:pPr>
    </w:p>
    <w:p>
      <w:pPr>
        <w:ind w:firstLine="353"/>
        <w:spacing w:after="0" w:line="263" w:lineRule="auto"/>
        <w:rPr>
          <w:sz w:val="20"/>
          <w:szCs w:val="20"/>
          <w:color w:val="auto"/>
        </w:rPr>
      </w:pPr>
      <w:r>
        <w:rPr>
          <w:rFonts w:ascii="Arial" w:cs="Arial" w:eastAsia="Arial" w:hAnsi="Arial"/>
          <w:sz w:val="13"/>
          <w:szCs w:val="13"/>
          <w:color w:val="auto"/>
        </w:rPr>
        <w:t>InvestCloud. During 2018, we made a $5.4 million strategic investment in InvestCloud, which is included in “Investments” on our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57" w:lineRule="exact"/>
        <w:rPr>
          <w:sz w:val="20"/>
          <w:szCs w:val="20"/>
          <w:color w:val="auto"/>
        </w:rPr>
      </w:pPr>
    </w:p>
    <w:p>
      <w:pPr>
        <w:ind w:right="20" w:firstLine="353"/>
        <w:spacing w:after="0" w:line="263" w:lineRule="auto"/>
        <w:rPr>
          <w:sz w:val="20"/>
          <w:szCs w:val="20"/>
          <w:color w:val="auto"/>
        </w:rPr>
      </w:pPr>
      <w:r>
        <w:rPr>
          <w:rFonts w:ascii="Arial" w:cs="Arial" w:eastAsia="Arial" w:hAnsi="Arial"/>
          <w:sz w:val="13"/>
          <w:szCs w:val="13"/>
          <w:color w:val="auto"/>
        </w:rPr>
        <w:t>Following InvestCloud's recapitalization in the first quarter of 2021, we recorded a realized gain of approximately $8.4 million when our originally purchased shares were redeemed. Following this redemption we re-invested $4.4 million of our proceeds into newly issued shares of InvestCloud. Subsequent to InvestCloud's recapitalization, there were no additional observable price changes or indicators of impairment for this investment. Following observable price changes in the year ended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auto"/>
        </w:rPr>
        <w:t>December 31, 2019, we recorded an unrealized gain of $2.8 million in "Net change in unrealized appreciation (depreciation) on private investments" on our Consolidated Statements of Comprehensive Income (Loss).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Charis. Our investment in Charis is included in “Noncurrent investments at fair value” on our Consolidated Balance Sheets and is measured at fair value on a recurring basis.</w:t>
      </w:r>
    </w:p>
    <w:p>
      <w:pPr>
        <w:spacing w:after="0" w:line="86" w:lineRule="exact"/>
        <w:rPr>
          <w:sz w:val="20"/>
          <w:szCs w:val="20"/>
          <w:color w:val="auto"/>
        </w:rPr>
      </w:pPr>
    </w:p>
    <w:p>
      <w:pPr>
        <w:ind w:right="80" w:firstLine="353"/>
        <w:spacing w:after="0" w:line="259" w:lineRule="auto"/>
        <w:rPr>
          <w:sz w:val="20"/>
          <w:szCs w:val="20"/>
          <w:color w:val="auto"/>
        </w:rPr>
      </w:pPr>
      <w:r>
        <w:rPr>
          <w:rFonts w:ascii="Arial" w:cs="Arial" w:eastAsia="Arial" w:hAnsi="Arial"/>
          <w:sz w:val="13"/>
          <w:szCs w:val="13"/>
          <w:color w:val="auto"/>
        </w:rPr>
        <w:t>In the year ended December 31, 2021, we recorded an unrealized gain of $0.9 million for Charis following fair value increases from market transactions. In the year ended December 31, 2020, we recorded an unrealized loss of $0.5 million, primarily as a result of the global macroeconomic effects of the COVID-19 pandemic. In the year ended December 31, 2019, we recorded a gain of $0.6 million following fair value increases resulting from market transactions. These adjustments were recorded to "Net change in unrealized appreciation (depreciation) on private investments" on our Consolidated Statements of Comprehensive Income (Loss).</w:t>
      </w:r>
    </w:p>
    <w:p>
      <w:pPr>
        <w:spacing w:after="0" w:line="60" w:lineRule="exact"/>
        <w:rPr>
          <w:sz w:val="20"/>
          <w:szCs w:val="20"/>
          <w:color w:val="auto"/>
        </w:rPr>
      </w:pPr>
    </w:p>
    <w:p>
      <w:pPr>
        <w:ind w:right="140" w:firstLine="353"/>
        <w:spacing w:after="0" w:line="275" w:lineRule="auto"/>
        <w:rPr>
          <w:sz w:val="20"/>
          <w:szCs w:val="20"/>
          <w:color w:val="auto"/>
        </w:rPr>
      </w:pPr>
      <w:r>
        <w:rPr>
          <w:rFonts w:ascii="Arial" w:cs="Arial" w:eastAsia="Arial" w:hAnsi="Arial"/>
          <w:sz w:val="13"/>
          <w:szCs w:val="13"/>
          <w:color w:val="auto"/>
        </w:rPr>
        <w:t>Private Equity Seed Funding. In 2019 we made a $0.3 million investment in Westwood Hospitality. Our investment is included in “Noncurrent investments at fair value” on our Consolidated Balance Sheets, and it is measured at fair value on a recurring basis using NAV as a practical expedient.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All other investments are carried at fair value on a recurring basis and are accounted for as trading securities.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Investments carried at fair value are presented in the table below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Gross</w:t>
            </w:r>
          </w:p>
        </w:tc>
        <w:tc>
          <w:tcPr>
            <w:tcW w:w="30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0"/>
              </w:rPr>
              <w:t>Gross</w:t>
            </w:r>
          </w:p>
        </w:tc>
        <w:tc>
          <w:tcPr>
            <w:tcW w:w="300" w:type="dxa"/>
            <w:vAlign w:val="bottom"/>
          </w:tcPr>
          <w:p>
            <w:pPr>
              <w:spacing w:after="0"/>
              <w:rPr>
                <w:sz w:val="12"/>
                <w:szCs w:val="12"/>
                <w:color w:val="auto"/>
              </w:rPr>
            </w:pPr>
          </w:p>
        </w:tc>
        <w:tc>
          <w:tcPr>
            <w:tcW w:w="920" w:type="dxa"/>
            <w:vAlign w:val="bottom"/>
          </w:tcPr>
          <w:p>
            <w:pPr>
              <w:jc w:val="right"/>
              <w:ind w:right="236"/>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Cost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88"/>
              </w:rPr>
              <w:t>Unrealized</w:t>
            </w:r>
          </w:p>
        </w:tc>
        <w:tc>
          <w:tcPr>
            <w:tcW w:w="300" w:type="dxa"/>
            <w:vAlign w:val="bottom"/>
          </w:tcPr>
          <w:p>
            <w:pPr>
              <w:spacing w:after="0"/>
              <w:rPr>
                <w:sz w:val="10"/>
                <w:szCs w:val="10"/>
                <w:color w:val="auto"/>
              </w:rPr>
            </w:pPr>
          </w:p>
        </w:tc>
        <w:tc>
          <w:tcPr>
            <w:tcW w:w="1040" w:type="dxa"/>
            <w:vAlign w:val="bottom"/>
            <w:gridSpan w:val="2"/>
          </w:tcPr>
          <w:p>
            <w:pPr>
              <w:jc w:val="center"/>
              <w:ind w:right="280"/>
              <w:spacing w:after="0" w:line="118" w:lineRule="exact"/>
              <w:rPr>
                <w:sz w:val="20"/>
                <w:szCs w:val="20"/>
                <w:color w:val="auto"/>
              </w:rPr>
            </w:pPr>
            <w:r>
              <w:rPr>
                <w:rFonts w:ascii="Arial" w:cs="Arial" w:eastAsia="Arial" w:hAnsi="Arial"/>
                <w:sz w:val="12"/>
                <w:szCs w:val="12"/>
                <w:b w:val="1"/>
                <w:bCs w:val="1"/>
                <w:color w:val="auto"/>
                <w:w w:val="92"/>
              </w:rPr>
              <w:t>Unrealized</w:t>
            </w:r>
          </w:p>
        </w:tc>
        <w:tc>
          <w:tcPr>
            <w:tcW w:w="300" w:type="dxa"/>
            <w:vAlign w:val="bottom"/>
          </w:tcPr>
          <w:p>
            <w:pPr>
              <w:spacing w:after="0"/>
              <w:rPr>
                <w:sz w:val="10"/>
                <w:szCs w:val="10"/>
                <w:color w:val="auto"/>
              </w:rPr>
            </w:pPr>
          </w:p>
        </w:tc>
        <w:tc>
          <w:tcPr>
            <w:tcW w:w="920" w:type="dxa"/>
            <w:vAlign w:val="bottom"/>
          </w:tcPr>
          <w:p>
            <w:pPr>
              <w:jc w:val="right"/>
              <w:ind w:right="436"/>
              <w:spacing w:after="0" w:line="118" w:lineRule="exact"/>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Gains</w:t>
            </w:r>
          </w:p>
        </w:tc>
        <w:tc>
          <w:tcPr>
            <w:tcW w:w="3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7"/>
              </w:rPr>
              <w:t>Losses</w:t>
            </w:r>
          </w:p>
        </w:tc>
        <w:tc>
          <w:tcPr>
            <w:tcW w:w="300" w:type="dxa"/>
            <w:vAlign w:val="bottom"/>
          </w:tcPr>
          <w:p>
            <w:pPr>
              <w:spacing w:after="0"/>
              <w:rPr>
                <w:sz w:val="13"/>
                <w:szCs w:val="13"/>
                <w:color w:val="auto"/>
              </w:rPr>
            </w:pPr>
          </w:p>
        </w:tc>
        <w:tc>
          <w:tcPr>
            <w:tcW w:w="920" w:type="dxa"/>
            <w:vAlign w:val="bottom"/>
          </w:tcPr>
          <w:p>
            <w:pPr>
              <w:jc w:val="right"/>
              <w:ind w:right="396"/>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59"/>
        </w:trPr>
        <w:tc>
          <w:tcPr>
            <w:tcW w:w="6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December 31, 2021:</w:t>
            </w:r>
          </w:p>
        </w:tc>
        <w:tc>
          <w:tcPr>
            <w:tcW w:w="8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60" w:type="dxa"/>
            <w:vAlign w:val="bottom"/>
          </w:tcPr>
          <w:p>
            <w:pPr>
              <w:ind w:left="120"/>
              <w:spacing w:after="0"/>
              <w:rPr>
                <w:sz w:val="20"/>
                <w:szCs w:val="20"/>
                <w:color w:val="auto"/>
              </w:rPr>
            </w:pPr>
            <w:r>
              <w:rPr>
                <w:rFonts w:ascii="Arial" w:cs="Arial" w:eastAsia="Arial" w:hAnsi="Arial"/>
                <w:sz w:val="13"/>
                <w:szCs w:val="13"/>
                <w:color w:val="auto"/>
              </w:rPr>
              <w:t>U.S. Government and Government agency obligations</w:t>
            </w:r>
          </w:p>
        </w:tc>
        <w:tc>
          <w:tcPr>
            <w:tcW w:w="800" w:type="dxa"/>
            <w:vAlign w:val="bottom"/>
          </w:tcPr>
          <w:p>
            <w:pPr>
              <w:jc w:val="right"/>
              <w:ind w:right="536"/>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0"/>
              </w:rPr>
              <w:t>39,926</w:t>
            </w:r>
          </w:p>
        </w:tc>
        <w:tc>
          <w:tcPr>
            <w:tcW w:w="80" w:type="dxa"/>
            <w:vAlign w:val="bottom"/>
          </w:tcPr>
          <w:p>
            <w:pPr>
              <w:spacing w:after="0"/>
              <w:rPr>
                <w:sz w:val="14"/>
                <w:szCs w:val="14"/>
                <w:color w:val="auto"/>
              </w:rPr>
            </w:pP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4"/>
                <w:szCs w:val="14"/>
                <w:color w:val="auto"/>
              </w:rPr>
            </w:pP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39,435</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Money market funds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19,661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19,661</w:t>
            </w:r>
          </w:p>
        </w:tc>
        <w:tc>
          <w:tcPr>
            <w:tcW w:w="0" w:type="dxa"/>
            <w:vAlign w:val="bottom"/>
          </w:tcPr>
          <w:p>
            <w:pPr>
              <w:spacing w:after="0"/>
              <w:rPr>
                <w:sz w:val="1"/>
                <w:szCs w:val="1"/>
                <w:color w:val="auto"/>
              </w:rPr>
            </w:pPr>
          </w:p>
        </w:tc>
      </w:tr>
      <w:tr>
        <w:trPr>
          <w:trHeight w:val="166"/>
        </w:trPr>
        <w:tc>
          <w:tcPr>
            <w:tcW w:w="6060" w:type="dxa"/>
            <w:vAlign w:val="bottom"/>
          </w:tcPr>
          <w:p>
            <w:pPr>
              <w:ind w:left="120"/>
              <w:spacing w:after="0"/>
              <w:rPr>
                <w:sz w:val="20"/>
                <w:szCs w:val="20"/>
                <w:color w:val="auto"/>
              </w:rPr>
            </w:pPr>
            <w:r>
              <w:rPr>
                <w:rFonts w:ascii="Arial" w:cs="Arial" w:eastAsia="Arial" w:hAnsi="Arial"/>
                <w:sz w:val="13"/>
                <w:szCs w:val="13"/>
                <w:color w:val="auto"/>
              </w:rPr>
              <w:t>Equity funds</w:t>
            </w: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4,135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4,286</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Equities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0" w:type="dxa"/>
            <w:vAlign w:val="bottom"/>
          </w:tcPr>
          <w:p>
            <w:pPr>
              <w:spacing w:after="0"/>
              <w:rPr>
                <w:sz w:val="1"/>
                <w:szCs w:val="1"/>
                <w:color w:val="auto"/>
              </w:rPr>
            </w:pPr>
          </w:p>
        </w:tc>
      </w:tr>
      <w:tr>
        <w:trPr>
          <w:trHeight w:val="166"/>
        </w:trPr>
        <w:tc>
          <w:tcPr>
            <w:tcW w:w="6060" w:type="dxa"/>
            <w:vAlign w:val="bottom"/>
          </w:tcPr>
          <w:p>
            <w:pPr>
              <w:ind w:left="120"/>
              <w:spacing w:after="0"/>
              <w:rPr>
                <w:sz w:val="20"/>
                <w:szCs w:val="20"/>
                <w:color w:val="auto"/>
              </w:rPr>
            </w:pPr>
            <w:r>
              <w:rPr>
                <w:rFonts w:ascii="Arial" w:cs="Arial" w:eastAsia="Arial" w:hAnsi="Arial"/>
                <w:sz w:val="13"/>
                <w:szCs w:val="13"/>
                <w:color w:val="auto"/>
              </w:rPr>
              <w:t>Exchange-traded bond funds</w:t>
            </w: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57"/>
        </w:trPr>
        <w:tc>
          <w:tcPr>
            <w:tcW w:w="6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trading securities</w:t>
            </w:r>
          </w:p>
        </w:tc>
        <w:tc>
          <w:tcPr>
            <w:tcW w:w="80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65,158</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65,024</w:t>
            </w:r>
          </w:p>
        </w:tc>
        <w:tc>
          <w:tcPr>
            <w:tcW w:w="0" w:type="dxa"/>
            <w:vAlign w:val="bottom"/>
          </w:tcPr>
          <w:p>
            <w:pPr>
              <w:spacing w:after="0"/>
              <w:rPr>
                <w:sz w:val="1"/>
                <w:szCs w:val="1"/>
                <w:color w:val="auto"/>
              </w:rPr>
            </w:pPr>
          </w:p>
        </w:tc>
      </w:tr>
      <w:tr>
        <w:trPr>
          <w:trHeight w:val="166"/>
        </w:trPr>
        <w:tc>
          <w:tcPr>
            <w:tcW w:w="6060" w:type="dxa"/>
            <w:vAlign w:val="bottom"/>
          </w:tcPr>
          <w:p>
            <w:pPr>
              <w:ind w:left="120"/>
              <w:spacing w:after="0"/>
              <w:rPr>
                <w:sz w:val="20"/>
                <w:szCs w:val="20"/>
                <w:color w:val="auto"/>
              </w:rPr>
            </w:pPr>
            <w:r>
              <w:rPr>
                <w:rFonts w:ascii="Arial" w:cs="Arial" w:eastAsia="Arial" w:hAnsi="Arial"/>
                <w:sz w:val="13"/>
                <w:szCs w:val="13"/>
                <w:color w:val="auto"/>
              </w:rPr>
              <w:t>Private investment fund</w:t>
            </w: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Private equity</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4,369</w:t>
            </w:r>
          </w:p>
        </w:tc>
        <w:tc>
          <w:tcPr>
            <w:tcW w:w="0" w:type="dxa"/>
            <w:vAlign w:val="bottom"/>
          </w:tcPr>
          <w:p>
            <w:pPr>
              <w:spacing w:after="0"/>
              <w:rPr>
                <w:sz w:val="1"/>
                <w:szCs w:val="1"/>
                <w:color w:val="auto"/>
              </w:rPr>
            </w:pPr>
          </w:p>
        </w:tc>
      </w:tr>
      <w:tr>
        <w:trPr>
          <w:trHeight w:val="176"/>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investments carried at fair value</w:t>
            </w:r>
          </w:p>
        </w:tc>
        <w:tc>
          <w:tcPr>
            <w:tcW w:w="8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68,843</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1,313</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(619)</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69,537</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tcPr>
          <w:p>
            <w:pPr>
              <w:ind w:left="120"/>
              <w:spacing w:after="0"/>
              <w:rPr>
                <w:sz w:val="20"/>
                <w:szCs w:val="20"/>
                <w:color w:val="auto"/>
              </w:rPr>
            </w:pPr>
            <w:r>
              <w:rPr>
                <w:rFonts w:ascii="Arial" w:cs="Arial" w:eastAsia="Arial" w:hAnsi="Arial"/>
                <w:sz w:val="13"/>
                <w:szCs w:val="13"/>
                <w:b w:val="1"/>
                <w:bCs w:val="1"/>
                <w:color w:val="auto"/>
              </w:rPr>
              <w:t>December 31, 2020: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U.S. Government and Government agency obligations</w:t>
            </w:r>
          </w:p>
        </w:tc>
        <w:tc>
          <w:tcPr>
            <w:tcW w:w="80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65,132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64,954</w:t>
            </w:r>
          </w:p>
        </w:tc>
        <w:tc>
          <w:tcPr>
            <w:tcW w:w="0" w:type="dxa"/>
            <w:vAlign w:val="bottom"/>
          </w:tcPr>
          <w:p>
            <w:pPr>
              <w:spacing w:after="0"/>
              <w:rPr>
                <w:sz w:val="1"/>
                <w:szCs w:val="1"/>
                <w:color w:val="auto"/>
              </w:rPr>
            </w:pPr>
          </w:p>
        </w:tc>
      </w:tr>
      <w:tr>
        <w:trPr>
          <w:trHeight w:val="166"/>
        </w:trPr>
        <w:tc>
          <w:tcPr>
            <w:tcW w:w="6060" w:type="dxa"/>
            <w:vAlign w:val="bottom"/>
          </w:tcPr>
          <w:p>
            <w:pPr>
              <w:ind w:left="120"/>
              <w:spacing w:after="0"/>
              <w:rPr>
                <w:sz w:val="20"/>
                <w:szCs w:val="20"/>
                <w:color w:val="auto"/>
              </w:rPr>
            </w:pPr>
            <w:r>
              <w:rPr>
                <w:rFonts w:ascii="Arial" w:cs="Arial" w:eastAsia="Arial" w:hAnsi="Arial"/>
                <w:sz w:val="13"/>
                <w:szCs w:val="13"/>
                <w:color w:val="auto"/>
              </w:rPr>
              <w:t>Money market funds</w:t>
            </w: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4,003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4,003</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funds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6"/>
        </w:trPr>
        <w:tc>
          <w:tcPr>
            <w:tcW w:w="6060" w:type="dxa"/>
            <w:vAlign w:val="bottom"/>
          </w:tcPr>
          <w:p>
            <w:pPr>
              <w:ind w:left="120"/>
              <w:spacing w:after="0"/>
              <w:rPr>
                <w:sz w:val="20"/>
                <w:szCs w:val="20"/>
                <w:color w:val="auto"/>
              </w:rPr>
            </w:pPr>
            <w:r>
              <w:rPr>
                <w:rFonts w:ascii="Arial" w:cs="Arial" w:eastAsia="Arial" w:hAnsi="Arial"/>
                <w:sz w:val="13"/>
                <w:szCs w:val="13"/>
                <w:color w:val="auto"/>
              </w:rPr>
              <w:t>Equities</w:t>
            </w: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Exchange-traded bond funds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56"/>
        </w:trPr>
        <w:tc>
          <w:tcPr>
            <w:tcW w:w="6060" w:type="dxa"/>
            <w:vAlign w:val="bottom"/>
          </w:tcPr>
          <w:p>
            <w:pPr>
              <w:ind w:left="360"/>
              <w:spacing w:after="0"/>
              <w:rPr>
                <w:sz w:val="20"/>
                <w:szCs w:val="20"/>
                <w:color w:val="auto"/>
              </w:rPr>
            </w:pPr>
            <w:r>
              <w:rPr>
                <w:rFonts w:ascii="Arial" w:cs="Arial" w:eastAsia="Arial" w:hAnsi="Arial"/>
                <w:sz w:val="13"/>
                <w:szCs w:val="13"/>
                <w:color w:val="auto"/>
              </w:rPr>
              <w:t>Total trading securities</w:t>
            </w:r>
          </w:p>
        </w:tc>
        <w:tc>
          <w:tcPr>
            <w:tcW w:w="800" w:type="dxa"/>
            <w:vAlign w:val="bottom"/>
            <w:tcBorders>
              <w:top w:val="single" w:sz="8" w:color="auto"/>
            </w:tcBorders>
          </w:tcPr>
          <w:p>
            <w:pPr>
              <w:jc w:val="right"/>
              <w:ind w:right="536"/>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69,628</w:t>
            </w:r>
          </w:p>
        </w:tc>
        <w:tc>
          <w:tcPr>
            <w:tcW w:w="80" w:type="dxa"/>
            <w:vAlign w:val="bottom"/>
          </w:tcPr>
          <w:p>
            <w:pPr>
              <w:spacing w:after="0"/>
              <w:rPr>
                <w:sz w:val="13"/>
                <w:szCs w:val="13"/>
                <w:color w:val="auto"/>
              </w:rPr>
            </w:pPr>
          </w:p>
        </w:tc>
        <w:tc>
          <w:tcPr>
            <w:tcW w:w="3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69,542</w:t>
            </w:r>
          </w:p>
        </w:tc>
        <w:tc>
          <w:tcPr>
            <w:tcW w:w="0" w:type="dxa"/>
            <w:vAlign w:val="bottom"/>
          </w:tcPr>
          <w:p>
            <w:pPr>
              <w:spacing w:after="0"/>
              <w:rPr>
                <w:sz w:val="1"/>
                <w:szCs w:val="1"/>
                <w:color w:val="auto"/>
              </w:rPr>
            </w:pPr>
          </w:p>
        </w:tc>
      </w:tr>
      <w:tr>
        <w:trPr>
          <w:trHeight w:val="167"/>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Private investment fund</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6"/>
        </w:trPr>
        <w:tc>
          <w:tcPr>
            <w:tcW w:w="6060" w:type="dxa"/>
            <w:vAlign w:val="bottom"/>
          </w:tcPr>
          <w:p>
            <w:pPr>
              <w:ind w:left="120"/>
              <w:spacing w:after="0"/>
              <w:rPr>
                <w:sz w:val="20"/>
                <w:szCs w:val="20"/>
                <w:color w:val="auto"/>
              </w:rPr>
            </w:pPr>
            <w:r>
              <w:rPr>
                <w:rFonts w:ascii="Arial" w:cs="Arial" w:eastAsia="Arial" w:hAnsi="Arial"/>
                <w:sz w:val="13"/>
                <w:szCs w:val="13"/>
                <w:color w:val="auto"/>
              </w:rPr>
              <w:t>Private equity</w:t>
            </w: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3,431</w:t>
            </w:r>
          </w:p>
        </w:tc>
        <w:tc>
          <w:tcPr>
            <w:tcW w:w="0" w:type="dxa"/>
            <w:vAlign w:val="bottom"/>
          </w:tcPr>
          <w:p>
            <w:pPr>
              <w:spacing w:after="0"/>
              <w:rPr>
                <w:sz w:val="1"/>
                <w:szCs w:val="1"/>
                <w:color w:val="auto"/>
              </w:rPr>
            </w:pPr>
          </w:p>
        </w:tc>
      </w:tr>
      <w:tr>
        <w:trPr>
          <w:trHeight w:val="176"/>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investments carried at fair value</w:t>
            </w:r>
          </w:p>
        </w:tc>
        <w:tc>
          <w:tcPr>
            <w:tcW w:w="80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73,298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73,069</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60" w:firstLine="353"/>
        <w:spacing w:after="0" w:line="275" w:lineRule="auto"/>
        <w:rPr>
          <w:sz w:val="20"/>
          <w:szCs w:val="20"/>
          <w:color w:val="auto"/>
        </w:rPr>
      </w:pPr>
      <w:r>
        <w:rPr>
          <w:rFonts w:ascii="Arial" w:cs="Arial" w:eastAsia="Arial" w:hAnsi="Arial"/>
          <w:sz w:val="13"/>
          <w:szCs w:val="13"/>
          <w:color w:val="auto"/>
        </w:rPr>
        <w:t>The following amounts, except for income tax amounts, are included in our Consolidated Statements of Comprehensive Income (Loss) under the headings “Other revenues, net," "Net change in unrealized appreciation (depreciation) on private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investments," or "Investment Income"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2"/>
                <w:szCs w:val="12"/>
                <w:b w:val="1"/>
                <w:bCs w:val="1"/>
                <w:color w:val="auto"/>
              </w:rPr>
              <w:t>2019</w:t>
            </w:r>
          </w:p>
        </w:tc>
      </w:tr>
      <w:tr>
        <w:trPr>
          <w:trHeight w:val="159"/>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gains</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r>
      <w:tr>
        <w:trPr>
          <w:trHeight w:val="16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Realized losses</w:t>
            </w: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r>
      <w:tr>
        <w:trPr>
          <w:trHeight w:val="157"/>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realized gains (losses)</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r>
      <w:tr>
        <w:trPr>
          <w:trHeight w:val="166"/>
        </w:trPr>
        <w:tc>
          <w:tcPr>
            <w:tcW w:w="7680" w:type="dxa"/>
            <w:vAlign w:val="bottom"/>
          </w:tcPr>
          <w:p>
            <w:pPr>
              <w:ind w:left="20"/>
              <w:spacing w:after="0"/>
              <w:rPr>
                <w:sz w:val="20"/>
                <w:szCs w:val="20"/>
                <w:color w:val="auto"/>
              </w:rPr>
            </w:pPr>
            <w:r>
              <w:rPr>
                <w:rFonts w:ascii="Arial" w:cs="Arial" w:eastAsia="Arial" w:hAnsi="Arial"/>
                <w:sz w:val="13"/>
                <w:szCs w:val="13"/>
                <w:color w:val="auto"/>
              </w:rPr>
              <w:t>Income tax expense from gains (losses)</w:t>
            </w: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167"/>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 trading</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r>
      <w:tr>
        <w:trPr>
          <w:trHeight w:val="166"/>
        </w:trPr>
        <w:tc>
          <w:tcPr>
            <w:tcW w:w="7680" w:type="dxa"/>
            <w:vAlign w:val="bottom"/>
          </w:tcPr>
          <w:p>
            <w:pPr>
              <w:ind w:left="20"/>
              <w:spacing w:after="0"/>
              <w:rPr>
                <w:sz w:val="20"/>
                <w:szCs w:val="20"/>
                <w:color w:val="auto"/>
              </w:rPr>
            </w:pPr>
            <w:r>
              <w:rPr>
                <w:rFonts w:ascii="Arial" w:cs="Arial" w:eastAsia="Arial" w:hAnsi="Arial"/>
                <w:sz w:val="13"/>
                <w:szCs w:val="13"/>
                <w:color w:val="auto"/>
              </w:rPr>
              <w:t>Dividend income</w:t>
            </w: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283</w:t>
            </w:r>
          </w:p>
        </w:tc>
      </w:tr>
      <w:tr>
        <w:trPr>
          <w:trHeight w:val="167"/>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gains/(losses)</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(1,056)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w:t>
            </w:r>
          </w:p>
        </w:tc>
      </w:tr>
    </w:tbl>
    <w:p>
      <w:pPr>
        <w:spacing w:after="0" w:line="3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FAIR VALUE MEASUREMENTS:</w:t>
      </w:r>
    </w:p>
    <w:p>
      <w:pPr>
        <w:spacing w:after="0" w:line="90" w:lineRule="exact"/>
        <w:rPr>
          <w:sz w:val="20"/>
          <w:szCs w:val="20"/>
          <w:color w:val="auto"/>
        </w:rPr>
      </w:pPr>
    </w:p>
    <w:p>
      <w:pPr>
        <w:ind w:right="140" w:firstLine="353"/>
        <w:spacing w:after="0" w:line="275" w:lineRule="auto"/>
        <w:rPr>
          <w:sz w:val="20"/>
          <w:szCs w:val="20"/>
          <w:color w:val="auto"/>
        </w:rPr>
      </w:pPr>
      <w:r>
        <w:rPr>
          <w:rFonts w:ascii="Arial" w:cs="Arial" w:eastAsia="Arial" w:hAnsi="Arial"/>
          <w:sz w:val="13"/>
          <w:szCs w:val="13"/>
          <w:color w:val="auto"/>
        </w:rPr>
        <w:t xml:space="preserve">ASC 820, </w:t>
      </w:r>
      <w:r>
        <w:rPr>
          <w:rFonts w:ascii="Arial" w:cs="Arial" w:eastAsia="Arial" w:hAnsi="Arial"/>
          <w:sz w:val="13"/>
          <w:szCs w:val="13"/>
          <w:i w:val="1"/>
          <w:iCs w:val="1"/>
          <w:color w:val="auto"/>
        </w:rPr>
        <w:t>Fair Value Measurements</w:t>
      </w:r>
      <w:r>
        <w:rPr>
          <w:rFonts w:ascii="Arial" w:cs="Arial" w:eastAsia="Arial" w:hAnsi="Arial"/>
          <w:sz w:val="13"/>
          <w:szCs w:val="13"/>
          <w:color w:val="auto"/>
        </w:rPr>
        <w:t>, defines fair value, establishes a framework for measuring fair value and requires additional disclosures regarding certain fair value measurements. ASC 820 establishes a three-tier hierarchy for measuring fair value, as follows:</w:t>
      </w:r>
    </w:p>
    <w:p>
      <w:pPr>
        <w:spacing w:after="0" w:line="89" w:lineRule="exact"/>
        <w:rPr>
          <w:sz w:val="20"/>
          <w:szCs w:val="20"/>
          <w:color w:val="auto"/>
        </w:rPr>
      </w:pPr>
    </w:p>
    <w:p>
      <w:pPr>
        <w:ind w:left="440" w:hanging="236"/>
        <w:spacing w:after="0"/>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Level 1 – quoted market prices in active markets for identical assets and liabilities</w:t>
      </w:r>
    </w:p>
    <w:p>
      <w:pPr>
        <w:spacing w:after="0" w:line="85" w:lineRule="exact"/>
        <w:rPr>
          <w:rFonts w:ascii="Arial" w:cs="Arial" w:eastAsia="Arial" w:hAnsi="Arial"/>
          <w:sz w:val="13"/>
          <w:szCs w:val="13"/>
          <w:color w:val="auto"/>
        </w:rPr>
      </w:pPr>
    </w:p>
    <w:p>
      <w:pPr>
        <w:ind w:left="440" w:hanging="236"/>
        <w:spacing w:after="0"/>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Level 2 – inputs other than quoted prices that are directly or indirectly observable</w:t>
      </w:r>
    </w:p>
    <w:p>
      <w:pPr>
        <w:spacing w:after="0" w:line="85" w:lineRule="exact"/>
        <w:rPr>
          <w:rFonts w:ascii="Arial" w:cs="Arial" w:eastAsia="Arial" w:hAnsi="Arial"/>
          <w:sz w:val="13"/>
          <w:szCs w:val="13"/>
          <w:color w:val="auto"/>
        </w:rPr>
      </w:pPr>
    </w:p>
    <w:p>
      <w:pPr>
        <w:ind w:left="440" w:hanging="236"/>
        <w:spacing w:after="0"/>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Level 3 – unobservable inputs where there is little or no market activity</w:t>
      </w:r>
    </w:p>
    <w:p>
      <w:pPr>
        <w:spacing w:after="0" w:line="86" w:lineRule="exact"/>
        <w:rPr>
          <w:sz w:val="20"/>
          <w:szCs w:val="20"/>
          <w:color w:val="auto"/>
        </w:rPr>
      </w:pPr>
    </w:p>
    <w:p>
      <w:pPr>
        <w:ind w:right="340" w:firstLine="470"/>
        <w:spacing w:after="0" w:line="275" w:lineRule="auto"/>
        <w:rPr>
          <w:sz w:val="20"/>
          <w:szCs w:val="20"/>
          <w:color w:val="auto"/>
        </w:rPr>
      </w:pPr>
      <w:r>
        <w:rPr>
          <w:rFonts w:ascii="Arial" w:cs="Arial" w:eastAsia="Arial" w:hAnsi="Arial"/>
          <w:sz w:val="13"/>
          <w:szCs w:val="13"/>
          <w:color w:val="auto"/>
        </w:rPr>
        <w:t>Our strategic investment in InvestCloud discussed in Note 5 "Investments" is excluded from the recurring fair value table shown below, as we have elected to apply the measurement alternative for that investment.</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summarizes the values of our assets and liabilities as of the dates indicated within the fair value hierarchy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1</w:t>
            </w:r>
          </w:p>
        </w:tc>
        <w:tc>
          <w:tcPr>
            <w:tcW w:w="56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2</w:t>
            </w:r>
          </w:p>
        </w:tc>
        <w:tc>
          <w:tcPr>
            <w:tcW w:w="58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3</w:t>
            </w:r>
          </w:p>
        </w:tc>
        <w:tc>
          <w:tcPr>
            <w:tcW w:w="1500" w:type="dxa"/>
            <w:vAlign w:val="bottom"/>
            <w:gridSpan w:val="3"/>
          </w:tcPr>
          <w:p>
            <w:pPr>
              <w:ind w:left="380"/>
              <w:spacing w:after="0"/>
              <w:rPr>
                <w:sz w:val="20"/>
                <w:szCs w:val="20"/>
                <w:color w:val="auto"/>
              </w:rPr>
            </w:pPr>
            <w:r>
              <w:rPr>
                <w:rFonts w:ascii="Arial" w:cs="Arial" w:eastAsia="Arial" w:hAnsi="Arial"/>
                <w:sz w:val="12"/>
                <w:szCs w:val="12"/>
                <w:b w:val="1"/>
                <w:bCs w:val="1"/>
                <w:color w:val="auto"/>
                <w:w w:val="96"/>
              </w:rPr>
              <w:t xml:space="preserve">Measured at NAV </w:t>
            </w:r>
            <w:r>
              <w:rPr>
                <w:rFonts w:ascii="Arial" w:cs="Arial" w:eastAsia="Arial" w:hAnsi="Arial"/>
                <w:sz w:val="15"/>
                <w:szCs w:val="15"/>
                <w:b w:val="1"/>
                <w:bCs w:val="1"/>
                <w:color w:val="auto"/>
                <w:w w:val="96"/>
                <w:vertAlign w:val="superscript"/>
              </w:rPr>
              <w:t>(1)</w:t>
            </w:r>
          </w:p>
        </w:tc>
        <w:tc>
          <w:tcPr>
            <w:tcW w:w="62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2"/>
                <w:szCs w:val="12"/>
                <w:b w:val="1"/>
                <w:bCs w:val="1"/>
                <w:color w:val="auto"/>
              </w:rPr>
              <w:t>Total</w:t>
            </w:r>
          </w:p>
        </w:tc>
      </w:tr>
      <w:tr>
        <w:trPr>
          <w:trHeight w:val="156"/>
        </w:trPr>
        <w:tc>
          <w:tcPr>
            <w:tcW w:w="3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As of December 31, 2021</w:t>
            </w:r>
          </w:p>
        </w:tc>
        <w:tc>
          <w:tcPr>
            <w:tcW w:w="5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66"/>
        </w:trPr>
        <w:tc>
          <w:tcPr>
            <w:tcW w:w="3680" w:type="dxa"/>
            <w:vAlign w:val="bottom"/>
          </w:tcPr>
          <w:p>
            <w:pPr>
              <w:ind w:left="360"/>
              <w:spacing w:after="0"/>
              <w:rPr>
                <w:sz w:val="20"/>
                <w:szCs w:val="20"/>
                <w:color w:val="auto"/>
              </w:rPr>
            </w:pPr>
            <w:r>
              <w:rPr>
                <w:rFonts w:ascii="Arial" w:cs="Arial" w:eastAsia="Arial" w:hAnsi="Arial"/>
                <w:sz w:val="13"/>
                <w:szCs w:val="13"/>
                <w:color w:val="auto"/>
              </w:rPr>
              <w:t>Investments in trading securities</w:t>
            </w:r>
          </w:p>
        </w:tc>
        <w:tc>
          <w:tcPr>
            <w:tcW w:w="58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65,024</w:t>
            </w:r>
          </w:p>
        </w:tc>
        <w:tc>
          <w:tcPr>
            <w:tcW w:w="8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65,024</w:t>
            </w:r>
          </w:p>
        </w:tc>
      </w:tr>
      <w:tr>
        <w:trPr>
          <w:trHeight w:val="167"/>
        </w:trPr>
        <w:tc>
          <w:tcPr>
            <w:tcW w:w="36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Private investment fund</w:t>
            </w:r>
          </w:p>
        </w:tc>
        <w:tc>
          <w:tcPr>
            <w:tcW w:w="5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66"/>
        </w:trPr>
        <w:tc>
          <w:tcPr>
            <w:tcW w:w="36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Private equity</w:t>
            </w: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4,369</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4,369</w:t>
            </w:r>
          </w:p>
        </w:tc>
      </w:tr>
      <w:tr>
        <w:trPr>
          <w:trHeight w:val="176"/>
        </w:trPr>
        <w:tc>
          <w:tcPr>
            <w:tcW w:w="36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 assets measured at fair value</w:t>
            </w: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65,024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69,537</w:t>
            </w:r>
          </w:p>
        </w:tc>
      </w:tr>
      <w:tr>
        <w:trPr>
          <w:trHeight w:val="176"/>
        </w:trPr>
        <w:tc>
          <w:tcPr>
            <w:tcW w:w="36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167"/>
        </w:trPr>
        <w:tc>
          <w:tcPr>
            <w:tcW w:w="368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As of December 31, 2020</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6"/>
        </w:trPr>
        <w:tc>
          <w:tcPr>
            <w:tcW w:w="3680" w:type="dxa"/>
            <w:vAlign w:val="bottom"/>
          </w:tcPr>
          <w:p>
            <w:pPr>
              <w:ind w:left="360"/>
              <w:spacing w:after="0"/>
              <w:rPr>
                <w:sz w:val="20"/>
                <w:szCs w:val="20"/>
                <w:color w:val="auto"/>
              </w:rPr>
            </w:pPr>
            <w:r>
              <w:rPr>
                <w:rFonts w:ascii="Arial" w:cs="Arial" w:eastAsia="Arial" w:hAnsi="Arial"/>
                <w:sz w:val="13"/>
                <w:szCs w:val="13"/>
                <w:color w:val="auto"/>
              </w:rPr>
              <w:t>Investments in trading securities</w:t>
            </w:r>
          </w:p>
        </w:tc>
        <w:tc>
          <w:tcPr>
            <w:tcW w:w="58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69,542</w:t>
            </w:r>
          </w:p>
        </w:tc>
        <w:tc>
          <w:tcPr>
            <w:tcW w:w="8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69,542</w:t>
            </w:r>
          </w:p>
        </w:tc>
      </w:tr>
      <w:tr>
        <w:trPr>
          <w:trHeight w:val="167"/>
        </w:trPr>
        <w:tc>
          <w:tcPr>
            <w:tcW w:w="36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Private investment fund</w:t>
            </w:r>
          </w:p>
        </w:tc>
        <w:tc>
          <w:tcPr>
            <w:tcW w:w="5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66"/>
        </w:trPr>
        <w:tc>
          <w:tcPr>
            <w:tcW w:w="36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Private equity</w:t>
            </w: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3,431</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3,431</w:t>
            </w:r>
          </w:p>
        </w:tc>
      </w:tr>
      <w:tr>
        <w:trPr>
          <w:trHeight w:val="157"/>
        </w:trPr>
        <w:tc>
          <w:tcPr>
            <w:tcW w:w="3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Total assets measured at fair value</w:t>
            </w:r>
          </w:p>
        </w:tc>
        <w:tc>
          <w:tcPr>
            <w:tcW w:w="5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69,542</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3,431</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73,069</w:t>
            </w:r>
          </w:p>
        </w:tc>
      </w:tr>
    </w:tbl>
    <w:p>
      <w:pPr>
        <w:spacing w:after="0" w:line="3" w:lineRule="exact"/>
        <w:rPr>
          <w:sz w:val="20"/>
          <w:szCs w:val="20"/>
          <w:color w:val="auto"/>
        </w:rPr>
      </w:pPr>
    </w:p>
    <w:p>
      <w:pPr>
        <w:ind w:left="180" w:right="80" w:hanging="169"/>
        <w:spacing w:after="0" w:line="244" w:lineRule="auto"/>
        <w:tabs>
          <w:tab w:leader="none" w:pos="122"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Comprised of certain investments measured at fair value using NAV as a practical expedient. The fair value amounts presented in this table are intended to permit reconciliation of the fair value hierarchy to the amounts presented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-165735</wp:posOffset>
            </wp:positionV>
            <wp:extent cx="483616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36160" cy="6350"/>
                    </a:xfrm>
                    <a:prstGeom prst="rect">
                      <a:avLst/>
                    </a:prstGeom>
                    <a:noFill/>
                  </pic:spPr>
                </pic:pic>
              </a:graphicData>
            </a:graphic>
          </wp:anchor>
        </w:drawing>
      </w:r>
    </w:p>
    <w:p>
      <w:pPr>
        <w:spacing w:after="0" w:line="111" w:lineRule="exact"/>
        <w:rPr>
          <w:sz w:val="20"/>
          <w:szCs w:val="20"/>
          <w:color w:val="auto"/>
        </w:rPr>
      </w:pPr>
    </w:p>
    <w:p>
      <w:pPr>
        <w:jc w:val="both"/>
        <w:ind w:right="40" w:firstLine="353"/>
        <w:spacing w:after="0" w:line="263" w:lineRule="auto"/>
        <w:rPr>
          <w:sz w:val="20"/>
          <w:szCs w:val="20"/>
          <w:color w:val="auto"/>
        </w:rPr>
      </w:pPr>
      <w:r>
        <w:rPr>
          <w:rFonts w:ascii="Arial" w:cs="Arial" w:eastAsia="Arial" w:hAnsi="Arial"/>
          <w:sz w:val="13"/>
          <w:szCs w:val="13"/>
          <w:color w:val="auto"/>
        </w:rPr>
        <w:t>Our investment in Charis is included within Level 3 of the fair value hierarchy as we value it utilizing inputs not observable in the market. Our investment is measured at fair value on a recurring basis using a market approach based on a price to tangible book value multiple range determined to be reasonable in the current environment, or market transactions. Management believes this valuation methodology is consistent with the banking industry and we will evaluate our methodology and inputs on a quarterly basis.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9" w:name="page60"/>
    <w:bookmarkEnd w:id="59"/>
    <w:p>
      <w:pPr>
        <w:jc w:val="center"/>
        <w:ind w:right="-1"/>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17" w:lineRule="exact"/>
        <w:rPr>
          <w:sz w:val="20"/>
          <w:szCs w:val="20"/>
          <w:color w:val="auto"/>
        </w:rPr>
      </w:pPr>
    </w:p>
    <w:p>
      <w:pPr>
        <w:ind w:left="362"/>
        <w:spacing w:after="0"/>
        <w:rPr>
          <w:sz w:val="20"/>
          <w:szCs w:val="20"/>
          <w:color w:val="auto"/>
        </w:rPr>
      </w:pPr>
      <w:r>
        <w:rPr>
          <w:rFonts w:ascii="Arial" w:cs="Arial" w:eastAsia="Arial" w:hAnsi="Arial"/>
          <w:sz w:val="13"/>
          <w:szCs w:val="13"/>
          <w:color w:val="auto"/>
        </w:rPr>
        <w:t>The following table summarizes the changes in Level 3 investments measured at fair value on a recurring basis for the periods presented (in thousands):</w:t>
      </w:r>
    </w:p>
    <w:p>
      <w:pPr>
        <w:spacing w:after="0" w:line="37"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8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7"/>
              </w:rPr>
              <w:t>Years ended December 31,</w:t>
            </w:r>
          </w:p>
        </w:tc>
        <w:tc>
          <w:tcPr>
            <w:tcW w:w="720" w:type="dxa"/>
            <w:vAlign w:val="bottom"/>
            <w:tcBorders>
              <w:bottom w:val="single" w:sz="8" w:color="auto"/>
            </w:tcBorders>
          </w:tcPr>
          <w:p>
            <w:pPr>
              <w:spacing w:after="0"/>
              <w:rPr>
                <w:sz w:val="13"/>
                <w:szCs w:val="13"/>
                <w:color w:val="auto"/>
              </w:rPr>
            </w:pPr>
          </w:p>
        </w:tc>
      </w:tr>
      <w:tr>
        <w:trPr>
          <w:trHeight w:val="147"/>
        </w:trPr>
        <w:tc>
          <w:tcPr>
            <w:tcW w:w="8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16"/>
              <w:spacing w:after="0"/>
              <w:rPr>
                <w:sz w:val="20"/>
                <w:szCs w:val="20"/>
                <w:color w:val="auto"/>
              </w:rPr>
            </w:pPr>
            <w:r>
              <w:rPr>
                <w:rFonts w:ascii="Arial" w:cs="Arial" w:eastAsia="Arial" w:hAnsi="Arial"/>
                <w:sz w:val="12"/>
                <w:szCs w:val="12"/>
                <w:b w:val="1"/>
                <w:bCs w:val="1"/>
                <w:color w:val="auto"/>
                <w:w w:val="82"/>
              </w:rPr>
              <w:t>2020</w:t>
            </w:r>
          </w:p>
        </w:tc>
      </w:tr>
      <w:tr>
        <w:trPr>
          <w:trHeight w:val="159"/>
        </w:trPr>
        <w:tc>
          <w:tcPr>
            <w:tcW w:w="81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Beginning balance</w:t>
            </w:r>
          </w:p>
        </w:tc>
        <w:tc>
          <w:tcPr>
            <w:tcW w:w="1080" w:type="dxa"/>
            <w:vAlign w:val="bottom"/>
            <w:shd w:val="clear" w:color="auto" w:fill="CCEEFF"/>
          </w:tcPr>
          <w:p>
            <w:pPr>
              <w:jc w:val="right"/>
              <w:ind w:right="597"/>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15"/>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3,975</w:t>
            </w:r>
          </w:p>
        </w:tc>
      </w:tr>
      <w:tr>
        <w:trPr>
          <w:trHeight w:val="166"/>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Net change in unrealized appreciation (depreciation) on private investments</w:t>
            </w:r>
          </w:p>
        </w:tc>
        <w:tc>
          <w:tcPr>
            <w:tcW w:w="10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w:t>
            </w:r>
          </w:p>
        </w:tc>
      </w:tr>
      <w:tr>
        <w:trPr>
          <w:trHeight w:val="176"/>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Ending balance</w:t>
            </w:r>
          </w:p>
        </w:tc>
        <w:tc>
          <w:tcPr>
            <w:tcW w:w="108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4,369</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3,431</w:t>
            </w:r>
          </w:p>
        </w:tc>
      </w:tr>
    </w:tbl>
    <w:p>
      <w:pPr>
        <w:spacing w:after="0" w:line="393" w:lineRule="exact"/>
        <w:rPr>
          <w:sz w:val="20"/>
          <w:szCs w:val="20"/>
          <w:color w:val="auto"/>
        </w:rPr>
      </w:pPr>
    </w:p>
    <w:p>
      <w:pPr>
        <w:ind w:left="2" w:right="260" w:firstLine="353"/>
        <w:spacing w:after="0" w:line="263" w:lineRule="auto"/>
        <w:rPr>
          <w:sz w:val="20"/>
          <w:szCs w:val="20"/>
          <w:color w:val="auto"/>
        </w:rPr>
      </w:pPr>
      <w:r>
        <w:rPr>
          <w:rFonts w:ascii="Arial" w:cs="Arial" w:eastAsia="Arial" w:hAnsi="Arial"/>
          <w:sz w:val="13"/>
          <w:szCs w:val="13"/>
          <w:color w:val="auto"/>
        </w:rPr>
        <w:t>The December 31, 2021 private investment fair value of $4.4 million was valued using a market approach based on a price to tangible book value multiple, with unobservable book value multiples ranging from $1.41 to $2.57 per share, with a weighted average of $1.60 per share. Significant increases (decreases) in book value multiples in isolation would have resulted in a significantly higher (lower) fair value measurement.</w:t>
      </w:r>
    </w:p>
    <w:p>
      <w:pPr>
        <w:spacing w:after="0" w:line="308" w:lineRule="exact"/>
        <w:rPr>
          <w:sz w:val="20"/>
          <w:szCs w:val="20"/>
          <w:color w:val="auto"/>
        </w:rPr>
      </w:pPr>
    </w:p>
    <w:p>
      <w:pPr>
        <w:ind w:left="2" w:right="9680" w:hanging="2"/>
        <w:spacing w:after="0" w:line="380" w:lineRule="auto"/>
        <w:tabs>
          <w:tab w:leader="none" w:pos="132"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BENEFITS: Restricted Stock Awards</w:t>
      </w:r>
    </w:p>
    <w:p>
      <w:pPr>
        <w:spacing w:after="0" w:line="1" w:lineRule="exact"/>
        <w:rPr>
          <w:sz w:val="20"/>
          <w:szCs w:val="20"/>
          <w:color w:val="auto"/>
        </w:rPr>
      </w:pPr>
    </w:p>
    <w:p>
      <w:pPr>
        <w:ind w:left="2" w:right="80" w:firstLine="353"/>
        <w:spacing w:after="0" w:line="321" w:lineRule="auto"/>
        <w:rPr>
          <w:sz w:val="20"/>
          <w:szCs w:val="20"/>
          <w:color w:val="auto"/>
        </w:rPr>
      </w:pPr>
      <w:r>
        <w:rPr>
          <w:rFonts w:ascii="Arial" w:cs="Arial" w:eastAsia="Arial" w:hAnsi="Arial"/>
          <w:sz w:val="11"/>
          <w:szCs w:val="11"/>
          <w:color w:val="auto"/>
        </w:rPr>
        <w:t>We have issued restricted shares to certain employees and non-employee directors. The Eighth Amended and Restated Westwood Holdings Group, Inc. Stock Incentive Plan ("the Plan") reserves shares of Westwood common stock for issuance to eligible employees, directors and consultants of Westwood or its subsidiaries in the form of restricted stock and stock options. In April 2021, stockholders approved an additional 250,000 shares to be authorized under the Plan, increasing the total number of shares issuable under the Plan (including predecessor plans to the Plan) to 5,648,100 shares. In the event of a change in control of Westwood, the Plan contains provisions providing for the acceleration of the vesting of restricted stock. At December 31, 2021, approximately 776,000 shares remain available for issuance under the Plan.</w:t>
      </w:r>
    </w:p>
    <w:p>
      <w:pPr>
        <w:spacing w:after="0" w:line="29" w:lineRule="exact"/>
        <w:rPr>
          <w:sz w:val="20"/>
          <w:szCs w:val="20"/>
          <w:color w:val="auto"/>
        </w:rPr>
      </w:pPr>
    </w:p>
    <w:p>
      <w:pPr>
        <w:ind w:left="362"/>
        <w:spacing w:after="0"/>
        <w:rPr>
          <w:sz w:val="20"/>
          <w:szCs w:val="20"/>
          <w:color w:val="auto"/>
        </w:rPr>
      </w:pPr>
      <w:r>
        <w:rPr>
          <w:rFonts w:ascii="Arial" w:cs="Arial" w:eastAsia="Arial" w:hAnsi="Arial"/>
          <w:sz w:val="11"/>
          <w:szCs w:val="11"/>
          <w:color w:val="auto"/>
        </w:rPr>
        <w:t>The following table presents the total stock-based compensation expense recorded and the total income tax benefit recognized for stock-based compensation arrangements for the years indicated (in thousands):</w:t>
      </w:r>
    </w:p>
    <w:p>
      <w:pPr>
        <w:spacing w:after="0" w:line="69"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67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w w:val="91"/>
              </w:rPr>
              <w:t>For the years ended December 31,</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47"/>
        </w:trPr>
        <w:tc>
          <w:tcPr>
            <w:tcW w:w="67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2019</w:t>
            </w:r>
          </w:p>
        </w:tc>
      </w:tr>
      <w:tr>
        <w:trPr>
          <w:trHeight w:val="149"/>
        </w:trPr>
        <w:tc>
          <w:tcPr>
            <w:tcW w:w="676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Service condition restricted stock expense</w:t>
            </w:r>
          </w:p>
        </w:tc>
        <w:tc>
          <w:tcPr>
            <w:tcW w:w="1060" w:type="dxa"/>
            <w:vAlign w:val="bottom"/>
            <w:shd w:val="clear" w:color="auto" w:fill="CCEEFF"/>
          </w:tcPr>
          <w:p>
            <w:pPr>
              <w:jc w:val="right"/>
              <w:ind w:right="579"/>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7,240</w:t>
            </w:r>
          </w:p>
        </w:tc>
      </w:tr>
      <w:tr>
        <w:trPr>
          <w:trHeight w:val="166"/>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Performance-based restricted stock expense</w:t>
            </w: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581</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2,388</w:t>
            </w:r>
          </w:p>
        </w:tc>
      </w:tr>
      <w:tr>
        <w:trPr>
          <w:trHeight w:val="147"/>
        </w:trPr>
        <w:tc>
          <w:tcPr>
            <w:tcW w:w="676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Restricted stock expense under the Plan</w:t>
            </w: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9,628</w:t>
            </w:r>
          </w:p>
        </w:tc>
      </w:tr>
      <w:tr>
        <w:trPr>
          <w:trHeight w:val="166"/>
        </w:trPr>
        <w:tc>
          <w:tcPr>
            <w:tcW w:w="6760" w:type="dxa"/>
            <w:vAlign w:val="bottom"/>
          </w:tcPr>
          <w:p>
            <w:pPr>
              <w:ind w:left="360"/>
              <w:spacing w:after="0"/>
              <w:rPr>
                <w:sz w:val="20"/>
                <w:szCs w:val="20"/>
                <w:color w:val="auto"/>
              </w:rPr>
            </w:pPr>
            <w:r>
              <w:rPr>
                <w:rFonts w:ascii="Arial" w:cs="Arial" w:eastAsia="Arial" w:hAnsi="Arial"/>
                <w:sz w:val="13"/>
                <w:szCs w:val="13"/>
                <w:color w:val="auto"/>
              </w:rPr>
              <w:t>Canadian Plan restricted stock expense</w:t>
            </w:r>
          </w:p>
        </w:tc>
        <w:tc>
          <w:tcPr>
            <w:tcW w:w="10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677</w:t>
            </w:r>
          </w:p>
        </w:tc>
      </w:tr>
      <w:tr>
        <w:trPr>
          <w:trHeight w:val="167"/>
        </w:trPr>
        <w:tc>
          <w:tcPr>
            <w:tcW w:w="6760" w:type="dxa"/>
            <w:vAlign w:val="bottom"/>
            <w:tcBorders>
              <w:top w:val="single" w:sz="8" w:color="CCEEFF"/>
              <w:bottom w:val="single" w:sz="8" w:color="CCEEFF"/>
            </w:tcBorders>
            <w:shd w:val="clear" w:color="auto" w:fill="CCEEFF"/>
          </w:tcPr>
          <w:p>
            <w:pPr>
              <w:ind w:left="360"/>
              <w:spacing w:after="0" w:line="148" w:lineRule="exact"/>
              <w:rPr>
                <w:sz w:val="20"/>
                <w:szCs w:val="20"/>
                <w:color w:val="auto"/>
              </w:rPr>
            </w:pPr>
            <w:r>
              <w:rPr>
                <w:rFonts w:ascii="Arial" w:cs="Arial" w:eastAsia="Arial" w:hAnsi="Arial"/>
                <w:sz w:val="13"/>
                <w:szCs w:val="13"/>
                <w:color w:val="auto"/>
              </w:rPr>
              <w:t>Total stock-based compensation expense</w:t>
            </w:r>
          </w:p>
        </w:tc>
        <w:tc>
          <w:tcPr>
            <w:tcW w:w="106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10,305</w:t>
            </w:r>
          </w:p>
        </w:tc>
      </w:tr>
      <w:tr>
        <w:trPr>
          <w:trHeight w:val="156"/>
        </w:trPr>
        <w:tc>
          <w:tcPr>
            <w:tcW w:w="6760" w:type="dxa"/>
            <w:vAlign w:val="bottom"/>
          </w:tcPr>
          <w:p>
            <w:pPr>
              <w:ind w:left="360"/>
              <w:spacing w:after="0"/>
              <w:rPr>
                <w:sz w:val="20"/>
                <w:szCs w:val="20"/>
                <w:color w:val="auto"/>
              </w:rPr>
            </w:pPr>
            <w:r>
              <w:rPr>
                <w:rFonts w:ascii="Arial" w:cs="Arial" w:eastAsia="Arial" w:hAnsi="Arial"/>
                <w:sz w:val="13"/>
                <w:szCs w:val="13"/>
                <w:color w:val="auto"/>
              </w:rPr>
              <w:t>Total income tax benefit recognized related to stock-based compensation</w:t>
            </w:r>
          </w:p>
        </w:tc>
        <w:tc>
          <w:tcPr>
            <w:tcW w:w="1060" w:type="dxa"/>
            <w:vAlign w:val="bottom"/>
          </w:tcPr>
          <w:p>
            <w:pPr>
              <w:jc w:val="right"/>
              <w:ind w:right="579"/>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804</w:t>
            </w:r>
          </w:p>
        </w:tc>
        <w:tc>
          <w:tcPr>
            <w:tcW w:w="100" w:type="dxa"/>
            <w:vAlign w:val="bottom"/>
          </w:tcPr>
          <w:p>
            <w:pPr>
              <w:spacing w:after="0"/>
              <w:rPr>
                <w:sz w:val="13"/>
                <w:szCs w:val="13"/>
                <w:color w:val="auto"/>
              </w:rPr>
            </w:pPr>
          </w:p>
        </w:tc>
        <w:tc>
          <w:tcPr>
            <w:tcW w:w="6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953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1,932</w:t>
            </w:r>
          </w:p>
        </w:tc>
      </w:tr>
    </w:tbl>
    <w:p>
      <w:pPr>
        <w:spacing w:after="0" w:line="125"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Restricted Stock</w:t>
      </w:r>
    </w:p>
    <w:p>
      <w:pPr>
        <w:spacing w:after="0" w:line="90" w:lineRule="exact"/>
        <w:rPr>
          <w:sz w:val="20"/>
          <w:szCs w:val="20"/>
          <w:color w:val="auto"/>
        </w:rPr>
      </w:pPr>
    </w:p>
    <w:p>
      <w:pPr>
        <w:ind w:left="2" w:right="100" w:firstLine="353"/>
        <w:spacing w:after="0" w:line="257" w:lineRule="auto"/>
        <w:rPr>
          <w:sz w:val="20"/>
          <w:szCs w:val="20"/>
          <w:color w:val="auto"/>
        </w:rPr>
      </w:pPr>
      <w:r>
        <w:rPr>
          <w:rFonts w:ascii="Arial" w:cs="Arial" w:eastAsia="Arial" w:hAnsi="Arial"/>
          <w:sz w:val="13"/>
          <w:szCs w:val="13"/>
          <w:color w:val="auto"/>
        </w:rPr>
        <w:t>Under the Plan, we have granted to certain employees and non-employee directors restricted stock subject to service conditions and to certain key employees restricted stock subject to both service and performance conditions. We accrue dividends on unvested restricted stock, which are due and payable upon vesting of restricted stock. Accrued dividends coming due within the next twelve months are included in “Dividends payable” on the Consolidated Balance Sheets, with the remaining noncurrent portion of accrued dividends included in “Accrued dividends” on the Consolidated Balance Sheets. At December 31, 2021, we had $1.8 million and $1.1 million in "Dividends payable" and "Accrued dividends", respectively, and the Dividends payable were related to unvested restricted stock. At December 31, 2020, we had $0.8 million and $0.5 million in Dividends payable and Accrued dividends, respectively.</w:t>
      </w:r>
    </w:p>
    <w:p>
      <w:pPr>
        <w:spacing w:after="0" w:line="62" w:lineRule="exact"/>
        <w:rPr>
          <w:sz w:val="20"/>
          <w:szCs w:val="20"/>
          <w:color w:val="auto"/>
        </w:rPr>
      </w:pPr>
    </w:p>
    <w:p>
      <w:pPr>
        <w:jc w:val="both"/>
        <w:ind w:left="2" w:firstLine="353"/>
        <w:spacing w:after="0" w:line="263" w:lineRule="auto"/>
        <w:rPr>
          <w:sz w:val="20"/>
          <w:szCs w:val="20"/>
          <w:color w:val="auto"/>
        </w:rPr>
      </w:pPr>
      <w:r>
        <w:rPr>
          <w:rFonts w:ascii="Arial" w:cs="Arial" w:eastAsia="Arial" w:hAnsi="Arial"/>
          <w:sz w:val="13"/>
          <w:szCs w:val="13"/>
          <w:color w:val="auto"/>
        </w:rPr>
        <w:t>As of December 31, 2021, there was approximately $6.8 million of unrecognized compensation cost for restricted stock grants under the Plan, which we expect to recognize over a weighted-average period of 1 year. In order to satisfy tax liabilities that employees will owe on shares that vest, we may withhold a sufficient number of vested shares from employees on the date vesting occurs to cover minimum tax withholding requirements. We withheld 51,359 shares in 2021 for this purpose. Our two types of restricted stock grants under the Plan are discussed below.</w:t>
      </w:r>
    </w:p>
    <w:p>
      <w:pPr>
        <w:spacing w:after="0" w:line="5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Restricted Stock Subject Only to a Service Condition</w:t>
      </w:r>
    </w:p>
    <w:p>
      <w:pPr>
        <w:spacing w:after="0" w:line="200" w:lineRule="exact"/>
        <w:rPr>
          <w:sz w:val="20"/>
          <w:szCs w:val="20"/>
          <w:color w:val="auto"/>
        </w:rPr>
      </w:pP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right="60" w:firstLine="353"/>
        <w:spacing w:after="0" w:line="263" w:lineRule="auto"/>
        <w:rPr>
          <w:sz w:val="20"/>
          <w:szCs w:val="20"/>
          <w:color w:val="auto"/>
        </w:rPr>
      </w:pPr>
      <w:r>
        <w:rPr>
          <w:rFonts w:ascii="Arial" w:cs="Arial" w:eastAsia="Arial" w:hAnsi="Arial"/>
          <w:sz w:val="13"/>
          <w:szCs w:val="13"/>
          <w:color w:val="auto"/>
        </w:rPr>
        <w:t>For the years ended December 31, 2021, 2020 and 2019, we granted restricted stock to certain employees and non-employee directors. Employee shares generally vest over three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details the status and changes in our restricted stock grants that are subject only to a service condition for the year ended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60" w:type="dxa"/>
            <w:vAlign w:val="bottom"/>
          </w:tcPr>
          <w:p>
            <w:pPr>
              <w:jc w:val="center"/>
              <w:ind w:right="142"/>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98"/>
        </w:trPr>
        <w:tc>
          <w:tcPr>
            <w:tcW w:w="8140" w:type="dxa"/>
            <w:vAlign w:val="bottom"/>
          </w:tcPr>
          <w:p>
            <w:pPr>
              <w:spacing w:after="0"/>
              <w:rPr>
                <w:sz w:val="8"/>
                <w:szCs w:val="8"/>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rPr>
              <w:t>Number of Shares</w:t>
            </w:r>
          </w:p>
        </w:tc>
        <w:tc>
          <w:tcPr>
            <w:tcW w:w="560" w:type="dxa"/>
            <w:vAlign w:val="bottom"/>
          </w:tcPr>
          <w:p>
            <w:pPr>
              <w:spacing w:after="0"/>
              <w:rPr>
                <w:sz w:val="8"/>
                <w:szCs w:val="8"/>
                <w:color w:val="auto"/>
              </w:rPr>
            </w:pPr>
          </w:p>
        </w:tc>
        <w:tc>
          <w:tcPr>
            <w:tcW w:w="1260" w:type="dxa"/>
            <w:vAlign w:val="bottom"/>
          </w:tcPr>
          <w:p>
            <w:pPr>
              <w:jc w:val="center"/>
              <w:ind w:right="142"/>
              <w:spacing w:after="0" w:line="98" w:lineRule="exact"/>
              <w:rPr>
                <w:sz w:val="20"/>
                <w:szCs w:val="20"/>
                <w:color w:val="auto"/>
              </w:rPr>
            </w:pPr>
            <w:r>
              <w:rPr>
                <w:rFonts w:ascii="Arial" w:cs="Arial" w:eastAsia="Arial" w:hAnsi="Arial"/>
                <w:sz w:val="10"/>
                <w:szCs w:val="10"/>
                <w:b w:val="1"/>
                <w:bCs w:val="1"/>
                <w:color w:val="auto"/>
              </w:rPr>
              <w:t>Grant Date Fair</w:t>
            </w:r>
          </w:p>
        </w:tc>
        <w:tc>
          <w:tcPr>
            <w:tcW w:w="0" w:type="dxa"/>
            <w:vAlign w:val="bottom"/>
          </w:tcPr>
          <w:p>
            <w:pPr>
              <w:spacing w:after="0"/>
              <w:rPr>
                <w:sz w:val="1"/>
                <w:szCs w:val="1"/>
                <w:color w:val="auto"/>
              </w:rPr>
            </w:pPr>
          </w:p>
        </w:tc>
      </w:tr>
      <w:tr>
        <w:trPr>
          <w:trHeight w:val="136"/>
        </w:trPr>
        <w:tc>
          <w:tcPr>
            <w:tcW w:w="8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tcPr>
          <w:p>
            <w:pPr>
              <w:jc w:val="center"/>
              <w:ind w:right="142"/>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48"/>
        </w:trPr>
        <w:tc>
          <w:tcPr>
            <w:tcW w:w="8140" w:type="dxa"/>
            <w:vAlign w:val="bottom"/>
            <w:tcBorders>
              <w:top w:val="single" w:sz="8" w:color="CCEEFF"/>
            </w:tcBorders>
            <w:shd w:val="clear" w:color="auto" w:fill="CCEEFF"/>
          </w:tcPr>
          <w:p>
            <w:pPr>
              <w:ind w:left="360"/>
              <w:spacing w:after="0" w:line="147" w:lineRule="exact"/>
              <w:rPr>
                <w:sz w:val="20"/>
                <w:szCs w:val="20"/>
                <w:color w:val="auto"/>
              </w:rPr>
            </w:pPr>
            <w:r>
              <w:rPr>
                <w:rFonts w:ascii="Arial" w:cs="Arial" w:eastAsia="Arial" w:hAnsi="Arial"/>
                <w:sz w:val="13"/>
                <w:szCs w:val="13"/>
                <w:color w:val="auto"/>
              </w:rPr>
              <w:t>Non-vested, January 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449,603</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36.15</w:t>
            </w:r>
          </w:p>
        </w:tc>
        <w:tc>
          <w:tcPr>
            <w:tcW w:w="0" w:type="dxa"/>
            <w:vAlign w:val="bottom"/>
          </w:tcPr>
          <w:p>
            <w:pPr>
              <w:spacing w:after="0"/>
              <w:rPr>
                <w:sz w:val="1"/>
                <w:szCs w:val="1"/>
                <w:color w:val="auto"/>
              </w:rPr>
            </w:pPr>
          </w:p>
        </w:tc>
      </w:tr>
      <w:tr>
        <w:trPr>
          <w:trHeight w:val="166"/>
        </w:trPr>
        <w:tc>
          <w:tcPr>
            <w:tcW w:w="8140" w:type="dxa"/>
            <w:vAlign w:val="bottom"/>
          </w:tcPr>
          <w:p>
            <w:pPr>
              <w:ind w:left="600"/>
              <w:spacing w:after="0"/>
              <w:rPr>
                <w:sz w:val="20"/>
                <w:szCs w:val="20"/>
                <w:color w:val="auto"/>
              </w:rPr>
            </w:pPr>
            <w:r>
              <w:rPr>
                <w:rFonts w:ascii="Arial" w:cs="Arial" w:eastAsia="Arial" w:hAnsi="Arial"/>
                <w:sz w:val="13"/>
                <w:szCs w:val="13"/>
                <w:color w:val="auto"/>
              </w:rPr>
              <w:t>Granted</w:t>
            </w:r>
          </w:p>
        </w:tc>
        <w:tc>
          <w:tcPr>
            <w:tcW w:w="1220" w:type="dxa"/>
            <w:vAlign w:val="bottom"/>
          </w:tcPr>
          <w:p>
            <w:pPr>
              <w:jc w:val="right"/>
              <w:spacing w:after="0"/>
              <w:rPr>
                <w:sz w:val="20"/>
                <w:szCs w:val="20"/>
                <w:color w:val="auto"/>
              </w:rPr>
            </w:pPr>
            <w:r>
              <w:rPr>
                <w:rFonts w:ascii="Arial" w:cs="Arial" w:eastAsia="Arial" w:hAnsi="Arial"/>
                <w:sz w:val="12"/>
                <w:szCs w:val="12"/>
                <w:color w:val="auto"/>
              </w:rPr>
              <w:t>181,403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17.10</w:t>
            </w:r>
          </w:p>
        </w:tc>
        <w:tc>
          <w:tcPr>
            <w:tcW w:w="0" w:type="dxa"/>
            <w:vAlign w:val="bottom"/>
          </w:tcPr>
          <w:p>
            <w:pPr>
              <w:spacing w:after="0"/>
              <w:rPr>
                <w:sz w:val="1"/>
                <w:szCs w:val="1"/>
                <w:color w:val="auto"/>
              </w:rPr>
            </w:pPr>
          </w:p>
        </w:tc>
      </w:tr>
      <w:tr>
        <w:trPr>
          <w:trHeight w:val="167"/>
        </w:trPr>
        <w:tc>
          <w:tcPr>
            <w:tcW w:w="81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(192,204)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39.70</w:t>
            </w:r>
          </w:p>
        </w:tc>
        <w:tc>
          <w:tcPr>
            <w:tcW w:w="0" w:type="dxa"/>
            <w:vAlign w:val="bottom"/>
          </w:tcPr>
          <w:p>
            <w:pPr>
              <w:spacing w:after="0"/>
              <w:rPr>
                <w:sz w:val="1"/>
                <w:szCs w:val="1"/>
                <w:color w:val="auto"/>
              </w:rPr>
            </w:pPr>
          </w:p>
        </w:tc>
      </w:tr>
      <w:tr>
        <w:trPr>
          <w:trHeight w:val="166"/>
        </w:trPr>
        <w:tc>
          <w:tcPr>
            <w:tcW w:w="8140" w:type="dxa"/>
            <w:vAlign w:val="bottom"/>
            <w:tcBorders>
              <w:bottom w:val="single" w:sz="8" w:color="CCEEFF"/>
            </w:tcBorders>
          </w:tcPr>
          <w:p>
            <w:pPr>
              <w:ind w:left="600"/>
              <w:spacing w:after="0"/>
              <w:rPr>
                <w:sz w:val="20"/>
                <w:szCs w:val="20"/>
                <w:color w:val="auto"/>
              </w:rPr>
            </w:pPr>
            <w:r>
              <w:rPr>
                <w:rFonts w:ascii="Arial" w:cs="Arial" w:eastAsia="Arial" w:hAnsi="Arial"/>
                <w:sz w:val="13"/>
                <w:szCs w:val="13"/>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(23,308)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34.48</w:t>
            </w:r>
          </w:p>
        </w:tc>
        <w:tc>
          <w:tcPr>
            <w:tcW w:w="0" w:type="dxa"/>
            <w:vAlign w:val="bottom"/>
          </w:tcPr>
          <w:p>
            <w:pPr>
              <w:spacing w:after="0"/>
              <w:rPr>
                <w:sz w:val="1"/>
                <w:szCs w:val="1"/>
                <w:color w:val="auto"/>
              </w:rPr>
            </w:pPr>
          </w:p>
        </w:tc>
      </w:tr>
      <w:tr>
        <w:trPr>
          <w:trHeight w:val="166"/>
        </w:trPr>
        <w:tc>
          <w:tcPr>
            <w:tcW w:w="8140" w:type="dxa"/>
            <w:vAlign w:val="bottom"/>
            <w:tcBorders>
              <w:bottom w:val="single" w:sz="8" w:color="CCEEFF"/>
            </w:tcBorders>
            <w:shd w:val="clear" w:color="auto" w:fill="CCEEFF"/>
          </w:tcPr>
          <w:p>
            <w:pPr>
              <w:ind w:left="360"/>
              <w:spacing w:after="0" w:line="148" w:lineRule="exact"/>
              <w:rPr>
                <w:sz w:val="20"/>
                <w:szCs w:val="20"/>
                <w:color w:val="auto"/>
              </w:rPr>
            </w:pPr>
            <w:r>
              <w:rPr>
                <w:rFonts w:ascii="Arial" w:cs="Arial" w:eastAsia="Arial" w:hAnsi="Arial"/>
                <w:sz w:val="13"/>
                <w:szCs w:val="13"/>
                <w:color w:val="auto"/>
              </w:rPr>
              <w:t>Non-vested, December 31, 2021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415,494</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26.29</w:t>
            </w: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shows the weighted-average grant date fair value for shares granted and the total fair value of shares vested during the years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40"/>
              <w:spacing w:after="0"/>
              <w:rPr>
                <w:sz w:val="20"/>
                <w:szCs w:val="20"/>
                <w:color w:val="auto"/>
              </w:rPr>
            </w:pPr>
            <w:r>
              <w:rPr>
                <w:rFonts w:ascii="Arial" w:cs="Arial" w:eastAsia="Arial" w:hAnsi="Arial"/>
                <w:sz w:val="12"/>
                <w:szCs w:val="12"/>
                <w:b w:val="1"/>
                <w:bCs w:val="1"/>
                <w:color w:val="auto"/>
                <w:w w:val="96"/>
              </w:rPr>
              <w:t>Years ended December 31,</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47"/>
        </w:trPr>
        <w:tc>
          <w:tcPr>
            <w:tcW w:w="67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2019</w:t>
            </w:r>
          </w:p>
        </w:tc>
      </w:tr>
      <w:tr>
        <w:trPr>
          <w:trHeight w:val="149"/>
        </w:trPr>
        <w:tc>
          <w:tcPr>
            <w:tcW w:w="676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Weighted-average grant date fair value</w:t>
            </w:r>
          </w:p>
        </w:tc>
        <w:tc>
          <w:tcPr>
            <w:tcW w:w="1060" w:type="dxa"/>
            <w:vAlign w:val="bottom"/>
            <w:shd w:val="clear" w:color="auto" w:fill="CCEEFF"/>
          </w:tcPr>
          <w:p>
            <w:pPr>
              <w:jc w:val="right"/>
              <w:ind w:right="579"/>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17.10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38.64</w:t>
            </w:r>
          </w:p>
        </w:tc>
      </w:tr>
      <w:tr>
        <w:trPr>
          <w:trHeight w:val="165"/>
        </w:trPr>
        <w:tc>
          <w:tcPr>
            <w:tcW w:w="6760" w:type="dxa"/>
            <w:vAlign w:val="bottom"/>
          </w:tcPr>
          <w:p>
            <w:pPr>
              <w:ind w:left="360"/>
              <w:spacing w:after="0"/>
              <w:rPr>
                <w:sz w:val="20"/>
                <w:szCs w:val="20"/>
                <w:color w:val="auto"/>
              </w:rPr>
            </w:pPr>
            <w:r>
              <w:rPr>
                <w:rFonts w:ascii="Arial" w:cs="Arial" w:eastAsia="Arial" w:hAnsi="Arial"/>
                <w:sz w:val="13"/>
                <w:szCs w:val="13"/>
                <w:color w:val="auto"/>
              </w:rPr>
              <w:t>Fair value of shares vested (in thousands)</w:t>
            </w:r>
          </w:p>
        </w:tc>
        <w:tc>
          <w:tcPr>
            <w:tcW w:w="1060" w:type="dxa"/>
            <w:vAlign w:val="bottom"/>
          </w:tcPr>
          <w:p>
            <w:pPr>
              <w:jc w:val="right"/>
              <w:ind w:right="579"/>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7,630</w:t>
            </w:r>
          </w:p>
        </w:tc>
        <w:tc>
          <w:tcPr>
            <w:tcW w:w="100" w:type="dxa"/>
            <w:vAlign w:val="bottom"/>
          </w:tcPr>
          <w:p>
            <w:pPr>
              <w:spacing w:after="0"/>
              <w:rPr>
                <w:sz w:val="14"/>
                <w:szCs w:val="14"/>
                <w:color w:val="auto"/>
              </w:rPr>
            </w:pPr>
          </w:p>
        </w:tc>
        <w:tc>
          <w:tcPr>
            <w:tcW w:w="6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7,480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9,273</w:t>
            </w:r>
          </w:p>
        </w:tc>
      </w:tr>
    </w:tbl>
    <w:p>
      <w:pPr>
        <w:spacing w:after="0" w:line="3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Restricted Stock Subject to Service and Performance Conditions</w:t>
      </w:r>
    </w:p>
    <w:p>
      <w:pPr>
        <w:spacing w:after="0" w:line="86" w:lineRule="exact"/>
        <w:rPr>
          <w:sz w:val="20"/>
          <w:szCs w:val="20"/>
          <w:color w:val="auto"/>
        </w:rPr>
      </w:pPr>
    </w:p>
    <w:p>
      <w:pPr>
        <w:ind w:right="120" w:firstLine="353"/>
        <w:spacing w:after="0" w:line="315" w:lineRule="auto"/>
        <w:rPr>
          <w:sz w:val="20"/>
          <w:szCs w:val="20"/>
          <w:color w:val="auto"/>
        </w:rPr>
      </w:pPr>
      <w:r>
        <w:rPr>
          <w:rFonts w:ascii="Arial" w:cs="Arial" w:eastAsia="Arial" w:hAnsi="Arial"/>
          <w:sz w:val="11"/>
          <w:szCs w:val="11"/>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details the status and changes in our restricted stock grants subject to service and performance conditions for the year ended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left="63"/>
              <w:spacing w:after="0"/>
              <w:rPr>
                <w:sz w:val="20"/>
                <w:szCs w:val="20"/>
                <w:color w:val="auto"/>
              </w:rPr>
            </w:pPr>
            <w:r>
              <w:rPr>
                <w:rFonts w:ascii="Arial" w:cs="Arial" w:eastAsia="Arial" w:hAnsi="Arial"/>
                <w:sz w:val="10"/>
                <w:szCs w:val="10"/>
                <w:b w:val="1"/>
                <w:bCs w:val="1"/>
                <w:color w:val="auto"/>
                <w:w w:val="91"/>
              </w:rPr>
              <w:t>Weighted Average</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5"/>
              </w:rPr>
              <w:t>Number of Shares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jc w:val="center"/>
              <w:ind w:left="63"/>
              <w:spacing w:after="0" w:line="98" w:lineRule="exact"/>
              <w:rPr>
                <w:sz w:val="20"/>
                <w:szCs w:val="20"/>
                <w:color w:val="auto"/>
              </w:rPr>
            </w:pPr>
            <w:r>
              <w:rPr>
                <w:rFonts w:ascii="Arial" w:cs="Arial" w:eastAsia="Arial" w:hAnsi="Arial"/>
                <w:sz w:val="10"/>
                <w:szCs w:val="10"/>
                <w:b w:val="1"/>
                <w:bCs w:val="1"/>
                <w:color w:val="auto"/>
                <w:w w:val="99"/>
              </w:rPr>
              <w:t>Grant Date Fair</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7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left="63"/>
              <w:spacing w:after="0"/>
              <w:rPr>
                <w:sz w:val="20"/>
                <w:szCs w:val="20"/>
                <w:color w:val="auto"/>
              </w:rPr>
            </w:pPr>
            <w:r>
              <w:rPr>
                <w:rFonts w:ascii="Arial" w:cs="Arial" w:eastAsia="Arial" w:hAnsi="Arial"/>
                <w:sz w:val="10"/>
                <w:szCs w:val="10"/>
                <w:b w:val="1"/>
                <w:bCs w:val="1"/>
                <w:color w:val="auto"/>
                <w:w w:val="89"/>
              </w:rPr>
              <w:t>Value</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Non-vested, January 1, 2021</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45,700</w:t>
            </w:r>
          </w:p>
        </w:tc>
        <w:tc>
          <w:tcPr>
            <w:tcW w:w="1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45.58</w:t>
            </w:r>
          </w:p>
        </w:tc>
        <w:tc>
          <w:tcPr>
            <w:tcW w:w="0" w:type="dxa"/>
            <w:vAlign w:val="bottom"/>
          </w:tcPr>
          <w:p>
            <w:pPr>
              <w:spacing w:after="0"/>
              <w:rPr>
                <w:sz w:val="1"/>
                <w:szCs w:val="1"/>
                <w:color w:val="auto"/>
              </w:rPr>
            </w:pPr>
          </w:p>
        </w:tc>
      </w:tr>
      <w:tr>
        <w:trPr>
          <w:trHeight w:val="166"/>
        </w:trPr>
        <w:tc>
          <w:tcPr>
            <w:tcW w:w="6720" w:type="dxa"/>
            <w:vAlign w:val="bottom"/>
            <w:tcBorders>
              <w:bottom w:val="single" w:sz="8" w:color="CCEEFF"/>
            </w:tcBorders>
          </w:tcPr>
          <w:p>
            <w:pPr>
              <w:ind w:left="600"/>
              <w:spacing w:after="0"/>
              <w:rPr>
                <w:sz w:val="20"/>
                <w:szCs w:val="20"/>
                <w:color w:val="auto"/>
              </w:rPr>
            </w:pPr>
            <w:r>
              <w:rPr>
                <w:rFonts w:ascii="Arial" w:cs="Arial" w:eastAsia="Arial" w:hAnsi="Arial"/>
                <w:sz w:val="13"/>
                <w:szCs w:val="13"/>
                <w:color w:val="auto"/>
              </w:rPr>
              <w:t>Vested</w:t>
            </w: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(28,962)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31.54</w:t>
            </w:r>
          </w:p>
        </w:tc>
        <w:tc>
          <w:tcPr>
            <w:tcW w:w="0" w:type="dxa"/>
            <w:vAlign w:val="bottom"/>
          </w:tcPr>
          <w:p>
            <w:pPr>
              <w:spacing w:after="0"/>
              <w:rPr>
                <w:sz w:val="1"/>
                <w:szCs w:val="1"/>
                <w:color w:val="auto"/>
              </w:rPr>
            </w:pPr>
          </w:p>
        </w:tc>
      </w:tr>
      <w:tr>
        <w:trPr>
          <w:trHeight w:val="166"/>
        </w:trPr>
        <w:tc>
          <w:tcPr>
            <w:tcW w:w="6720" w:type="dxa"/>
            <w:vAlign w:val="bottom"/>
            <w:tcBorders>
              <w:bottom w:val="single" w:sz="8" w:color="CCEEFF"/>
            </w:tcBorders>
            <w:shd w:val="clear" w:color="auto" w:fill="CCEEFF"/>
          </w:tcPr>
          <w:p>
            <w:pPr>
              <w:ind w:left="360"/>
              <w:spacing w:after="0" w:line="148" w:lineRule="exact"/>
              <w:rPr>
                <w:sz w:val="20"/>
                <w:szCs w:val="20"/>
                <w:color w:val="auto"/>
              </w:rPr>
            </w:pPr>
            <w:r>
              <w:rPr>
                <w:rFonts w:ascii="Arial" w:cs="Arial" w:eastAsia="Arial" w:hAnsi="Arial"/>
                <w:sz w:val="13"/>
                <w:szCs w:val="13"/>
                <w:color w:val="auto"/>
              </w:rPr>
              <w:t>Non-vested, December 31, 2021</w:t>
            </w:r>
          </w:p>
        </w:tc>
        <w:tc>
          <w:tcPr>
            <w:tcW w:w="6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16,738</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41.97</w:t>
            </w:r>
          </w:p>
        </w:tc>
        <w:tc>
          <w:tcPr>
            <w:tcW w:w="0" w:type="dxa"/>
            <w:vAlign w:val="bottom"/>
          </w:tcPr>
          <w:p>
            <w:pPr>
              <w:spacing w:after="0"/>
              <w:rPr>
                <w:sz w:val="1"/>
                <w:szCs w:val="1"/>
                <w:color w:val="auto"/>
              </w:rPr>
            </w:pPr>
          </w:p>
        </w:tc>
      </w:tr>
      <w:tr>
        <w:trPr>
          <w:trHeight w:val="557"/>
        </w:trPr>
        <w:tc>
          <w:tcPr>
            <w:tcW w:w="8460" w:type="dxa"/>
            <w:vAlign w:val="bottom"/>
            <w:gridSpan w:val="6"/>
          </w:tcPr>
          <w:p>
            <w:pPr>
              <w:ind w:left="360"/>
              <w:spacing w:after="0"/>
              <w:rPr>
                <w:sz w:val="20"/>
                <w:szCs w:val="20"/>
                <w:color w:val="auto"/>
              </w:rPr>
            </w:pPr>
            <w:r>
              <w:rPr>
                <w:rFonts w:ascii="Arial" w:cs="Arial" w:eastAsia="Arial" w:hAnsi="Arial"/>
                <w:sz w:val="13"/>
                <w:szCs w:val="13"/>
                <w:color w:val="auto"/>
                <w:w w:val="90"/>
              </w:rPr>
              <w:t>The following table shows the weighted-average grant date fair value for shares granted and the total fair value of shares vested during the years indicated: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2"/>
                <w:szCs w:val="12"/>
                <w:b w:val="1"/>
                <w:bCs w:val="1"/>
                <w:color w:val="auto"/>
                <w:w w:val="89"/>
              </w:rPr>
              <w:t>Years ended December 31,</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7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Weighted-average grant date fair value</w:t>
            </w:r>
          </w:p>
        </w:tc>
        <w:tc>
          <w:tcPr>
            <w:tcW w:w="6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37.90</w:t>
            </w:r>
          </w:p>
        </w:tc>
        <w:tc>
          <w:tcPr>
            <w:tcW w:w="0" w:type="dxa"/>
            <w:vAlign w:val="bottom"/>
          </w:tcPr>
          <w:p>
            <w:pPr>
              <w:spacing w:after="0"/>
              <w:rPr>
                <w:sz w:val="1"/>
                <w:szCs w:val="1"/>
                <w:color w:val="auto"/>
              </w:rPr>
            </w:pPr>
          </w:p>
        </w:tc>
      </w:tr>
      <w:tr>
        <w:trPr>
          <w:trHeight w:val="165"/>
        </w:trPr>
        <w:tc>
          <w:tcPr>
            <w:tcW w:w="6720" w:type="dxa"/>
            <w:vAlign w:val="bottom"/>
          </w:tcPr>
          <w:p>
            <w:pPr>
              <w:ind w:left="360"/>
              <w:spacing w:after="0"/>
              <w:rPr>
                <w:sz w:val="20"/>
                <w:szCs w:val="20"/>
                <w:color w:val="auto"/>
              </w:rPr>
            </w:pPr>
            <w:r>
              <w:rPr>
                <w:rFonts w:ascii="Arial" w:cs="Arial" w:eastAsia="Arial" w:hAnsi="Arial"/>
                <w:sz w:val="13"/>
                <w:szCs w:val="13"/>
                <w:color w:val="auto"/>
              </w:rPr>
              <w:t>Fair value of shares vested (in thousands)</w:t>
            </w:r>
          </w:p>
        </w:tc>
        <w:tc>
          <w:tcPr>
            <w:tcW w:w="6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913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8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1,944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43"/>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86"/>
              </w:rPr>
              <w:t>4,515</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Canadian Plan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1" w:name="page62"/>
    <w:bookmarkEnd w:id="61"/>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firstLine="353"/>
        <w:spacing w:after="0" w:line="275" w:lineRule="auto"/>
        <w:rPr>
          <w:sz w:val="20"/>
          <w:szCs w:val="20"/>
          <w:color w:val="auto"/>
        </w:rPr>
      </w:pPr>
      <w:r>
        <w:rPr>
          <w:rFonts w:ascii="Arial" w:cs="Arial" w:eastAsia="Arial" w:hAnsi="Arial"/>
          <w:sz w:val="13"/>
          <w:szCs w:val="13"/>
          <w:color w:val="auto"/>
        </w:rPr>
        <w:t>As discussed in Note 2, the Canadian Plan provided compensation in the form of common stock for services performed by employees of Westwood International Advisors. On July 27, 2020, Westwood’s Board of Directors approved the closure of Westwood International Advisors, effective September 30, 2020.</w:t>
      </w:r>
    </w:p>
    <w:p>
      <w:pPr>
        <w:spacing w:after="0" w:line="49" w:lineRule="exact"/>
        <w:rPr>
          <w:sz w:val="20"/>
          <w:szCs w:val="20"/>
          <w:color w:val="auto"/>
        </w:rPr>
      </w:pPr>
    </w:p>
    <w:p>
      <w:pPr>
        <w:ind w:right="20" w:firstLine="353"/>
        <w:spacing w:after="0" w:line="263" w:lineRule="auto"/>
        <w:rPr>
          <w:sz w:val="20"/>
          <w:szCs w:val="20"/>
          <w:color w:val="auto"/>
        </w:rPr>
      </w:pPr>
      <w:r>
        <w:rPr>
          <w:rFonts w:ascii="Arial" w:cs="Arial" w:eastAsia="Arial" w:hAnsi="Arial"/>
          <w:sz w:val="13"/>
          <w:szCs w:val="13"/>
          <w:color w:val="auto"/>
        </w:rPr>
        <w:t>During the year ended December 31, 2020, the trust formed pursuant to the Canadian Plan purchased 27,474 Westwood common shares in the open market for approximately $0.7 million. The subsequent closure of the Westwood International Advisors office resulted in forfeitures of 56,625 shares, which reduced the Company's expenses by $1.3 million in the year ended December 31, 2020. As of December 31, 2021 and 2020, there is no unrecognized compensation cost related to restricted stock grants under the Canadian Plan.</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Mutual Fund Share Incentive Awards</w:t>
      </w:r>
    </w:p>
    <w:p>
      <w:pPr>
        <w:spacing w:after="0" w:line="90" w:lineRule="exact"/>
        <w:rPr>
          <w:sz w:val="20"/>
          <w:szCs w:val="20"/>
          <w:color w:val="auto"/>
        </w:rPr>
      </w:pPr>
    </w:p>
    <w:p>
      <w:pPr>
        <w:ind w:firstLine="353"/>
        <w:spacing w:after="0" w:line="288" w:lineRule="auto"/>
        <w:rPr>
          <w:sz w:val="20"/>
          <w:szCs w:val="20"/>
          <w:color w:val="auto"/>
        </w:rPr>
      </w:pPr>
      <w:r>
        <w:rPr>
          <w:rFonts w:ascii="Arial" w:cs="Arial" w:eastAsia="Arial" w:hAnsi="Arial"/>
          <w:sz w:val="12"/>
          <w:szCs w:val="12"/>
          <w:color w:val="auto"/>
        </w:rPr>
        <w:t>We may grant mutual fund incentive awards, which are annual bonus awards based on our mutual funds achieving specific performance goals, to specific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Unvested mutual fund awards are included under "Investments, at fair value" on our Consolidated Balance Sheets.</w:t>
      </w:r>
    </w:p>
    <w:p>
      <w:pPr>
        <w:spacing w:after="0" w:line="43" w:lineRule="exact"/>
        <w:rPr>
          <w:sz w:val="20"/>
          <w:szCs w:val="20"/>
          <w:color w:val="auto"/>
        </w:rPr>
      </w:pPr>
    </w:p>
    <w:p>
      <w:pPr>
        <w:ind w:firstLine="353"/>
        <w:spacing w:after="0" w:line="311" w:lineRule="auto"/>
        <w:rPr>
          <w:sz w:val="20"/>
          <w:szCs w:val="20"/>
          <w:color w:val="auto"/>
        </w:rPr>
      </w:pPr>
      <w:r>
        <w:rPr>
          <w:rFonts w:ascii="Arial" w:cs="Arial" w:eastAsia="Arial" w:hAnsi="Arial"/>
          <w:sz w:val="11"/>
          <w:szCs w:val="11"/>
          <w:color w:val="auto"/>
        </w:rPr>
        <w:t>Awards vest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During the year in which the amount of the award is determined, we record expense based on its expected value.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year ended December 31, 2021, we recorded expense of $0.4 million related to mutual fund share incentive awards, and we had a corresponding accrued liability of $0.4 million at December 31, 2021. For the years ended December 31, 2020 and 2019, mutual fund share incentive award activity was insignificant.</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Benefit Plans</w:t>
      </w:r>
    </w:p>
    <w:p>
      <w:pPr>
        <w:spacing w:after="0" w:line="90" w:lineRule="exact"/>
        <w:rPr>
          <w:sz w:val="20"/>
          <w:szCs w:val="20"/>
          <w:color w:val="auto"/>
        </w:rPr>
      </w:pPr>
    </w:p>
    <w:p>
      <w:pPr>
        <w:ind w:firstLine="353"/>
        <w:spacing w:after="0" w:line="259" w:lineRule="auto"/>
        <w:rPr>
          <w:sz w:val="20"/>
          <w:szCs w:val="20"/>
          <w:color w:val="auto"/>
        </w:rPr>
      </w:pPr>
      <w:r>
        <w:rPr>
          <w:rFonts w:ascii="Arial" w:cs="Arial" w:eastAsia="Arial" w:hAnsi="Arial"/>
          <w:sz w:val="13"/>
          <w:szCs w:val="13"/>
          <w:color w:val="auto"/>
        </w:rPr>
        <w:t>Westwood has a defined contribution and profit-sharing plan that was adopted in July 2002 and covers substantially all employees. Discretionary employer profit-sharing contributions become fully vested after four years of service by the participant. For U.S. employees, Westwood provides a 401(k) match of up to 6% of eligible compensation. For Westwood International Advisors employees, Westwood provided a Registered Retirement Savings Plan match of up to 6% of eligible compensation. Westwood International Advisors was closed effective September 30, 2020. Both retirement plan matching contributions vest immediately.</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displays our profit-sharing and retirement plan contributions for the periods presented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w w:val="88"/>
              </w:rPr>
              <w:t>Years ended December 31,</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57"/>
        </w:trPr>
        <w:tc>
          <w:tcPr>
            <w:tcW w:w="506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2019</w:t>
            </w:r>
          </w:p>
        </w:tc>
      </w:tr>
      <w:tr>
        <w:trPr>
          <w:trHeight w:val="156"/>
        </w:trPr>
        <w:tc>
          <w:tcPr>
            <w:tcW w:w="50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Profit-sharing contributions, net</w:t>
            </w:r>
          </w:p>
        </w:tc>
        <w:tc>
          <w:tcPr>
            <w:tcW w:w="1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65"/>
        </w:trPr>
        <w:tc>
          <w:tcPr>
            <w:tcW w:w="5060" w:type="dxa"/>
            <w:vAlign w:val="bottom"/>
          </w:tcPr>
          <w:p>
            <w:pPr>
              <w:ind w:left="360"/>
              <w:spacing w:after="0"/>
              <w:rPr>
                <w:sz w:val="20"/>
                <w:szCs w:val="20"/>
                <w:color w:val="auto"/>
              </w:rPr>
            </w:pPr>
            <w:r>
              <w:rPr>
                <w:rFonts w:ascii="Arial" w:cs="Arial" w:eastAsia="Arial" w:hAnsi="Arial"/>
                <w:sz w:val="13"/>
                <w:szCs w:val="13"/>
                <w:color w:val="auto"/>
              </w:rPr>
              <w:t>Retirement plan matching contributions</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ind w:right="1"/>
              <w:spacing w:after="0"/>
              <w:rPr>
                <w:sz w:val="20"/>
                <w:szCs w:val="20"/>
                <w:color w:val="auto"/>
              </w:rPr>
            </w:pPr>
            <w:r>
              <w:rPr>
                <w:rFonts w:ascii="Arial" w:cs="Arial" w:eastAsia="Arial" w:hAnsi="Arial"/>
                <w:sz w:val="13"/>
                <w:szCs w:val="13"/>
                <w:color w:val="auto"/>
                <w:w w:val="85"/>
              </w:rPr>
              <w:t>1,256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1,597</w:t>
            </w:r>
          </w:p>
        </w:tc>
      </w:tr>
      <w:tr>
        <w:trPr>
          <w:trHeight w:val="598"/>
        </w:trPr>
        <w:tc>
          <w:tcPr>
            <w:tcW w:w="5060" w:type="dxa"/>
            <w:vAlign w:val="bottom"/>
          </w:tcPr>
          <w:p>
            <w:pPr>
              <w:spacing w:after="0"/>
              <w:rPr>
                <w:sz w:val="20"/>
                <w:szCs w:val="20"/>
                <w:color w:val="auto"/>
              </w:rPr>
            </w:pPr>
            <w:r>
              <w:rPr>
                <w:rFonts w:ascii="Arial" w:cs="Arial" w:eastAsia="Arial" w:hAnsi="Arial"/>
                <w:sz w:val="13"/>
                <w:szCs w:val="13"/>
                <w:b w:val="1"/>
                <w:bCs w:val="1"/>
                <w:color w:val="auto"/>
              </w:rPr>
              <w:t>8. INCOME TAXES: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5"/>
        </w:trPr>
        <w:tc>
          <w:tcPr>
            <w:tcW w:w="5060" w:type="dxa"/>
            <w:vAlign w:val="bottom"/>
          </w:tcPr>
          <w:p>
            <w:pPr>
              <w:spacing w:after="0"/>
              <w:rPr>
                <w:sz w:val="20"/>
                <w:szCs w:val="20"/>
                <w:color w:val="auto"/>
              </w:rPr>
            </w:pPr>
            <w:r>
              <w:rPr>
                <w:rFonts w:ascii="Arial" w:cs="Arial" w:eastAsia="Arial" w:hAnsi="Arial"/>
                <w:sz w:val="13"/>
                <w:szCs w:val="13"/>
                <w:b w:val="1"/>
                <w:bCs w:val="1"/>
                <w:i w:val="1"/>
                <w:iCs w:val="1"/>
                <w:color w:val="auto"/>
              </w:rPr>
              <w:t>Income Tax Provision</w:t>
            </w: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5"/>
        </w:trPr>
        <w:tc>
          <w:tcPr>
            <w:tcW w:w="5060" w:type="dxa"/>
            <w:vAlign w:val="bottom"/>
          </w:tcPr>
          <w:p>
            <w:pPr>
              <w:ind w:left="360"/>
              <w:spacing w:after="0"/>
              <w:rPr>
                <w:sz w:val="20"/>
                <w:szCs w:val="20"/>
                <w:color w:val="auto"/>
              </w:rPr>
            </w:pPr>
            <w:r>
              <w:rPr>
                <w:rFonts w:ascii="Arial" w:cs="Arial" w:eastAsia="Arial" w:hAnsi="Arial"/>
                <w:sz w:val="13"/>
                <w:szCs w:val="13"/>
                <w:color w:val="auto"/>
              </w:rPr>
              <w:t>Income (loss) before income taxes by jurisdiction was as follows (in thousands):</w:t>
            </w: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5"/>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2"/>
                <w:szCs w:val="12"/>
                <w:b w:val="1"/>
                <w:bCs w:val="1"/>
                <w:color w:val="auto"/>
                <w:w w:val="86"/>
              </w:rPr>
              <w:t>Years ended December 31,</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47"/>
        </w:trPr>
        <w:tc>
          <w:tcPr>
            <w:tcW w:w="50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2"/>
                <w:szCs w:val="12"/>
                <w:b w:val="1"/>
                <w:bCs w:val="1"/>
                <w:color w:val="auto"/>
              </w:rPr>
              <w:t>2019</w:t>
            </w:r>
          </w:p>
        </w:tc>
      </w:tr>
      <w:tr>
        <w:trPr>
          <w:trHeight w:val="159"/>
        </w:trPr>
        <w:tc>
          <w:tcPr>
            <w:tcW w:w="506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U.S.</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13,989</w:t>
            </w:r>
          </w:p>
        </w:tc>
        <w:tc>
          <w:tcPr>
            <w:tcW w:w="80" w:type="dxa"/>
            <w:vAlign w:val="bottom"/>
            <w:shd w:val="clear" w:color="auto" w:fill="CCEEFF"/>
          </w:tcPr>
          <w:p>
            <w:pPr>
              <w:spacing w:after="0"/>
              <w:rPr>
                <w:sz w:val="13"/>
                <w:szCs w:val="13"/>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10,237</w:t>
            </w:r>
          </w:p>
        </w:tc>
      </w:tr>
      <w:tr>
        <w:trPr>
          <w:trHeight w:val="166"/>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Canada</w:t>
            </w:r>
          </w:p>
        </w:tc>
        <w:tc>
          <w:tcPr>
            <w:tcW w:w="1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(835)</w:t>
            </w:r>
          </w:p>
        </w:tc>
      </w:tr>
      <w:tr>
        <w:trPr>
          <w:trHeight w:val="177"/>
        </w:trPr>
        <w:tc>
          <w:tcPr>
            <w:tcW w:w="506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Total</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14,003</w:t>
            </w:r>
          </w:p>
        </w:tc>
        <w:tc>
          <w:tcPr>
            <w:tcW w:w="8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9,402</w:t>
            </w:r>
          </w:p>
        </w:tc>
      </w:tr>
      <w:tr>
        <w:trPr>
          <w:trHeight w:val="871"/>
        </w:trPr>
        <w:tc>
          <w:tcPr>
            <w:tcW w:w="50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jc w:val="right"/>
              <w:ind w:right="535"/>
              <w:spacing w:after="0"/>
              <w:rPr>
                <w:sz w:val="20"/>
                <w:szCs w:val="20"/>
                <w:color w:val="auto"/>
              </w:rPr>
            </w:pPr>
            <w:r>
              <w:rPr>
                <w:rFonts w:ascii="Arial" w:cs="Arial" w:eastAsia="Arial" w:hAnsi="Arial"/>
                <w:sz w:val="13"/>
                <w:szCs w:val="13"/>
                <w:color w:val="auto"/>
              </w:rPr>
              <w:t>20</w:t>
            </w:r>
          </w:p>
        </w:tc>
        <w:tc>
          <w:tcPr>
            <w:tcW w:w="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80"/>
        </w:trPr>
        <w:tc>
          <w:tcPr>
            <w:tcW w:w="506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right="340" w:firstLine="353"/>
        <w:spacing w:after="0" w:line="306" w:lineRule="auto"/>
        <w:rPr>
          <w:sz w:val="20"/>
          <w:szCs w:val="20"/>
          <w:color w:val="auto"/>
        </w:rPr>
      </w:pPr>
      <w:r>
        <w:rPr>
          <w:rFonts w:ascii="Arial" w:cs="Arial" w:eastAsia="Arial" w:hAnsi="Arial"/>
          <w:sz w:val="12"/>
          <w:szCs w:val="12"/>
          <w:color w:val="auto"/>
        </w:rPr>
        <w:t>Income tax expense differs from the amount that would otherwise have been calculated by applying the U.S. Federal corporate tax rate of 21% to income before income taxes. The difference between the Federal corporate tax rate and the effective tax rate is comprised of the following (in thousands). In 2021, we recast certain prior year income tax expense components.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2"/>
                <w:szCs w:val="12"/>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2"/>
                <w:szCs w:val="12"/>
                <w:b w:val="1"/>
                <w:bCs w:val="1"/>
                <w:color w:val="auto"/>
              </w:rPr>
              <w:t>2019</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440" w:type="dxa"/>
            <w:vAlign w:val="bottom"/>
            <w:shd w:val="clear" w:color="auto" w:fill="CCEEFF"/>
          </w:tcPr>
          <w:p>
            <w:pPr>
              <w:ind w:left="360"/>
              <w:spacing w:after="0" w:line="103" w:lineRule="exact"/>
              <w:rPr>
                <w:sz w:val="20"/>
                <w:szCs w:val="20"/>
                <w:color w:val="auto"/>
              </w:rPr>
            </w:pPr>
            <w:r>
              <w:rPr>
                <w:rFonts w:ascii="Arial" w:cs="Arial" w:eastAsia="Arial" w:hAnsi="Arial"/>
                <w:sz w:val="11"/>
                <w:szCs w:val="11"/>
                <w:color w:val="auto"/>
              </w:rPr>
              <w:t>Income tax provision computed at US</w:t>
            </w:r>
          </w:p>
        </w:tc>
        <w:tc>
          <w:tcPr>
            <w:tcW w:w="64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2,935</w:t>
            </w:r>
          </w:p>
        </w:tc>
        <w:tc>
          <w:tcPr>
            <w:tcW w:w="1260" w:type="dxa"/>
            <w:vAlign w:val="bottom"/>
            <w:gridSpan w:val="3"/>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21.0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auto"/>
              </w:rPr>
              <w:t>(1,593)</w:t>
            </w:r>
          </w:p>
        </w:tc>
        <w:tc>
          <w:tcPr>
            <w:tcW w:w="1300" w:type="dxa"/>
            <w:vAlign w:val="bottom"/>
            <w:gridSpan w:val="3"/>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21.0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1,974</w:t>
            </w:r>
          </w:p>
        </w:tc>
        <w:tc>
          <w:tcPr>
            <w:tcW w:w="1260" w:type="dxa"/>
            <w:vAlign w:val="bottom"/>
            <w:gridSpan w:val="3"/>
            <w:vMerge w:val="restart"/>
            <w:shd w:val="clear" w:color="auto" w:fill="CCEEFF"/>
          </w:tcPr>
          <w:p>
            <w:pPr>
              <w:jc w:val="right"/>
              <w:ind w:right="141"/>
              <w:spacing w:after="0"/>
              <w:rPr>
                <w:sz w:val="20"/>
                <w:szCs w:val="20"/>
                <w:color w:val="auto"/>
              </w:rPr>
            </w:pPr>
            <w:r>
              <w:rPr>
                <w:rFonts w:ascii="Arial" w:cs="Arial" w:eastAsia="Arial" w:hAnsi="Arial"/>
                <w:sz w:val="12"/>
                <w:szCs w:val="12"/>
                <w:color w:val="auto"/>
              </w:rPr>
              <w:t>21.0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federal statutory rate</w:t>
            </w:r>
          </w:p>
        </w:tc>
        <w:tc>
          <w:tcPr>
            <w:tcW w:w="6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60" w:type="dxa"/>
            <w:vAlign w:val="bottom"/>
            <w:gridSpan w:val="3"/>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300" w:type="dxa"/>
            <w:vAlign w:val="bottom"/>
            <w:gridSpan w:val="3"/>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60" w:type="dxa"/>
            <w:vAlign w:val="bottom"/>
            <w:gridSpan w:val="3"/>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440" w:type="dxa"/>
            <w:vAlign w:val="bottom"/>
          </w:tcPr>
          <w:p>
            <w:pPr>
              <w:ind w:left="360"/>
              <w:spacing w:after="0" w:line="121" w:lineRule="exact"/>
              <w:rPr>
                <w:sz w:val="20"/>
                <w:szCs w:val="20"/>
                <w:color w:val="auto"/>
              </w:rPr>
            </w:pPr>
            <w:r>
              <w:rPr>
                <w:rFonts w:ascii="Arial" w:cs="Arial" w:eastAsia="Arial" w:hAnsi="Arial"/>
                <w:sz w:val="12"/>
                <w:szCs w:val="12"/>
                <w:color w:val="auto"/>
                <w:w w:val="89"/>
              </w:rPr>
              <w:t>State and local income taxes, net of federal</w:t>
            </w:r>
          </w:p>
        </w:tc>
        <w:tc>
          <w:tcPr>
            <w:tcW w:w="640" w:type="dxa"/>
            <w:vAlign w:val="bottom"/>
          </w:tcPr>
          <w:p>
            <w:pPr>
              <w:spacing w:after="0"/>
              <w:rPr>
                <w:sz w:val="10"/>
                <w:szCs w:val="10"/>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2"/>
                <w:szCs w:val="12"/>
                <w:color w:val="auto"/>
              </w:rPr>
              <w:t>372</w:t>
            </w:r>
          </w:p>
        </w:tc>
        <w:tc>
          <w:tcPr>
            <w:tcW w:w="1260" w:type="dxa"/>
            <w:vAlign w:val="bottom"/>
            <w:gridSpan w:val="3"/>
            <w:vMerge w:val="restart"/>
          </w:tcPr>
          <w:p>
            <w:pPr>
              <w:jc w:val="right"/>
              <w:ind w:right="141"/>
              <w:spacing w:after="0"/>
              <w:rPr>
                <w:sz w:val="20"/>
                <w:szCs w:val="20"/>
                <w:color w:val="auto"/>
              </w:rPr>
            </w:pPr>
            <w:r>
              <w:rPr>
                <w:rFonts w:ascii="Arial" w:cs="Arial" w:eastAsia="Arial" w:hAnsi="Arial"/>
                <w:sz w:val="12"/>
                <w:szCs w:val="12"/>
                <w:color w:val="auto"/>
              </w:rPr>
              <w:t>2.7</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vMerge w:val="restart"/>
          </w:tcPr>
          <w:p>
            <w:pPr>
              <w:jc w:val="right"/>
              <w:ind w:right="141"/>
              <w:spacing w:after="0"/>
              <w:rPr>
                <w:sz w:val="20"/>
                <w:szCs w:val="20"/>
                <w:color w:val="auto"/>
              </w:rPr>
            </w:pPr>
            <w:r>
              <w:rPr>
                <w:rFonts w:ascii="Arial" w:cs="Arial" w:eastAsia="Arial" w:hAnsi="Arial"/>
                <w:sz w:val="12"/>
                <w:szCs w:val="12"/>
                <w:color w:val="auto"/>
              </w:rPr>
              <w:t>91</w:t>
            </w:r>
          </w:p>
        </w:tc>
        <w:tc>
          <w:tcPr>
            <w:tcW w:w="1300" w:type="dxa"/>
            <w:vAlign w:val="bottom"/>
            <w:gridSpan w:val="3"/>
            <w:vMerge w:val="restart"/>
          </w:tcPr>
          <w:p>
            <w:pPr>
              <w:jc w:val="right"/>
              <w:ind w:right="121"/>
              <w:spacing w:after="0"/>
              <w:rPr>
                <w:sz w:val="20"/>
                <w:szCs w:val="20"/>
                <w:color w:val="auto"/>
              </w:rPr>
            </w:pPr>
            <w:r>
              <w:rPr>
                <w:rFonts w:ascii="Arial" w:cs="Arial" w:eastAsia="Arial" w:hAnsi="Arial"/>
                <w:sz w:val="12"/>
                <w:szCs w:val="12"/>
                <w:color w:val="auto"/>
              </w:rPr>
              <w:t>(1.2)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vMerge w:val="restart"/>
          </w:tcPr>
          <w:p>
            <w:pPr>
              <w:jc w:val="right"/>
              <w:ind w:right="141"/>
              <w:spacing w:after="0"/>
              <w:rPr>
                <w:sz w:val="20"/>
                <w:szCs w:val="20"/>
                <w:color w:val="auto"/>
              </w:rPr>
            </w:pPr>
            <w:r>
              <w:rPr>
                <w:rFonts w:ascii="Arial" w:cs="Arial" w:eastAsia="Arial" w:hAnsi="Arial"/>
                <w:sz w:val="12"/>
                <w:szCs w:val="12"/>
                <w:color w:val="auto"/>
              </w:rPr>
              <w:t>512</w:t>
            </w:r>
          </w:p>
        </w:tc>
        <w:tc>
          <w:tcPr>
            <w:tcW w:w="1260" w:type="dxa"/>
            <w:vAlign w:val="bottom"/>
            <w:gridSpan w:val="3"/>
            <w:vMerge w:val="restart"/>
          </w:tcPr>
          <w:p>
            <w:pPr>
              <w:jc w:val="right"/>
              <w:ind w:right="141"/>
              <w:spacing w:after="0"/>
              <w:rPr>
                <w:sz w:val="20"/>
                <w:szCs w:val="20"/>
                <w:color w:val="auto"/>
              </w:rPr>
            </w:pPr>
            <w:r>
              <w:rPr>
                <w:rFonts w:ascii="Arial" w:cs="Arial" w:eastAsia="Arial" w:hAnsi="Arial"/>
                <w:sz w:val="12"/>
                <w:szCs w:val="12"/>
                <w:color w:val="auto"/>
              </w:rPr>
              <w:t>5.4</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440" w:type="dxa"/>
            <w:vAlign w:val="bottom"/>
          </w:tcPr>
          <w:p>
            <w:pPr>
              <w:ind w:left="20"/>
              <w:spacing w:after="0"/>
              <w:rPr>
                <w:sz w:val="20"/>
                <w:szCs w:val="20"/>
                <w:color w:val="auto"/>
              </w:rPr>
            </w:pPr>
            <w:r>
              <w:rPr>
                <w:rFonts w:ascii="Arial" w:cs="Arial" w:eastAsia="Arial" w:hAnsi="Arial"/>
                <w:sz w:val="12"/>
                <w:szCs w:val="12"/>
                <w:color w:val="auto"/>
              </w:rPr>
              <w:t>income taxes</w:t>
            </w:r>
          </w:p>
        </w:tc>
        <w:tc>
          <w:tcPr>
            <w:tcW w:w="6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Amended state returns</w:t>
            </w: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(555)</w:t>
            </w:r>
          </w:p>
        </w:tc>
        <w:tc>
          <w:tcPr>
            <w:tcW w:w="1300" w:type="dxa"/>
            <w:vAlign w:val="bottom"/>
            <w:gridSpan w:val="3"/>
            <w:shd w:val="clear" w:color="auto" w:fill="CCEEFF"/>
          </w:tcPr>
          <w:p>
            <w:pPr>
              <w:jc w:val="right"/>
              <w:ind w:right="141"/>
              <w:spacing w:after="0"/>
              <w:rPr>
                <w:sz w:val="20"/>
                <w:szCs w:val="20"/>
                <w:color w:val="auto"/>
              </w:rPr>
            </w:pPr>
            <w:r>
              <w:rPr>
                <w:rFonts w:ascii="Arial" w:cs="Arial" w:eastAsia="Arial" w:hAnsi="Arial"/>
                <w:sz w:val="12"/>
                <w:szCs w:val="12"/>
                <w:color w:val="auto"/>
              </w:rPr>
              <w:t>7.3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360"/>
              <w:spacing w:after="0"/>
              <w:rPr>
                <w:sz w:val="20"/>
                <w:szCs w:val="20"/>
                <w:color w:val="auto"/>
              </w:rPr>
            </w:pPr>
            <w:r>
              <w:rPr>
                <w:rFonts w:ascii="Arial" w:cs="Arial" w:eastAsia="Arial" w:hAnsi="Arial"/>
                <w:sz w:val="12"/>
                <w:szCs w:val="12"/>
                <w:color w:val="auto"/>
              </w:rPr>
              <w:t>Stock-based compensation</w:t>
            </w:r>
          </w:p>
        </w:tc>
        <w:tc>
          <w:tcPr>
            <w:tcW w:w="640" w:type="dxa"/>
            <w:vAlign w:val="bottom"/>
          </w:tcPr>
          <w:p>
            <w:pPr>
              <w:spacing w:after="0"/>
              <w:rPr>
                <w:sz w:val="13"/>
                <w:szCs w:val="13"/>
                <w:color w:val="auto"/>
              </w:rPr>
            </w:pPr>
          </w:p>
        </w:tc>
        <w:tc>
          <w:tcPr>
            <w:tcW w:w="680" w:type="dxa"/>
            <w:vAlign w:val="bottom"/>
          </w:tcPr>
          <w:p>
            <w:pPr>
              <w:jc w:val="right"/>
              <w:ind w:right="161"/>
              <w:spacing w:after="0"/>
              <w:rPr>
                <w:sz w:val="20"/>
                <w:szCs w:val="20"/>
                <w:color w:val="auto"/>
              </w:rPr>
            </w:pPr>
            <w:r>
              <w:rPr>
                <w:rFonts w:ascii="Arial" w:cs="Arial" w:eastAsia="Arial" w:hAnsi="Arial"/>
                <w:sz w:val="12"/>
                <w:szCs w:val="12"/>
                <w:color w:val="auto"/>
              </w:rPr>
              <w:t>859</w:t>
            </w:r>
          </w:p>
        </w:tc>
        <w:tc>
          <w:tcPr>
            <w:tcW w:w="1260" w:type="dxa"/>
            <w:vAlign w:val="bottom"/>
            <w:gridSpan w:val="3"/>
          </w:tcPr>
          <w:p>
            <w:pPr>
              <w:jc w:val="right"/>
              <w:ind w:right="141"/>
              <w:spacing w:after="0"/>
              <w:rPr>
                <w:sz w:val="20"/>
                <w:szCs w:val="20"/>
                <w:color w:val="auto"/>
              </w:rPr>
            </w:pPr>
            <w:r>
              <w:rPr>
                <w:rFonts w:ascii="Arial" w:cs="Arial" w:eastAsia="Arial" w:hAnsi="Arial"/>
                <w:sz w:val="12"/>
                <w:szCs w:val="12"/>
                <w:color w:val="auto"/>
              </w:rPr>
              <w:t>6.1</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jc w:val="right"/>
              <w:ind w:right="141"/>
              <w:spacing w:after="0"/>
              <w:rPr>
                <w:sz w:val="20"/>
                <w:szCs w:val="20"/>
                <w:color w:val="auto"/>
              </w:rPr>
            </w:pPr>
            <w:r>
              <w:rPr>
                <w:rFonts w:ascii="Arial" w:cs="Arial" w:eastAsia="Arial" w:hAnsi="Arial"/>
                <w:sz w:val="12"/>
                <w:szCs w:val="12"/>
                <w:color w:val="auto"/>
              </w:rPr>
              <w:t>683</w:t>
            </w:r>
          </w:p>
        </w:tc>
        <w:tc>
          <w:tcPr>
            <w:tcW w:w="1300" w:type="dxa"/>
            <w:vAlign w:val="bottom"/>
            <w:gridSpan w:val="3"/>
          </w:tcPr>
          <w:p>
            <w:pPr>
              <w:jc w:val="right"/>
              <w:ind w:right="121"/>
              <w:spacing w:after="0"/>
              <w:rPr>
                <w:sz w:val="20"/>
                <w:szCs w:val="20"/>
                <w:color w:val="auto"/>
              </w:rPr>
            </w:pPr>
            <w:r>
              <w:rPr>
                <w:rFonts w:ascii="Arial" w:cs="Arial" w:eastAsia="Arial" w:hAnsi="Arial"/>
                <w:sz w:val="12"/>
                <w:szCs w:val="12"/>
                <w:color w:val="auto"/>
              </w:rPr>
              <w:t>(9.0)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right"/>
              <w:ind w:right="141"/>
              <w:spacing w:after="0"/>
              <w:rPr>
                <w:sz w:val="20"/>
                <w:szCs w:val="20"/>
                <w:color w:val="auto"/>
              </w:rPr>
            </w:pPr>
            <w:r>
              <w:rPr>
                <w:rFonts w:ascii="Arial" w:cs="Arial" w:eastAsia="Arial" w:hAnsi="Arial"/>
                <w:sz w:val="12"/>
                <w:szCs w:val="12"/>
                <w:color w:val="auto"/>
              </w:rPr>
              <w:t>594</w:t>
            </w:r>
          </w:p>
        </w:tc>
        <w:tc>
          <w:tcPr>
            <w:tcW w:w="1260" w:type="dxa"/>
            <w:vAlign w:val="bottom"/>
            <w:gridSpan w:val="3"/>
          </w:tcPr>
          <w:p>
            <w:pPr>
              <w:jc w:val="right"/>
              <w:ind w:right="141"/>
              <w:spacing w:after="0"/>
              <w:rPr>
                <w:sz w:val="20"/>
                <w:szCs w:val="20"/>
                <w:color w:val="auto"/>
              </w:rPr>
            </w:pPr>
            <w:r>
              <w:rPr>
                <w:rFonts w:ascii="Arial" w:cs="Arial" w:eastAsia="Arial" w:hAnsi="Arial"/>
                <w:sz w:val="12"/>
                <w:szCs w:val="12"/>
                <w:color w:val="auto"/>
              </w:rPr>
              <w:t>6.3</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Tax on repatriation</w:t>
            </w: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1,378</w:t>
            </w:r>
          </w:p>
        </w:tc>
        <w:tc>
          <w:tcPr>
            <w:tcW w:w="1300" w:type="dxa"/>
            <w:vAlign w:val="bottom"/>
            <w:gridSpan w:val="3"/>
            <w:shd w:val="clear" w:color="auto" w:fill="CCEEFF"/>
          </w:tcPr>
          <w:p>
            <w:pPr>
              <w:jc w:val="right"/>
              <w:ind w:right="121"/>
              <w:spacing w:after="0"/>
              <w:rPr>
                <w:sz w:val="20"/>
                <w:szCs w:val="20"/>
                <w:color w:val="auto"/>
              </w:rPr>
            </w:pPr>
            <w:r>
              <w:rPr>
                <w:rFonts w:ascii="Arial" w:cs="Arial" w:eastAsia="Arial" w:hAnsi="Arial"/>
                <w:sz w:val="12"/>
                <w:szCs w:val="12"/>
                <w:color w:val="auto"/>
              </w:rPr>
              <w:t>(18.1)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360"/>
              <w:spacing w:after="0"/>
              <w:rPr>
                <w:sz w:val="20"/>
                <w:szCs w:val="20"/>
                <w:color w:val="auto"/>
              </w:rPr>
            </w:pPr>
            <w:r>
              <w:rPr>
                <w:rFonts w:ascii="Arial" w:cs="Arial" w:eastAsia="Arial" w:hAnsi="Arial"/>
                <w:sz w:val="12"/>
                <w:szCs w:val="12"/>
                <w:color w:val="auto"/>
              </w:rPr>
              <w:t>Nondeductible currency losses</w:t>
            </w:r>
          </w:p>
        </w:tc>
        <w:tc>
          <w:tcPr>
            <w:tcW w:w="640" w:type="dxa"/>
            <w:vAlign w:val="bottom"/>
          </w:tcPr>
          <w:p>
            <w:pPr>
              <w:spacing w:after="0"/>
              <w:rPr>
                <w:sz w:val="13"/>
                <w:szCs w:val="13"/>
                <w:color w:val="auto"/>
              </w:rPr>
            </w:pPr>
          </w:p>
        </w:tc>
        <w:tc>
          <w:tcPr>
            <w:tcW w:w="68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jc w:val="right"/>
              <w:ind w:right="141"/>
              <w:spacing w:after="0"/>
              <w:rPr>
                <w:sz w:val="20"/>
                <w:szCs w:val="20"/>
                <w:color w:val="auto"/>
              </w:rPr>
            </w:pPr>
            <w:r>
              <w:rPr>
                <w:rFonts w:ascii="Arial" w:cs="Arial" w:eastAsia="Arial" w:hAnsi="Arial"/>
                <w:sz w:val="12"/>
                <w:szCs w:val="12"/>
                <w:color w:val="auto"/>
              </w:rPr>
              <w:t>910</w:t>
            </w:r>
          </w:p>
        </w:tc>
        <w:tc>
          <w:tcPr>
            <w:tcW w:w="1300" w:type="dxa"/>
            <w:vAlign w:val="bottom"/>
            <w:gridSpan w:val="3"/>
          </w:tcPr>
          <w:p>
            <w:pPr>
              <w:jc w:val="right"/>
              <w:ind w:right="121"/>
              <w:spacing w:after="0"/>
              <w:rPr>
                <w:sz w:val="20"/>
                <w:szCs w:val="20"/>
                <w:color w:val="auto"/>
              </w:rPr>
            </w:pPr>
            <w:r>
              <w:rPr>
                <w:rFonts w:ascii="Arial" w:cs="Arial" w:eastAsia="Arial" w:hAnsi="Arial"/>
                <w:sz w:val="12"/>
                <w:szCs w:val="12"/>
                <w:color w:val="auto"/>
              </w:rPr>
              <w:t>(12.0)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Impairment expense</w:t>
            </w: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398</w:t>
            </w:r>
          </w:p>
        </w:tc>
        <w:tc>
          <w:tcPr>
            <w:tcW w:w="1300" w:type="dxa"/>
            <w:vAlign w:val="bottom"/>
            <w:gridSpan w:val="3"/>
            <w:shd w:val="clear" w:color="auto" w:fill="CCEEFF"/>
          </w:tcPr>
          <w:p>
            <w:pPr>
              <w:jc w:val="right"/>
              <w:ind w:right="121"/>
              <w:spacing w:after="0"/>
              <w:rPr>
                <w:sz w:val="20"/>
                <w:szCs w:val="20"/>
                <w:color w:val="auto"/>
              </w:rPr>
            </w:pPr>
            <w:r>
              <w:rPr>
                <w:rFonts w:ascii="Arial" w:cs="Arial" w:eastAsia="Arial" w:hAnsi="Arial"/>
                <w:sz w:val="12"/>
                <w:szCs w:val="12"/>
                <w:color w:val="auto"/>
              </w:rPr>
              <w:t>(5.2)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360"/>
              <w:spacing w:after="0"/>
              <w:rPr>
                <w:sz w:val="20"/>
                <w:szCs w:val="20"/>
                <w:color w:val="auto"/>
              </w:rPr>
            </w:pPr>
            <w:r>
              <w:rPr>
                <w:rFonts w:ascii="Arial" w:cs="Arial" w:eastAsia="Arial" w:hAnsi="Arial"/>
                <w:sz w:val="12"/>
                <w:szCs w:val="12"/>
                <w:color w:val="auto"/>
                <w:w w:val="95"/>
              </w:rPr>
              <w:t>Compensation subject to Section 162(m)</w:t>
            </w:r>
          </w:p>
        </w:tc>
        <w:tc>
          <w:tcPr>
            <w:tcW w:w="640" w:type="dxa"/>
            <w:vAlign w:val="bottom"/>
          </w:tcPr>
          <w:p>
            <w:pPr>
              <w:spacing w:after="0"/>
              <w:rPr>
                <w:sz w:val="13"/>
                <w:szCs w:val="13"/>
                <w:color w:val="auto"/>
              </w:rPr>
            </w:pPr>
          </w:p>
        </w:tc>
        <w:tc>
          <w:tcPr>
            <w:tcW w:w="680" w:type="dxa"/>
            <w:vAlign w:val="bottom"/>
          </w:tcPr>
          <w:p>
            <w:pPr>
              <w:jc w:val="right"/>
              <w:ind w:right="161"/>
              <w:spacing w:after="0"/>
              <w:rPr>
                <w:sz w:val="20"/>
                <w:szCs w:val="20"/>
                <w:color w:val="auto"/>
              </w:rPr>
            </w:pPr>
            <w:r>
              <w:rPr>
                <w:rFonts w:ascii="Arial" w:cs="Arial" w:eastAsia="Arial" w:hAnsi="Arial"/>
                <w:sz w:val="12"/>
                <w:szCs w:val="12"/>
                <w:color w:val="auto"/>
              </w:rPr>
              <w:t>180</w:t>
            </w:r>
          </w:p>
        </w:tc>
        <w:tc>
          <w:tcPr>
            <w:tcW w:w="1260" w:type="dxa"/>
            <w:vAlign w:val="bottom"/>
            <w:gridSpan w:val="3"/>
          </w:tcPr>
          <w:p>
            <w:pPr>
              <w:jc w:val="right"/>
              <w:ind w:right="141"/>
              <w:spacing w:after="0"/>
              <w:rPr>
                <w:sz w:val="20"/>
                <w:szCs w:val="20"/>
                <w:color w:val="auto"/>
              </w:rPr>
            </w:pPr>
            <w:r>
              <w:rPr>
                <w:rFonts w:ascii="Arial" w:cs="Arial" w:eastAsia="Arial" w:hAnsi="Arial"/>
                <w:sz w:val="12"/>
                <w:szCs w:val="12"/>
                <w:color w:val="auto"/>
              </w:rPr>
              <w:t>1.3</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jc w:val="right"/>
              <w:ind w:right="141"/>
              <w:spacing w:after="0"/>
              <w:rPr>
                <w:sz w:val="20"/>
                <w:szCs w:val="20"/>
                <w:color w:val="auto"/>
              </w:rPr>
            </w:pPr>
            <w:r>
              <w:rPr>
                <w:rFonts w:ascii="Arial" w:cs="Arial" w:eastAsia="Arial" w:hAnsi="Arial"/>
                <w:sz w:val="12"/>
                <w:szCs w:val="12"/>
                <w:color w:val="auto"/>
              </w:rPr>
              <w:t>42</w:t>
            </w:r>
          </w:p>
        </w:tc>
        <w:tc>
          <w:tcPr>
            <w:tcW w:w="1300" w:type="dxa"/>
            <w:vAlign w:val="bottom"/>
            <w:gridSpan w:val="3"/>
          </w:tcPr>
          <w:p>
            <w:pPr>
              <w:jc w:val="right"/>
              <w:ind w:right="121"/>
              <w:spacing w:after="0"/>
              <w:rPr>
                <w:sz w:val="20"/>
                <w:szCs w:val="20"/>
                <w:color w:val="auto"/>
              </w:rPr>
            </w:pPr>
            <w:r>
              <w:rPr>
                <w:rFonts w:ascii="Arial" w:cs="Arial" w:eastAsia="Arial" w:hAnsi="Arial"/>
                <w:sz w:val="12"/>
                <w:szCs w:val="12"/>
                <w:color w:val="auto"/>
              </w:rPr>
              <w:t>(0.6)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right"/>
              <w:ind w:right="141"/>
              <w:spacing w:after="0"/>
              <w:rPr>
                <w:sz w:val="20"/>
                <w:szCs w:val="20"/>
                <w:color w:val="auto"/>
              </w:rPr>
            </w:pPr>
            <w:r>
              <w:rPr>
                <w:rFonts w:ascii="Arial" w:cs="Arial" w:eastAsia="Arial" w:hAnsi="Arial"/>
                <w:sz w:val="12"/>
                <w:szCs w:val="12"/>
                <w:color w:val="auto"/>
              </w:rPr>
              <w:t>140</w:t>
            </w:r>
          </w:p>
        </w:tc>
        <w:tc>
          <w:tcPr>
            <w:tcW w:w="1260" w:type="dxa"/>
            <w:vAlign w:val="bottom"/>
            <w:gridSpan w:val="3"/>
          </w:tcPr>
          <w:p>
            <w:pPr>
              <w:jc w:val="right"/>
              <w:ind w:right="141"/>
              <w:spacing w:after="0"/>
              <w:rPr>
                <w:sz w:val="20"/>
                <w:szCs w:val="20"/>
                <w:color w:val="auto"/>
              </w:rPr>
            </w:pPr>
            <w:r>
              <w:rPr>
                <w:rFonts w:ascii="Arial" w:cs="Arial" w:eastAsia="Arial" w:hAnsi="Arial"/>
                <w:sz w:val="12"/>
                <w:szCs w:val="12"/>
                <w:color w:val="auto"/>
              </w:rPr>
              <w:t>1.5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net</w:t>
            </w:r>
          </w:p>
        </w:tc>
        <w:tc>
          <w:tcPr>
            <w:tcW w:w="6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(106)</w:t>
            </w: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(0.8)</w:t>
            </w:r>
          </w:p>
        </w:tc>
        <w:tc>
          <w:tcPr>
            <w:tcW w:w="3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2"/>
                <w:szCs w:val="12"/>
                <w:color w:val="auto"/>
              </w:rPr>
              <w:t>5</w:t>
            </w: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(0.1)</w:t>
            </w: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2"/>
                <w:szCs w:val="12"/>
                <w:color w:val="auto"/>
              </w:rPr>
              <w:t>271</w:t>
            </w: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2"/>
                <w:szCs w:val="12"/>
                <w:color w:val="auto"/>
              </w:rPr>
              <w:t>2.9</w:t>
            </w:r>
          </w:p>
        </w:tc>
        <w:tc>
          <w:tcPr>
            <w:tcW w:w="3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40" w:type="dxa"/>
            <w:vAlign w:val="bottom"/>
          </w:tcPr>
          <w:p>
            <w:pPr>
              <w:ind w:left="360"/>
              <w:spacing w:after="0" w:line="132" w:lineRule="exact"/>
              <w:rPr>
                <w:sz w:val="20"/>
                <w:szCs w:val="20"/>
                <w:color w:val="auto"/>
              </w:rPr>
            </w:pPr>
            <w:r>
              <w:rPr>
                <w:rFonts w:ascii="Arial" w:cs="Arial" w:eastAsia="Arial" w:hAnsi="Arial"/>
                <w:sz w:val="12"/>
                <w:szCs w:val="12"/>
                <w:color w:val="auto"/>
              </w:rPr>
              <w:t>Total income tax expense</w:t>
            </w: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61"/>
              <w:spacing w:after="0"/>
              <w:rPr>
                <w:sz w:val="20"/>
                <w:szCs w:val="20"/>
                <w:color w:val="auto"/>
              </w:rPr>
            </w:pPr>
            <w:r>
              <w:rPr>
                <w:rFonts w:ascii="Arial" w:cs="Arial" w:eastAsia="Arial" w:hAnsi="Arial"/>
                <w:sz w:val="12"/>
                <w:szCs w:val="12"/>
                <w:color w:val="auto"/>
              </w:rPr>
              <w:t>4,240</w:t>
            </w:r>
          </w:p>
        </w:tc>
        <w:tc>
          <w:tcPr>
            <w:tcW w:w="1260" w:type="dxa"/>
            <w:vAlign w:val="bottom"/>
            <w:gridSpan w:val="3"/>
          </w:tcPr>
          <w:p>
            <w:pPr>
              <w:jc w:val="right"/>
              <w:ind w:right="141"/>
              <w:spacing w:after="0"/>
              <w:rPr>
                <w:sz w:val="20"/>
                <w:szCs w:val="20"/>
                <w:color w:val="auto"/>
              </w:rPr>
            </w:pPr>
            <w:r>
              <w:rPr>
                <w:rFonts w:ascii="Arial" w:cs="Arial" w:eastAsia="Arial" w:hAnsi="Arial"/>
                <w:sz w:val="12"/>
                <w:szCs w:val="12"/>
                <w:color w:val="auto"/>
              </w:rPr>
              <w:t>30.3</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41"/>
              <w:spacing w:after="0"/>
              <w:rPr>
                <w:sz w:val="20"/>
                <w:szCs w:val="20"/>
                <w:color w:val="auto"/>
              </w:rPr>
            </w:pPr>
            <w:r>
              <w:rPr>
                <w:rFonts w:ascii="Arial" w:cs="Arial" w:eastAsia="Arial" w:hAnsi="Arial"/>
                <w:sz w:val="12"/>
                <w:szCs w:val="12"/>
                <w:color w:val="auto"/>
              </w:rPr>
              <w:t>1,359</w:t>
            </w:r>
          </w:p>
        </w:tc>
        <w:tc>
          <w:tcPr>
            <w:tcW w:w="1300" w:type="dxa"/>
            <w:vAlign w:val="bottom"/>
            <w:gridSpan w:val="3"/>
          </w:tcPr>
          <w:p>
            <w:pPr>
              <w:jc w:val="right"/>
              <w:ind w:right="121"/>
              <w:spacing w:after="0"/>
              <w:rPr>
                <w:sz w:val="20"/>
                <w:szCs w:val="20"/>
                <w:color w:val="auto"/>
              </w:rPr>
            </w:pPr>
            <w:r>
              <w:rPr>
                <w:rFonts w:ascii="Arial" w:cs="Arial" w:eastAsia="Arial" w:hAnsi="Arial"/>
                <w:sz w:val="12"/>
                <w:szCs w:val="12"/>
                <w:color w:val="auto"/>
              </w:rPr>
              <w:t>(17.9)</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41"/>
              <w:spacing w:after="0"/>
              <w:rPr>
                <w:sz w:val="20"/>
                <w:szCs w:val="20"/>
                <w:color w:val="auto"/>
              </w:rPr>
            </w:pPr>
            <w:r>
              <w:rPr>
                <w:rFonts w:ascii="Arial" w:cs="Arial" w:eastAsia="Arial" w:hAnsi="Arial"/>
                <w:sz w:val="12"/>
                <w:szCs w:val="12"/>
                <w:color w:val="auto"/>
              </w:rPr>
              <w:t>3,491</w:t>
            </w:r>
          </w:p>
        </w:tc>
        <w:tc>
          <w:tcPr>
            <w:tcW w:w="1260" w:type="dxa"/>
            <w:vAlign w:val="bottom"/>
            <w:gridSpan w:val="3"/>
          </w:tcPr>
          <w:p>
            <w:pPr>
              <w:jc w:val="right"/>
              <w:ind w:right="141"/>
              <w:spacing w:after="0"/>
              <w:rPr>
                <w:sz w:val="20"/>
                <w:szCs w:val="20"/>
                <w:color w:val="auto"/>
              </w:rPr>
            </w:pPr>
            <w:r>
              <w:rPr>
                <w:rFonts w:ascii="Arial" w:cs="Arial" w:eastAsia="Arial" w:hAnsi="Arial"/>
                <w:sz w:val="12"/>
                <w:szCs w:val="12"/>
                <w:color w:val="auto"/>
              </w:rPr>
              <w:t>37.1</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440" w:type="dxa"/>
            <w:vAlign w:val="bottom"/>
            <w:tcBorders>
              <w:top w:val="single" w:sz="8" w:color="CCEEFF"/>
            </w:tcBorders>
            <w:shd w:val="clear" w:color="auto" w:fill="CCEEFF"/>
          </w:tcPr>
          <w:p>
            <w:pPr>
              <w:ind w:left="360"/>
              <w:spacing w:after="0" w:line="132" w:lineRule="exact"/>
              <w:rPr>
                <w:sz w:val="20"/>
                <w:szCs w:val="20"/>
                <w:color w:val="auto"/>
              </w:rPr>
            </w:pPr>
            <w:r>
              <w:rPr>
                <w:rFonts w:ascii="Arial" w:cs="Arial" w:eastAsia="Arial" w:hAnsi="Arial"/>
                <w:sz w:val="12"/>
                <w:szCs w:val="12"/>
                <w:color w:val="auto"/>
              </w:rPr>
              <w:t>Effective income tax rate</w:t>
            </w:r>
          </w:p>
        </w:tc>
        <w:tc>
          <w:tcPr>
            <w:tcW w:w="6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30.3</w:t>
            </w:r>
          </w:p>
        </w:tc>
        <w:tc>
          <w:tcPr>
            <w:tcW w:w="2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(17.9)</w:t>
            </w:r>
          </w:p>
        </w:tc>
        <w:tc>
          <w:tcPr>
            <w:tcW w:w="3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w w:val="93"/>
              </w:rPr>
              <w:t>%</w:t>
            </w: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2"/>
                <w:szCs w:val="12"/>
                <w:color w:val="auto"/>
              </w:rPr>
              <w:t>37.1</w:t>
            </w:r>
          </w:p>
        </w:tc>
        <w:tc>
          <w:tcPr>
            <w:tcW w:w="3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right="40" w:firstLine="353"/>
        <w:spacing w:after="0" w:line="275" w:lineRule="auto"/>
        <w:rPr>
          <w:sz w:val="20"/>
          <w:szCs w:val="20"/>
          <w:color w:val="auto"/>
        </w:rPr>
      </w:pPr>
      <w:r>
        <w:rPr>
          <w:rFonts w:ascii="Arial" w:cs="Arial" w:eastAsia="Arial" w:hAnsi="Arial"/>
          <w:sz w:val="13"/>
          <w:szCs w:val="13"/>
          <w:color w:val="auto"/>
        </w:rPr>
        <w:t>We include penalties and interest on income-based taxes in the “General and administrative” line on our Consolidated Statements of Comprehensive Income (Loss). Penalties and interest were insignificant for the years ended December 31, 2021 2020, and 2019.</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Income tax expense as set forth in the Consolidated Statements of Comprehensive Income (Loss) consisted of the following components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w w:val="89"/>
              </w:rPr>
              <w:t>Years ended December 31,</w:t>
            </w: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47"/>
        </w:trPr>
        <w:tc>
          <w:tcPr>
            <w:tcW w:w="63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2"/>
                <w:szCs w:val="12"/>
                <w:b w:val="1"/>
                <w:bCs w:val="1"/>
                <w:color w:val="auto"/>
              </w:rPr>
              <w:t>2019</w:t>
            </w:r>
          </w:p>
        </w:tc>
      </w:tr>
      <w:tr>
        <w:trPr>
          <w:trHeight w:val="159"/>
        </w:trPr>
        <w:tc>
          <w:tcPr>
            <w:tcW w:w="63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Current taxes:</w:t>
            </w:r>
          </w:p>
        </w:tc>
        <w:tc>
          <w:tcPr>
            <w:tcW w:w="1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6"/>
        </w:trPr>
        <w:tc>
          <w:tcPr>
            <w:tcW w:w="6320" w:type="dxa"/>
            <w:vAlign w:val="bottom"/>
          </w:tcPr>
          <w:p>
            <w:pPr>
              <w:ind w:left="600"/>
              <w:spacing w:after="0"/>
              <w:rPr>
                <w:sz w:val="20"/>
                <w:szCs w:val="20"/>
                <w:color w:val="auto"/>
              </w:rPr>
            </w:pPr>
            <w:r>
              <w:rPr>
                <w:rFonts w:ascii="Arial" w:cs="Arial" w:eastAsia="Arial" w:hAnsi="Arial"/>
                <w:sz w:val="13"/>
                <w:szCs w:val="13"/>
                <w:color w:val="auto"/>
              </w:rPr>
              <w:t>U.S. Federal</w:t>
            </w:r>
          </w:p>
        </w:tc>
        <w:tc>
          <w:tcPr>
            <w:tcW w:w="1160" w:type="dxa"/>
            <w:vAlign w:val="bottom"/>
          </w:tcPr>
          <w:p>
            <w:pPr>
              <w:jc w:val="right"/>
              <w:ind w:right="67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3,482</w:t>
            </w:r>
          </w:p>
        </w:tc>
        <w:tc>
          <w:tcPr>
            <w:tcW w:w="10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1,350</w:t>
            </w: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424</w:t>
            </w:r>
          </w:p>
        </w:tc>
      </w:tr>
      <w:tr>
        <w:trPr>
          <w:trHeight w:val="167"/>
        </w:trPr>
        <w:tc>
          <w:tcPr>
            <w:tcW w:w="63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State and local</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66"/>
        </w:trPr>
        <w:tc>
          <w:tcPr>
            <w:tcW w:w="6320" w:type="dxa"/>
            <w:vAlign w:val="bottom"/>
            <w:tcBorders>
              <w:bottom w:val="single" w:sz="8" w:color="CCEEFF"/>
            </w:tcBorders>
          </w:tcPr>
          <w:p>
            <w:pPr>
              <w:ind w:left="600"/>
              <w:spacing w:after="0"/>
              <w:rPr>
                <w:sz w:val="20"/>
                <w:szCs w:val="20"/>
                <w:color w:val="auto"/>
              </w:rPr>
            </w:pPr>
            <w:r>
              <w:rPr>
                <w:rFonts w:ascii="Arial" w:cs="Arial" w:eastAsia="Arial" w:hAnsi="Arial"/>
                <w:sz w:val="13"/>
                <w:szCs w:val="13"/>
                <w:color w:val="auto"/>
              </w:rPr>
              <w:t>Foreign</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r>
      <w:tr>
        <w:trPr>
          <w:trHeight w:val="157"/>
        </w:trPr>
        <w:tc>
          <w:tcPr>
            <w:tcW w:w="632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Total current taxes</w:t>
            </w:r>
          </w:p>
        </w:tc>
        <w:tc>
          <w:tcPr>
            <w:tcW w:w="11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3,620</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r>
      <w:tr>
        <w:trPr>
          <w:trHeight w:val="152"/>
        </w:trPr>
        <w:tc>
          <w:tcPr>
            <w:tcW w:w="6320" w:type="dxa"/>
            <w:vAlign w:val="bottom"/>
          </w:tcPr>
          <w:p>
            <w:pPr>
              <w:ind w:left="360"/>
              <w:spacing w:after="0" w:line="149" w:lineRule="exact"/>
              <w:rPr>
                <w:sz w:val="20"/>
                <w:szCs w:val="20"/>
                <w:color w:val="auto"/>
              </w:rPr>
            </w:pPr>
            <w:r>
              <w:rPr>
                <w:rFonts w:ascii="Arial" w:cs="Arial" w:eastAsia="Arial" w:hAnsi="Arial"/>
                <w:sz w:val="13"/>
                <w:szCs w:val="13"/>
                <w:b w:val="1"/>
                <w:bCs w:val="1"/>
                <w:color w:val="auto"/>
              </w:rPr>
              <w:t>Deferred taxes:</w:t>
            </w: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1"/>
        </w:trPr>
        <w:tc>
          <w:tcPr>
            <w:tcW w:w="63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U.S. Federal</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w:t>
            </w:r>
          </w:p>
        </w:tc>
      </w:tr>
      <w:tr>
        <w:trPr>
          <w:trHeight w:val="166"/>
        </w:trPr>
        <w:tc>
          <w:tcPr>
            <w:tcW w:w="6320" w:type="dxa"/>
            <w:vAlign w:val="bottom"/>
          </w:tcPr>
          <w:p>
            <w:pPr>
              <w:ind w:left="600"/>
              <w:spacing w:after="0"/>
              <w:rPr>
                <w:sz w:val="20"/>
                <w:szCs w:val="20"/>
                <w:color w:val="auto"/>
              </w:rPr>
            </w:pPr>
            <w:r>
              <w:rPr>
                <w:rFonts w:ascii="Arial" w:cs="Arial" w:eastAsia="Arial" w:hAnsi="Arial"/>
                <w:sz w:val="13"/>
                <w:szCs w:val="13"/>
                <w:color w:val="auto"/>
              </w:rPr>
              <w:t>State and local</w:t>
            </w:r>
          </w:p>
        </w:tc>
        <w:tc>
          <w:tcPr>
            <w:tcW w:w="1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222</w:t>
            </w:r>
          </w:p>
        </w:tc>
      </w:tr>
      <w:tr>
        <w:trPr>
          <w:trHeight w:val="167"/>
        </w:trPr>
        <w:tc>
          <w:tcPr>
            <w:tcW w:w="63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Foreign</w:t>
            </w:r>
          </w:p>
        </w:tc>
        <w:tc>
          <w:tcPr>
            <w:tcW w:w="1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56"/>
        </w:trPr>
        <w:tc>
          <w:tcPr>
            <w:tcW w:w="6320" w:type="dxa"/>
            <w:vAlign w:val="bottom"/>
            <w:tcBorders>
              <w:bottom w:val="single" w:sz="8" w:color="CCEEFF"/>
            </w:tcBorders>
          </w:tcPr>
          <w:p>
            <w:pPr>
              <w:ind w:left="360"/>
              <w:spacing w:after="0" w:line="146" w:lineRule="exact"/>
              <w:rPr>
                <w:sz w:val="20"/>
                <w:szCs w:val="20"/>
                <w:color w:val="auto"/>
              </w:rPr>
            </w:pPr>
            <w:r>
              <w:rPr>
                <w:rFonts w:ascii="Arial" w:cs="Arial" w:eastAsia="Arial" w:hAnsi="Arial"/>
                <w:sz w:val="13"/>
                <w:szCs w:val="13"/>
                <w:color w:val="auto"/>
              </w:rPr>
              <w:t>Total deferred taxes</w:t>
            </w:r>
          </w:p>
        </w:tc>
        <w:tc>
          <w:tcPr>
            <w:tcW w:w="1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2,906</w:t>
            </w:r>
          </w:p>
        </w:tc>
      </w:tr>
      <w:tr>
        <w:trPr>
          <w:trHeight w:val="176"/>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Total income tax expense</w:t>
            </w:r>
          </w:p>
        </w:tc>
        <w:tc>
          <w:tcPr>
            <w:tcW w:w="11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4,240</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3,491</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Income Taxes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tax effects of temporary differences that give rise to the deferred tax assets and deferred tax liabilities are presented below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8"/>
              </w:rPr>
              <w:t>As of December 31,</w:t>
            </w:r>
          </w:p>
        </w:tc>
        <w:tc>
          <w:tcPr>
            <w:tcW w:w="720" w:type="dxa"/>
            <w:vAlign w:val="bottom"/>
            <w:tcBorders>
              <w:bottom w:val="single" w:sz="8" w:color="auto"/>
            </w:tcBorders>
          </w:tcPr>
          <w:p>
            <w:pPr>
              <w:spacing w:after="0"/>
              <w:rPr>
                <w:sz w:val="13"/>
                <w:szCs w:val="13"/>
                <w:color w:val="auto"/>
              </w:rPr>
            </w:pPr>
          </w:p>
        </w:tc>
      </w:tr>
      <w:tr>
        <w:trPr>
          <w:trHeight w:val="147"/>
        </w:trPr>
        <w:tc>
          <w:tcPr>
            <w:tcW w:w="83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2"/>
                <w:szCs w:val="12"/>
                <w:b w:val="1"/>
                <w:bCs w:val="1"/>
                <w:color w:val="auto"/>
              </w:rPr>
              <w:t>2020</w:t>
            </w:r>
          </w:p>
        </w:tc>
      </w:tr>
      <w:tr>
        <w:trPr>
          <w:trHeight w:val="159"/>
        </w:trPr>
        <w:tc>
          <w:tcPr>
            <w:tcW w:w="836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Deferred tax assets:</w:t>
            </w: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6"/>
        </w:trPr>
        <w:tc>
          <w:tcPr>
            <w:tcW w:w="8360" w:type="dxa"/>
            <w:vAlign w:val="bottom"/>
          </w:tcPr>
          <w:p>
            <w:pPr>
              <w:ind w:left="680"/>
              <w:spacing w:after="0"/>
              <w:rPr>
                <w:sz w:val="20"/>
                <w:szCs w:val="20"/>
                <w:color w:val="auto"/>
              </w:rPr>
            </w:pPr>
            <w:r>
              <w:rPr>
                <w:rFonts w:ascii="Arial" w:cs="Arial" w:eastAsia="Arial" w:hAnsi="Arial"/>
                <w:sz w:val="13"/>
                <w:szCs w:val="13"/>
                <w:color w:val="auto"/>
              </w:rPr>
              <w:t>Stock-based compensation expense</w:t>
            </w:r>
          </w:p>
        </w:tc>
        <w:tc>
          <w:tcPr>
            <w:tcW w:w="1020" w:type="dxa"/>
            <w:vAlign w:val="bottom"/>
          </w:tcPr>
          <w:p>
            <w:pPr>
              <w:jc w:val="right"/>
              <w:ind w:right="517"/>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1,685</w:t>
            </w:r>
          </w:p>
        </w:tc>
      </w:tr>
      <w:tr>
        <w:trPr>
          <w:trHeight w:val="167"/>
        </w:trPr>
        <w:tc>
          <w:tcPr>
            <w:tcW w:w="83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Deferred rent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1,344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w:t>
            </w:r>
          </w:p>
        </w:tc>
      </w:tr>
      <w:tr>
        <w:trPr>
          <w:trHeight w:val="166"/>
        </w:trPr>
        <w:tc>
          <w:tcPr>
            <w:tcW w:w="8360" w:type="dxa"/>
            <w:vAlign w:val="bottom"/>
          </w:tcPr>
          <w:p>
            <w:pPr>
              <w:ind w:left="680"/>
              <w:spacing w:after="0"/>
              <w:rPr>
                <w:sz w:val="20"/>
                <w:szCs w:val="20"/>
                <w:color w:val="auto"/>
              </w:rPr>
            </w:pPr>
            <w:r>
              <w:rPr>
                <w:rFonts w:ascii="Arial" w:cs="Arial" w:eastAsia="Arial" w:hAnsi="Arial"/>
                <w:sz w:val="13"/>
                <w:szCs w:val="13"/>
                <w:color w:val="auto"/>
              </w:rPr>
              <w:t>Compensation and benefits payable</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1,946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1,617</w:t>
            </w:r>
          </w:p>
        </w:tc>
      </w:tr>
      <w:tr>
        <w:trPr>
          <w:trHeight w:val="167"/>
        </w:trPr>
        <w:tc>
          <w:tcPr>
            <w:tcW w:w="83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Federal unrecognized tax benefit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6"/>
        </w:trPr>
        <w:tc>
          <w:tcPr>
            <w:tcW w:w="8360" w:type="dxa"/>
            <w:vAlign w:val="bottom"/>
          </w:tcPr>
          <w:p>
            <w:pPr>
              <w:ind w:left="680"/>
              <w:spacing w:after="0"/>
              <w:rPr>
                <w:sz w:val="20"/>
                <w:szCs w:val="20"/>
                <w:color w:val="auto"/>
              </w:rPr>
            </w:pPr>
            <w:r>
              <w:rPr>
                <w:rFonts w:ascii="Arial" w:cs="Arial" w:eastAsia="Arial" w:hAnsi="Arial"/>
                <w:sz w:val="13"/>
                <w:szCs w:val="13"/>
                <w:color w:val="auto"/>
              </w:rPr>
              <w:t>Deferred compensation</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3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8360" w:type="dxa"/>
            <w:vAlign w:val="bottom"/>
            <w:tcBorders>
              <w:bottom w:val="single" w:sz="8" w:color="CCEEFF"/>
            </w:tcBorders>
          </w:tcPr>
          <w:p>
            <w:pPr>
              <w:ind w:left="360"/>
              <w:spacing w:after="0" w:line="146" w:lineRule="exact"/>
              <w:rPr>
                <w:sz w:val="20"/>
                <w:szCs w:val="20"/>
                <w:color w:val="auto"/>
              </w:rPr>
            </w:pPr>
            <w:r>
              <w:rPr>
                <w:rFonts w:ascii="Arial" w:cs="Arial" w:eastAsia="Arial" w:hAnsi="Arial"/>
                <w:sz w:val="13"/>
                <w:szCs w:val="13"/>
                <w:color w:val="auto"/>
              </w:rPr>
              <w:t>Total deferred tax assets</w:t>
            </w: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4,370</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5,074</w:t>
            </w:r>
          </w:p>
        </w:tc>
      </w:tr>
      <w:tr>
        <w:trPr>
          <w:trHeight w:val="157"/>
        </w:trPr>
        <w:tc>
          <w:tcPr>
            <w:tcW w:w="836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Deferred tax liabilities:</w:t>
            </w: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6"/>
        </w:trPr>
        <w:tc>
          <w:tcPr>
            <w:tcW w:w="8360" w:type="dxa"/>
            <w:vAlign w:val="bottom"/>
          </w:tcPr>
          <w:p>
            <w:pPr>
              <w:ind w:left="680"/>
              <w:spacing w:after="0"/>
              <w:rPr>
                <w:sz w:val="20"/>
                <w:szCs w:val="20"/>
                <w:color w:val="auto"/>
              </w:rPr>
            </w:pPr>
            <w:r>
              <w:rPr>
                <w:rFonts w:ascii="Arial" w:cs="Arial" w:eastAsia="Arial" w:hAnsi="Arial"/>
                <w:sz w:val="13"/>
                <w:szCs w:val="13"/>
                <w:color w:val="auto"/>
              </w:rPr>
              <w:t>Property and equipment</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(429)</w:t>
            </w:r>
          </w:p>
        </w:tc>
      </w:tr>
      <w:tr>
        <w:trPr>
          <w:trHeight w:val="167"/>
        </w:trPr>
        <w:tc>
          <w:tcPr>
            <w:tcW w:w="83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Intangibles</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(1,256)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r>
      <w:tr>
        <w:trPr>
          <w:trHeight w:val="166"/>
        </w:trPr>
        <w:tc>
          <w:tcPr>
            <w:tcW w:w="8360" w:type="dxa"/>
            <w:vAlign w:val="bottom"/>
          </w:tcPr>
          <w:p>
            <w:pPr>
              <w:ind w:left="680"/>
              <w:spacing w:after="0"/>
              <w:rPr>
                <w:sz w:val="20"/>
                <w:szCs w:val="20"/>
                <w:color w:val="auto"/>
              </w:rPr>
            </w:pPr>
            <w:r>
              <w:rPr>
                <w:rFonts w:ascii="Arial" w:cs="Arial" w:eastAsia="Arial" w:hAnsi="Arial"/>
                <w:sz w:val="13"/>
                <w:szCs w:val="13"/>
                <w:color w:val="auto"/>
              </w:rPr>
              <w:t>Unrealized gains on investments</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(790)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(585)</w:t>
            </w:r>
          </w:p>
        </w:tc>
      </w:tr>
      <w:tr>
        <w:trPr>
          <w:trHeight w:val="167"/>
        </w:trPr>
        <w:tc>
          <w:tcPr>
            <w:tcW w:w="83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Leases</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(1,232)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w:t>
            </w:r>
          </w:p>
        </w:tc>
      </w:tr>
      <w:tr>
        <w:trPr>
          <w:trHeight w:val="166"/>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r>
      <w:tr>
        <w:trPr>
          <w:trHeight w:val="157"/>
        </w:trPr>
        <w:tc>
          <w:tcPr>
            <w:tcW w:w="836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Total deferred tax liabilities</w:t>
            </w:r>
          </w:p>
        </w:tc>
        <w:tc>
          <w:tcPr>
            <w:tcW w:w="10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(3,522)</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(3,606)</w:t>
            </w:r>
          </w:p>
        </w:tc>
      </w:tr>
      <w:tr>
        <w:trPr>
          <w:trHeight w:val="156"/>
        </w:trPr>
        <w:tc>
          <w:tcPr>
            <w:tcW w:w="8360" w:type="dxa"/>
            <w:vAlign w:val="bottom"/>
          </w:tcPr>
          <w:p>
            <w:pPr>
              <w:ind w:left="360"/>
              <w:spacing w:after="0" w:line="149" w:lineRule="exact"/>
              <w:rPr>
                <w:sz w:val="20"/>
                <w:szCs w:val="20"/>
                <w:color w:val="auto"/>
              </w:rPr>
            </w:pPr>
            <w:r>
              <w:rPr>
                <w:rFonts w:ascii="Arial" w:cs="Arial" w:eastAsia="Arial" w:hAnsi="Arial"/>
                <w:sz w:val="13"/>
                <w:szCs w:val="13"/>
                <w:b w:val="1"/>
                <w:bCs w:val="1"/>
                <w:color w:val="auto"/>
              </w:rPr>
              <w:t>Net deferred tax assets</w:t>
            </w: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848</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w:t>
            </w:r>
          </w:p>
        </w:tc>
      </w:tr>
      <w:tr>
        <w:trPr>
          <w:trHeight w:val="20"/>
        </w:trPr>
        <w:tc>
          <w:tcPr>
            <w:tcW w:w="8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right="200" w:firstLine="353"/>
        <w:spacing w:after="0" w:line="275" w:lineRule="auto"/>
        <w:rPr>
          <w:sz w:val="20"/>
          <w:szCs w:val="20"/>
          <w:color w:val="auto"/>
        </w:rPr>
      </w:pPr>
      <w:r>
        <w:rPr>
          <w:rFonts w:ascii="Arial" w:cs="Arial" w:eastAsia="Arial" w:hAnsi="Arial"/>
          <w:sz w:val="13"/>
          <w:szCs w:val="13"/>
          <w:color w:val="auto"/>
        </w:rPr>
        <w:t>The Company is subject to taxation in the U. S. and various state and foreign jurisdictions. As of December 31, 2021, the Company’s 2018, 2019 and 2020 tax years are open for examination by the Internal Revenue Service, and various state and foreign jurisdiction tax years remain open to examination.</w:t>
      </w:r>
    </w:p>
    <w:p>
      <w:pPr>
        <w:spacing w:after="0" w:line="49" w:lineRule="exact"/>
        <w:rPr>
          <w:sz w:val="20"/>
          <w:szCs w:val="20"/>
          <w:color w:val="auto"/>
        </w:rPr>
      </w:pPr>
    </w:p>
    <w:p>
      <w:pPr>
        <w:ind w:right="40" w:firstLine="353"/>
        <w:spacing w:after="0" w:line="288" w:lineRule="auto"/>
        <w:rPr>
          <w:sz w:val="20"/>
          <w:szCs w:val="20"/>
          <w:color w:val="auto"/>
        </w:rPr>
      </w:pPr>
      <w:r>
        <w:rPr>
          <w:rFonts w:ascii="Arial" w:cs="Arial" w:eastAsia="Arial" w:hAnsi="Arial"/>
          <w:sz w:val="12"/>
          <w:szCs w:val="12"/>
          <w:color w:val="auto"/>
        </w:rPr>
        <w:t>At December 31, 2021, the Company's gross liability related to uncertain tax positions was de minimis. At December 31, 2020, the Company's gross liability related to uncertain tax positions was $0.2 million.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the related interest and penalties, are reversed as a reduction of income tax expense, net of federal tax effects, in the period such determination is made. A reconciliation of the change in recorded uncertain tax positions during the years ended December 31, 2021 and 2020 is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620" w:type="dxa"/>
            <w:vAlign w:val="bottom"/>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r>
      <w:tr>
        <w:trPr>
          <w:trHeight w:val="166"/>
        </w:trPr>
        <w:tc>
          <w:tcPr>
            <w:tcW w:w="9820" w:type="dxa"/>
            <w:vAlign w:val="bottom"/>
          </w:tcPr>
          <w:p>
            <w:pPr>
              <w:ind w:left="100"/>
              <w:spacing w:after="0"/>
              <w:rPr>
                <w:sz w:val="20"/>
                <w:szCs w:val="20"/>
                <w:color w:val="auto"/>
              </w:rPr>
            </w:pPr>
            <w:r>
              <w:rPr>
                <w:rFonts w:ascii="Arial" w:cs="Arial" w:eastAsia="Arial" w:hAnsi="Arial"/>
                <w:sz w:val="13"/>
                <w:szCs w:val="13"/>
                <w:color w:val="auto"/>
              </w:rPr>
              <w:t>Additions for tax positions related to the current year</w:t>
            </w: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7"/>
        </w:trPr>
        <w:tc>
          <w:tcPr>
            <w:tcW w:w="9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Reductions for tax positions related to prior years</w:t>
            </w: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6"/>
        </w:trPr>
        <w:tc>
          <w:tcPr>
            <w:tcW w:w="98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Settlements</w:t>
            </w: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57"/>
        </w:trPr>
        <w:tc>
          <w:tcPr>
            <w:tcW w:w="9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r>
      <w:tr>
        <w:trPr>
          <w:trHeight w:val="166"/>
        </w:trPr>
        <w:tc>
          <w:tcPr>
            <w:tcW w:w="9820" w:type="dxa"/>
            <w:vAlign w:val="bottom"/>
          </w:tcPr>
          <w:p>
            <w:pPr>
              <w:ind w:left="100"/>
              <w:spacing w:after="0"/>
              <w:rPr>
                <w:sz w:val="20"/>
                <w:szCs w:val="20"/>
                <w:color w:val="auto"/>
              </w:rPr>
            </w:pPr>
            <w:r>
              <w:rPr>
                <w:rFonts w:ascii="Arial" w:cs="Arial" w:eastAsia="Arial" w:hAnsi="Arial"/>
                <w:sz w:val="13"/>
                <w:szCs w:val="13"/>
                <w:color w:val="auto"/>
              </w:rPr>
              <w:t>Additions for tax positions related to the current year</w:t>
            </w: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67"/>
        </w:trPr>
        <w:tc>
          <w:tcPr>
            <w:tcW w:w="9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Reductions for tax positions related to prior years</w:t>
            </w:r>
          </w:p>
        </w:tc>
        <w:tc>
          <w:tcPr>
            <w:tcW w:w="6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57"/>
        </w:trPr>
        <w:tc>
          <w:tcPr>
            <w:tcW w:w="982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62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20"/>
        </w:trPr>
        <w:tc>
          <w:tcPr>
            <w:tcW w:w="9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440" w:firstLine="353"/>
        <w:spacing w:after="0" w:line="275" w:lineRule="auto"/>
        <w:rPr>
          <w:sz w:val="20"/>
          <w:szCs w:val="20"/>
          <w:color w:val="auto"/>
        </w:rPr>
      </w:pPr>
      <w:r>
        <w:rPr>
          <w:rFonts w:ascii="Arial" w:cs="Arial" w:eastAsia="Arial" w:hAnsi="Arial"/>
          <w:sz w:val="13"/>
          <w:szCs w:val="13"/>
          <w:color w:val="auto"/>
        </w:rPr>
        <w:t>It is reasonably possible that the liability for uncertain tax positions could be eliminated within the next twelve months as a result of settlements with certain taxing authorities that, if recognized, would decrease our provision for income taxes accordingly.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EARNINGS (LOSS) PER SHARE:</w:t>
      </w:r>
    </w:p>
    <w:p>
      <w:pPr>
        <w:spacing w:after="0" w:line="90" w:lineRule="exact"/>
        <w:rPr>
          <w:sz w:val="20"/>
          <w:szCs w:val="20"/>
          <w:color w:val="auto"/>
        </w:rPr>
      </w:pPr>
    </w:p>
    <w:p>
      <w:pPr>
        <w:ind w:right="60" w:firstLine="353"/>
        <w:spacing w:after="0" w:line="275" w:lineRule="auto"/>
        <w:rPr>
          <w:sz w:val="20"/>
          <w:szCs w:val="20"/>
          <w:color w:val="auto"/>
        </w:rPr>
      </w:pPr>
      <w:r>
        <w:rPr>
          <w:rFonts w:ascii="Arial" w:cs="Arial" w:eastAsia="Arial" w:hAnsi="Arial"/>
          <w:sz w:val="13"/>
          <w:szCs w:val="13"/>
          <w:color w:val="auto"/>
        </w:rPr>
        <w:t>Basic earnings (loss) per common share (“EPS”) is computed by dividing net income (loss) available to common stockholders by the weighted average number of shares outstanding. Diluted EPS is computed based on the weighted average shares of common stock outstanding plus the effect of any dilutive shares of restricted stock granted to employees and non-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4" w:name="page65"/>
    <w:bookmarkEnd w:id="64"/>
    <w:p>
      <w:pPr>
        <w:jc w:val="center"/>
        <w:ind w:right="-1"/>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left="2"/>
        <w:spacing w:after="0"/>
        <w:rPr>
          <w:sz w:val="20"/>
          <w:szCs w:val="20"/>
          <w:color w:val="auto"/>
        </w:rPr>
      </w:pPr>
      <w:r>
        <w:rPr>
          <w:rFonts w:ascii="Arial" w:cs="Arial" w:eastAsia="Arial" w:hAnsi="Arial"/>
          <w:sz w:val="13"/>
          <w:szCs w:val="13"/>
          <w:color w:val="auto"/>
        </w:rPr>
        <w:t>employee directors. There were approximately 116,000, 381,000 and 76,000 anti-dilutive restricted shares as of December 31, 2021, 2020 and 2019, respectively.</w:t>
      </w:r>
    </w:p>
    <w:p>
      <w:pPr>
        <w:spacing w:after="0" w:line="86" w:lineRule="exact"/>
        <w:rPr>
          <w:sz w:val="20"/>
          <w:szCs w:val="20"/>
          <w:color w:val="auto"/>
        </w:rPr>
      </w:pPr>
    </w:p>
    <w:p>
      <w:pPr>
        <w:ind w:left="362"/>
        <w:spacing w:after="0"/>
        <w:rPr>
          <w:sz w:val="20"/>
          <w:szCs w:val="20"/>
          <w:color w:val="auto"/>
        </w:rPr>
      </w:pPr>
      <w:r>
        <w:rPr>
          <w:rFonts w:ascii="Arial" w:cs="Arial" w:eastAsia="Arial" w:hAnsi="Arial"/>
          <w:sz w:val="13"/>
          <w:szCs w:val="13"/>
          <w:color w:val="auto"/>
        </w:rPr>
        <w:t>The following table sets forth the computation of basic and diluted earnings per share (in thousands, except per share and share amounts):</w:t>
      </w:r>
    </w:p>
    <w:p>
      <w:pPr>
        <w:spacing w:after="0" w:line="37"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65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w w:val="87"/>
              </w:rPr>
              <w:t>Years ended December 31,</w:t>
            </w: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47"/>
        </w:trPr>
        <w:tc>
          <w:tcPr>
            <w:tcW w:w="65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2"/>
                <w:szCs w:val="12"/>
                <w:b w:val="1"/>
                <w:bCs w:val="1"/>
                <w:color w:val="auto"/>
              </w:rPr>
              <w:t>2019</w:t>
            </w:r>
          </w:p>
        </w:tc>
      </w:tr>
      <w:tr>
        <w:trPr>
          <w:trHeight w:val="159"/>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income (loss)</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9,763</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5,911</w:t>
            </w:r>
          </w:p>
        </w:tc>
      </w:tr>
      <w:tr>
        <w:trPr>
          <w:trHeight w:val="157"/>
        </w:trPr>
        <w:tc>
          <w:tcPr>
            <w:tcW w:w="6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7"/>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Weighted average shares outstanding – basic</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7,875,395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7,987,554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8,408,017</w:t>
            </w:r>
          </w:p>
        </w:tc>
      </w:tr>
      <w:tr>
        <w:trPr>
          <w:trHeight w:val="166"/>
        </w:trPr>
        <w:tc>
          <w:tcPr>
            <w:tcW w:w="6520" w:type="dxa"/>
            <w:vAlign w:val="bottom"/>
          </w:tcPr>
          <w:p>
            <w:pPr>
              <w:ind w:left="600"/>
              <w:spacing w:after="0"/>
              <w:rPr>
                <w:sz w:val="20"/>
                <w:szCs w:val="20"/>
                <w:color w:val="auto"/>
              </w:rPr>
            </w:pPr>
            <w:r>
              <w:rPr>
                <w:rFonts w:ascii="Arial" w:cs="Arial" w:eastAsia="Arial" w:hAnsi="Arial"/>
                <w:sz w:val="13"/>
                <w:szCs w:val="13"/>
                <w:color w:val="auto"/>
              </w:rPr>
              <w:t>Dilutive potential shares from unvested restricted shares</w:t>
            </w: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52,577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55,222</w:t>
            </w:r>
          </w:p>
        </w:tc>
      </w:tr>
      <w:tr>
        <w:trPr>
          <w:trHeight w:val="157"/>
        </w:trPr>
        <w:tc>
          <w:tcPr>
            <w:tcW w:w="6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Weighted average shares outstanding – diluted</w:t>
            </w:r>
          </w:p>
        </w:tc>
        <w:tc>
          <w:tcPr>
            <w:tcW w:w="6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7,927,972</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7,987,554</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8,463,239</w:t>
            </w:r>
          </w:p>
        </w:tc>
      </w:tr>
      <w:tr>
        <w:trPr>
          <w:trHeight w:val="167"/>
        </w:trPr>
        <w:tc>
          <w:tcPr>
            <w:tcW w:w="6520" w:type="dxa"/>
            <w:vAlign w:val="bottom"/>
          </w:tcPr>
          <w:p>
            <w:pPr>
              <w:ind w:left="360"/>
              <w:spacing w:after="0"/>
              <w:rPr>
                <w:sz w:val="20"/>
                <w:szCs w:val="20"/>
                <w:color w:val="auto"/>
              </w:rPr>
            </w:pPr>
            <w:r>
              <w:rPr>
                <w:rFonts w:ascii="Arial" w:cs="Arial" w:eastAsia="Arial" w:hAnsi="Arial"/>
                <w:sz w:val="13"/>
                <w:szCs w:val="13"/>
                <w:b w:val="1"/>
                <w:bCs w:val="1"/>
                <w:color w:val="auto"/>
              </w:rPr>
              <w:t>Earnings (loss) per share:</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5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Basic</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0.70</w:t>
            </w:r>
          </w:p>
        </w:tc>
      </w:tr>
      <w:tr>
        <w:trPr>
          <w:trHeight w:val="165"/>
        </w:trPr>
        <w:tc>
          <w:tcPr>
            <w:tcW w:w="6520" w:type="dxa"/>
            <w:vAlign w:val="bottom"/>
          </w:tcPr>
          <w:p>
            <w:pPr>
              <w:ind w:left="600"/>
              <w:spacing w:after="0"/>
              <w:rPr>
                <w:sz w:val="20"/>
                <w:szCs w:val="20"/>
                <w:color w:val="auto"/>
              </w:rPr>
            </w:pPr>
            <w:r>
              <w:rPr>
                <w:rFonts w:ascii="Arial" w:cs="Arial" w:eastAsia="Arial" w:hAnsi="Arial"/>
                <w:sz w:val="13"/>
                <w:szCs w:val="13"/>
                <w:color w:val="auto"/>
              </w:rPr>
              <w:t>Diluted</w:t>
            </w:r>
          </w:p>
        </w:tc>
        <w:tc>
          <w:tcPr>
            <w:tcW w:w="64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6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0.70</w:t>
            </w:r>
          </w:p>
        </w:tc>
      </w:tr>
    </w:tbl>
    <w:p>
      <w:pPr>
        <w:spacing w:after="0" w:line="312" w:lineRule="exact"/>
        <w:rPr>
          <w:sz w:val="20"/>
          <w:szCs w:val="20"/>
          <w:color w:val="auto"/>
        </w:rPr>
      </w:pPr>
    </w:p>
    <w:p>
      <w:pPr>
        <w:ind w:left="2" w:right="8080" w:hanging="2"/>
        <w:spacing w:after="0" w:line="380" w:lineRule="auto"/>
        <w:tabs>
          <w:tab w:leader="none" w:pos="198"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 Goodwill</w:t>
      </w:r>
    </w:p>
    <w:p>
      <w:pPr>
        <w:spacing w:after="0" w:line="1" w:lineRule="exact"/>
        <w:rPr>
          <w:sz w:val="20"/>
          <w:szCs w:val="20"/>
          <w:color w:val="auto"/>
        </w:rPr>
      </w:pPr>
    </w:p>
    <w:p>
      <w:pPr>
        <w:ind w:left="362"/>
        <w:spacing w:after="0"/>
        <w:rPr>
          <w:sz w:val="20"/>
          <w:szCs w:val="20"/>
          <w:color w:val="auto"/>
        </w:rPr>
      </w:pPr>
      <w:r>
        <w:rPr>
          <w:rFonts w:ascii="Arial" w:cs="Arial" w:eastAsia="Arial" w:hAnsi="Arial"/>
          <w:sz w:val="12"/>
          <w:szCs w:val="12"/>
          <w:color w:val="auto"/>
        </w:rPr>
        <w:t>Goodwill represents the excess of the cost of acquired assets over the fair value of the underlying identifiable assets at the date of acquisition. Changes in goodwill were as follows (in thousands):</w:t>
      </w:r>
    </w:p>
    <w:p>
      <w:pPr>
        <w:spacing w:after="0" w:line="48"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782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2"/>
                <w:szCs w:val="12"/>
                <w:b w:val="1"/>
                <w:bCs w:val="1"/>
                <w:color w:val="auto"/>
              </w:rPr>
              <w:t>As of December 31,</w:t>
            </w:r>
          </w:p>
        </w:tc>
        <w:tc>
          <w:tcPr>
            <w:tcW w:w="920" w:type="dxa"/>
            <w:vAlign w:val="bottom"/>
            <w:tcBorders>
              <w:bottom w:val="single" w:sz="8" w:color="auto"/>
            </w:tcBorders>
          </w:tcPr>
          <w:p>
            <w:pPr>
              <w:spacing w:after="0"/>
              <w:rPr>
                <w:sz w:val="13"/>
                <w:szCs w:val="13"/>
                <w:color w:val="auto"/>
              </w:rPr>
            </w:pPr>
          </w:p>
        </w:tc>
      </w:tr>
      <w:tr>
        <w:trPr>
          <w:trHeight w:val="147"/>
        </w:trPr>
        <w:tc>
          <w:tcPr>
            <w:tcW w:w="78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r>
      <w:tr>
        <w:trPr>
          <w:trHeight w:val="149"/>
        </w:trPr>
        <w:tc>
          <w:tcPr>
            <w:tcW w:w="782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Beginning balance</w:t>
            </w:r>
          </w:p>
        </w:tc>
        <w:tc>
          <w:tcPr>
            <w:tcW w:w="1220" w:type="dxa"/>
            <w:vAlign w:val="bottom"/>
            <w:shd w:val="clear" w:color="auto" w:fill="CCEEFF"/>
          </w:tcPr>
          <w:p>
            <w:pPr>
              <w:jc w:val="right"/>
              <w:ind w:right="739"/>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16,401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7"/>
              </w:rPr>
              <w:t>19,804</w:t>
            </w:r>
          </w:p>
        </w:tc>
      </w:tr>
      <w:tr>
        <w:trPr>
          <w:trHeight w:val="166"/>
        </w:trPr>
        <w:tc>
          <w:tcPr>
            <w:tcW w:w="7820" w:type="dxa"/>
            <w:vAlign w:val="bottom"/>
          </w:tcPr>
          <w:p>
            <w:pPr>
              <w:ind w:left="360"/>
              <w:spacing w:after="0"/>
              <w:rPr>
                <w:sz w:val="20"/>
                <w:szCs w:val="20"/>
                <w:color w:val="auto"/>
              </w:rPr>
            </w:pPr>
            <w:r>
              <w:rPr>
                <w:rFonts w:ascii="Arial" w:cs="Arial" w:eastAsia="Arial" w:hAnsi="Arial"/>
                <w:sz w:val="13"/>
                <w:szCs w:val="13"/>
                <w:color w:val="auto"/>
              </w:rPr>
              <w:t>Impairment expense</w:t>
            </w:r>
          </w:p>
        </w:tc>
        <w:tc>
          <w:tcPr>
            <w:tcW w:w="12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4"/>
                <w:szCs w:val="14"/>
                <w:color w:val="auto"/>
              </w:rPr>
            </w:pPr>
          </w:p>
        </w:tc>
        <w:tc>
          <w:tcPr>
            <w:tcW w:w="920" w:type="dxa"/>
            <w:vAlign w:val="bottom"/>
          </w:tcPr>
          <w:p>
            <w:pPr>
              <w:ind w:left="540"/>
              <w:spacing w:after="0"/>
              <w:rPr>
                <w:sz w:val="20"/>
                <w:szCs w:val="20"/>
                <w:color w:val="auto"/>
              </w:rPr>
            </w:pPr>
            <w:r>
              <w:rPr>
                <w:rFonts w:ascii="Arial" w:cs="Arial" w:eastAsia="Arial" w:hAnsi="Arial"/>
                <w:sz w:val="12"/>
                <w:szCs w:val="12"/>
                <w:color w:val="auto"/>
                <w:w w:val="94"/>
              </w:rPr>
              <w:t>(3,403)</w:t>
            </w:r>
          </w:p>
        </w:tc>
      </w:tr>
      <w:tr>
        <w:trPr>
          <w:trHeight w:val="166"/>
        </w:trPr>
        <w:tc>
          <w:tcPr>
            <w:tcW w:w="7820" w:type="dxa"/>
            <w:vAlign w:val="bottom"/>
            <w:tcBorders>
              <w:top w:val="single" w:sz="8" w:color="CCEEFF"/>
              <w:bottom w:val="single" w:sz="8" w:color="CCEEFF"/>
            </w:tcBorders>
            <w:shd w:val="clear" w:color="auto" w:fill="CCEEFF"/>
          </w:tcPr>
          <w:p>
            <w:pPr>
              <w:ind w:left="360"/>
              <w:spacing w:after="0" w:line="146" w:lineRule="exact"/>
              <w:rPr>
                <w:sz w:val="20"/>
                <w:szCs w:val="20"/>
                <w:color w:val="auto"/>
              </w:rPr>
            </w:pPr>
            <w:r>
              <w:rPr>
                <w:rFonts w:ascii="Arial" w:cs="Arial" w:eastAsia="Arial" w:hAnsi="Arial"/>
                <w:sz w:val="13"/>
                <w:szCs w:val="13"/>
                <w:color w:val="auto"/>
              </w:rPr>
              <w:t>Ending balance</w:t>
            </w:r>
          </w:p>
        </w:tc>
        <w:tc>
          <w:tcPr>
            <w:tcW w:w="12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258"/>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w w:val="97"/>
              </w:rPr>
              <w:t>16,401</w:t>
            </w:r>
          </w:p>
        </w:tc>
      </w:tr>
    </w:tbl>
    <w:p>
      <w:pPr>
        <w:spacing w:after="0" w:line="383" w:lineRule="exact"/>
        <w:rPr>
          <w:sz w:val="20"/>
          <w:szCs w:val="20"/>
          <w:color w:val="auto"/>
        </w:rPr>
      </w:pPr>
    </w:p>
    <w:p>
      <w:pPr>
        <w:jc w:val="both"/>
        <w:ind w:left="2" w:right="20" w:firstLine="353"/>
        <w:spacing w:after="0" w:line="275" w:lineRule="auto"/>
        <w:rPr>
          <w:sz w:val="20"/>
          <w:szCs w:val="20"/>
          <w:color w:val="auto"/>
        </w:rPr>
      </w:pPr>
      <w:r>
        <w:rPr>
          <w:rFonts w:ascii="Arial" w:cs="Arial" w:eastAsia="Arial" w:hAnsi="Arial"/>
          <w:sz w:val="13"/>
          <w:szCs w:val="13"/>
          <w:color w:val="auto"/>
        </w:rPr>
        <w:t>Following a sustained decline in the Company's market capitalization, we determined in 2020 that the entire goodwill related to our Advisory segment was impaired, and recorded charges of $3.4 million in the year ended December 31, 2020 to "Impairment expense" on the Consolidated Statements of Comprehensive Income (Loss).</w:t>
      </w:r>
    </w:p>
    <w:p>
      <w:pPr>
        <w:spacing w:after="0" w:line="49" w:lineRule="exact"/>
        <w:rPr>
          <w:sz w:val="20"/>
          <w:szCs w:val="20"/>
          <w:color w:val="auto"/>
        </w:rPr>
      </w:pPr>
    </w:p>
    <w:p>
      <w:pPr>
        <w:ind w:left="2" w:right="200" w:firstLine="353"/>
        <w:spacing w:after="0" w:line="263" w:lineRule="auto"/>
        <w:rPr>
          <w:sz w:val="20"/>
          <w:szCs w:val="20"/>
          <w:color w:val="auto"/>
        </w:rPr>
      </w:pPr>
      <w:r>
        <w:rPr>
          <w:rFonts w:ascii="Arial" w:cs="Arial" w:eastAsia="Arial" w:hAnsi="Arial"/>
          <w:sz w:val="13"/>
          <w:szCs w:val="13"/>
          <w:color w:val="auto"/>
        </w:rPr>
        <w:t>We determined the fair value of each of our reporting units using a weighted average approach of the market and income approaches. As part of the 2020 Advisory reporting unit assessment, we determined that an increase in the discount rate (from the prior assessment) applied in the valuation was required to align with market-based assumptions. The higher discount rate, in conjunction with revised long-term projections resulted in a lower fair value of the Advisory segment.</w:t>
      </w:r>
    </w:p>
    <w:p>
      <w:pPr>
        <w:spacing w:after="0" w:line="5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Other Intangible Assets</w:t>
      </w:r>
    </w:p>
    <w:p>
      <w:pPr>
        <w:spacing w:after="0" w:line="90" w:lineRule="exact"/>
        <w:rPr>
          <w:sz w:val="20"/>
          <w:szCs w:val="20"/>
          <w:color w:val="auto"/>
        </w:rPr>
      </w:pPr>
    </w:p>
    <w:p>
      <w:pPr>
        <w:ind w:left="2" w:right="160" w:firstLine="353"/>
        <w:spacing w:after="0" w:line="275" w:lineRule="auto"/>
        <w:rPr>
          <w:sz w:val="20"/>
          <w:szCs w:val="20"/>
          <w:color w:val="auto"/>
        </w:rPr>
      </w:pPr>
      <w:r>
        <w:rPr>
          <w:rFonts w:ascii="Arial" w:cs="Arial" w:eastAsia="Arial" w:hAnsi="Arial"/>
          <w:sz w:val="13"/>
          <w:szCs w:val="13"/>
          <w:color w:val="auto"/>
        </w:rPr>
        <w:t>Our intangible assets represent the acquisition date fair value of acquired client relationships, internally-developed software and trade names, and are reflected net of amortization. In valuing these assets, we made significant estimates regarding their useful lives, growth rates and potential attrition.</w:t>
      </w:r>
    </w:p>
    <w:p>
      <w:pPr>
        <w:spacing w:after="0" w:line="37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is a summary of intangible assets at December 31, 2021 and 2020 (in thousands, except years):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1520" w:type="dxa"/>
            <w:vAlign w:val="bottom"/>
            <w:gridSpan w:val="2"/>
          </w:tcPr>
          <w:p>
            <w:pPr>
              <w:jc w:val="center"/>
              <w:ind w:left="202"/>
              <w:spacing w:after="0"/>
              <w:rPr>
                <w:sz w:val="20"/>
                <w:szCs w:val="20"/>
                <w:color w:val="auto"/>
              </w:rPr>
            </w:pPr>
            <w:r>
              <w:rPr>
                <w:rFonts w:ascii="Arial" w:cs="Arial" w:eastAsia="Arial" w:hAnsi="Arial"/>
                <w:sz w:val="10"/>
                <w:szCs w:val="10"/>
                <w:b w:val="1"/>
                <w:bCs w:val="1"/>
                <w:color w:val="auto"/>
                <w:w w:val="93"/>
              </w:rPr>
              <w:t>Weighted Average</w:t>
            </w:r>
          </w:p>
        </w:tc>
        <w:tc>
          <w:tcPr>
            <w:tcW w:w="620" w:type="dxa"/>
            <w:vAlign w:val="bottom"/>
          </w:tcPr>
          <w:p>
            <w:pPr>
              <w:spacing w:after="0"/>
              <w:rPr>
                <w:sz w:val="10"/>
                <w:szCs w:val="1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Gross</w:t>
            </w:r>
          </w:p>
        </w:tc>
        <w:tc>
          <w:tcPr>
            <w:tcW w:w="560" w:type="dxa"/>
            <w:vAlign w:val="bottom"/>
          </w:tcPr>
          <w:p>
            <w:pPr>
              <w:spacing w:after="0"/>
              <w:rPr>
                <w:sz w:val="10"/>
                <w:szCs w:val="10"/>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Accumulated</w:t>
            </w:r>
          </w:p>
        </w:tc>
        <w:tc>
          <w:tcPr>
            <w:tcW w:w="620" w:type="dxa"/>
            <w:vAlign w:val="bottom"/>
          </w:tcPr>
          <w:p>
            <w:pPr>
              <w:spacing w:after="0"/>
              <w:rPr>
                <w:sz w:val="10"/>
                <w:szCs w:val="10"/>
                <w:color w:val="auto"/>
              </w:rPr>
            </w:pPr>
          </w:p>
        </w:tc>
        <w:tc>
          <w:tcPr>
            <w:tcW w:w="1020" w:type="dxa"/>
            <w:vAlign w:val="bottom"/>
          </w:tcPr>
          <w:p>
            <w:pPr>
              <w:jc w:val="center"/>
              <w:ind w:right="201"/>
              <w:spacing w:after="0"/>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98"/>
        </w:trPr>
        <w:tc>
          <w:tcPr>
            <w:tcW w:w="4640" w:type="dxa"/>
            <w:vAlign w:val="bottom"/>
          </w:tcPr>
          <w:p>
            <w:pPr>
              <w:spacing w:after="0"/>
              <w:rPr>
                <w:sz w:val="8"/>
                <w:szCs w:val="8"/>
                <w:color w:val="auto"/>
              </w:rPr>
            </w:pPr>
          </w:p>
        </w:tc>
        <w:tc>
          <w:tcPr>
            <w:tcW w:w="1520" w:type="dxa"/>
            <w:vAlign w:val="bottom"/>
            <w:gridSpan w:val="2"/>
          </w:tcPr>
          <w:p>
            <w:pPr>
              <w:jc w:val="center"/>
              <w:ind w:left="182"/>
              <w:spacing w:after="0" w:line="98" w:lineRule="exact"/>
              <w:rPr>
                <w:sz w:val="20"/>
                <w:szCs w:val="20"/>
                <w:color w:val="auto"/>
              </w:rPr>
            </w:pPr>
            <w:r>
              <w:rPr>
                <w:rFonts w:ascii="Arial" w:cs="Arial" w:eastAsia="Arial" w:hAnsi="Arial"/>
                <w:sz w:val="10"/>
                <w:szCs w:val="10"/>
                <w:b w:val="1"/>
                <w:bCs w:val="1"/>
                <w:color w:val="auto"/>
                <w:w w:val="98"/>
              </w:rPr>
              <w:t>Amortization</w:t>
            </w:r>
          </w:p>
        </w:tc>
        <w:tc>
          <w:tcPr>
            <w:tcW w:w="620" w:type="dxa"/>
            <w:vAlign w:val="bottom"/>
          </w:tcPr>
          <w:p>
            <w:pPr>
              <w:spacing w:after="0"/>
              <w:rPr>
                <w:sz w:val="8"/>
                <w:szCs w:val="8"/>
                <w:color w:val="auto"/>
              </w:rPr>
            </w:pPr>
          </w:p>
        </w:tc>
        <w:tc>
          <w:tcPr>
            <w:tcW w:w="1120" w:type="dxa"/>
            <w:vAlign w:val="bottom"/>
            <w:gridSpan w:val="2"/>
          </w:tcPr>
          <w:p>
            <w:pPr>
              <w:jc w:val="center"/>
              <w:ind w:right="360"/>
              <w:spacing w:after="0" w:line="98" w:lineRule="exact"/>
              <w:rPr>
                <w:sz w:val="20"/>
                <w:szCs w:val="20"/>
                <w:color w:val="auto"/>
              </w:rPr>
            </w:pPr>
            <w:r>
              <w:rPr>
                <w:rFonts w:ascii="Arial" w:cs="Arial" w:eastAsia="Arial" w:hAnsi="Arial"/>
                <w:sz w:val="10"/>
                <w:szCs w:val="10"/>
                <w:b w:val="1"/>
                <w:bCs w:val="1"/>
                <w:color w:val="auto"/>
                <w:w w:val="97"/>
              </w:rPr>
              <w:t>Carrying</w:t>
            </w:r>
          </w:p>
        </w:tc>
        <w:tc>
          <w:tcPr>
            <w:tcW w:w="5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jc w:val="center"/>
              <w:ind w:right="201"/>
              <w:spacing w:after="0" w:line="98" w:lineRule="exact"/>
              <w:rPr>
                <w:sz w:val="20"/>
                <w:szCs w:val="20"/>
                <w:color w:val="auto"/>
              </w:rPr>
            </w:pPr>
            <w:r>
              <w:rPr>
                <w:rFonts w:ascii="Arial" w:cs="Arial" w:eastAsia="Arial" w:hAnsi="Arial"/>
                <w:sz w:val="10"/>
                <w:szCs w:val="10"/>
                <w:b w:val="1"/>
                <w:bCs w:val="1"/>
                <w:color w:val="auto"/>
                <w:w w:val="97"/>
              </w:rPr>
              <w:t>Carrying</w:t>
            </w:r>
          </w:p>
        </w:tc>
        <w:tc>
          <w:tcPr>
            <w:tcW w:w="0" w:type="dxa"/>
            <w:vAlign w:val="bottom"/>
          </w:tcPr>
          <w:p>
            <w:pPr>
              <w:spacing w:after="0"/>
              <w:rPr>
                <w:sz w:val="1"/>
                <w:szCs w:val="1"/>
                <w:color w:val="auto"/>
              </w:rPr>
            </w:pPr>
          </w:p>
        </w:tc>
      </w:tr>
      <w:tr>
        <w:trPr>
          <w:trHeight w:val="136"/>
        </w:trPr>
        <w:tc>
          <w:tcPr>
            <w:tcW w:w="4640" w:type="dxa"/>
            <w:vAlign w:val="bottom"/>
          </w:tcPr>
          <w:p>
            <w:pPr>
              <w:spacing w:after="0"/>
              <w:rPr>
                <w:sz w:val="11"/>
                <w:szCs w:val="11"/>
                <w:color w:val="auto"/>
              </w:rPr>
            </w:pPr>
          </w:p>
        </w:tc>
        <w:tc>
          <w:tcPr>
            <w:tcW w:w="1520" w:type="dxa"/>
            <w:vAlign w:val="bottom"/>
            <w:gridSpan w:val="2"/>
          </w:tcPr>
          <w:p>
            <w:pPr>
              <w:jc w:val="center"/>
              <w:ind w:left="202"/>
              <w:spacing w:after="0"/>
              <w:rPr>
                <w:sz w:val="20"/>
                <w:szCs w:val="20"/>
                <w:color w:val="auto"/>
              </w:rPr>
            </w:pPr>
            <w:r>
              <w:rPr>
                <w:rFonts w:ascii="Arial" w:cs="Arial" w:eastAsia="Arial" w:hAnsi="Arial"/>
                <w:sz w:val="10"/>
                <w:szCs w:val="10"/>
                <w:b w:val="1"/>
                <w:bCs w:val="1"/>
                <w:color w:val="auto"/>
                <w:w w:val="92"/>
              </w:rPr>
              <w:t>Period (years)</w:t>
            </w:r>
          </w:p>
        </w:tc>
        <w:tc>
          <w:tcPr>
            <w:tcW w:w="620" w:type="dxa"/>
            <w:vAlign w:val="bottom"/>
          </w:tcPr>
          <w:p>
            <w:pPr>
              <w:spacing w:after="0"/>
              <w:rPr>
                <w:sz w:val="11"/>
                <w:szCs w:val="1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Amount</w:t>
            </w:r>
          </w:p>
        </w:tc>
        <w:tc>
          <w:tcPr>
            <w:tcW w:w="560" w:type="dxa"/>
            <w:vAlign w:val="bottom"/>
          </w:tcPr>
          <w:p>
            <w:pPr>
              <w:spacing w:after="0"/>
              <w:rPr>
                <w:sz w:val="11"/>
                <w:szCs w:val="11"/>
                <w:color w:val="auto"/>
              </w:rPr>
            </w:pPr>
          </w:p>
        </w:tc>
        <w:tc>
          <w:tcPr>
            <w:tcW w:w="1180" w:type="dxa"/>
            <w:vAlign w:val="bottom"/>
            <w:gridSpan w:val="2"/>
          </w:tcPr>
          <w:p>
            <w:pPr>
              <w:ind w:left="140"/>
              <w:spacing w:after="0"/>
              <w:rPr>
                <w:sz w:val="20"/>
                <w:szCs w:val="20"/>
                <w:color w:val="auto"/>
              </w:rPr>
            </w:pPr>
            <w:r>
              <w:rPr>
                <w:rFonts w:ascii="Arial" w:cs="Arial" w:eastAsia="Arial" w:hAnsi="Arial"/>
                <w:sz w:val="10"/>
                <w:szCs w:val="10"/>
                <w:b w:val="1"/>
                <w:bCs w:val="1"/>
                <w:color w:val="auto"/>
              </w:rPr>
              <w:t>Amortization</w:t>
            </w:r>
          </w:p>
        </w:tc>
        <w:tc>
          <w:tcPr>
            <w:tcW w:w="620" w:type="dxa"/>
            <w:vAlign w:val="bottom"/>
          </w:tcPr>
          <w:p>
            <w:pPr>
              <w:spacing w:after="0"/>
              <w:rPr>
                <w:sz w:val="11"/>
                <w:szCs w:val="11"/>
                <w:color w:val="auto"/>
              </w:rPr>
            </w:pPr>
          </w:p>
        </w:tc>
        <w:tc>
          <w:tcPr>
            <w:tcW w:w="1020" w:type="dxa"/>
            <w:vAlign w:val="bottom"/>
          </w:tcPr>
          <w:p>
            <w:pPr>
              <w:jc w:val="center"/>
              <w:ind w:right="201"/>
              <w:spacing w:after="0"/>
              <w:rPr>
                <w:sz w:val="20"/>
                <w:szCs w:val="20"/>
                <w:color w:val="auto"/>
              </w:rPr>
            </w:pPr>
            <w:r>
              <w:rPr>
                <w:rFonts w:ascii="Arial" w:cs="Arial" w:eastAsia="Arial" w:hAnsi="Arial"/>
                <w:sz w:val="10"/>
                <w:szCs w:val="10"/>
                <w:b w:val="1"/>
                <w:bCs w:val="1"/>
                <w:color w:val="auto"/>
                <w:w w:val="95"/>
              </w:rPr>
              <w:t>Amount</w:t>
            </w:r>
          </w:p>
        </w:tc>
        <w:tc>
          <w:tcPr>
            <w:tcW w:w="0" w:type="dxa"/>
            <w:vAlign w:val="bottom"/>
          </w:tcPr>
          <w:p>
            <w:pPr>
              <w:spacing w:after="0"/>
              <w:rPr>
                <w:sz w:val="1"/>
                <w:szCs w:val="1"/>
                <w:color w:val="auto"/>
              </w:rPr>
            </w:pPr>
          </w:p>
        </w:tc>
      </w:tr>
      <w:tr>
        <w:trPr>
          <w:trHeight w:val="157"/>
        </w:trPr>
        <w:tc>
          <w:tcPr>
            <w:tcW w:w="4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2021</w:t>
            </w: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40" w:type="dxa"/>
            <w:vAlign w:val="bottom"/>
          </w:tcPr>
          <w:p>
            <w:pPr>
              <w:ind w:left="520"/>
              <w:spacing w:after="0"/>
              <w:rPr>
                <w:sz w:val="20"/>
                <w:szCs w:val="20"/>
                <w:color w:val="auto"/>
              </w:rPr>
            </w:pPr>
            <w:r>
              <w:rPr>
                <w:rFonts w:ascii="Arial" w:cs="Arial" w:eastAsia="Arial" w:hAnsi="Arial"/>
                <w:sz w:val="13"/>
                <w:szCs w:val="13"/>
                <w:color w:val="auto"/>
              </w:rPr>
              <w:t>Client relationships</w:t>
            </w:r>
          </w:p>
        </w:tc>
        <w:tc>
          <w:tcPr>
            <w:tcW w:w="1420" w:type="dxa"/>
            <w:vAlign w:val="bottom"/>
          </w:tcPr>
          <w:p>
            <w:pPr>
              <w:jc w:val="center"/>
              <w:ind w:left="302"/>
              <w:spacing w:after="0"/>
              <w:rPr>
                <w:sz w:val="20"/>
                <w:szCs w:val="20"/>
                <w:color w:val="auto"/>
              </w:rPr>
            </w:pPr>
            <w:r>
              <w:rPr>
                <w:rFonts w:ascii="Arial" w:cs="Arial" w:eastAsia="Arial" w:hAnsi="Arial"/>
                <w:sz w:val="12"/>
                <w:szCs w:val="12"/>
                <w:color w:val="auto"/>
                <w:w w:val="93"/>
              </w:rPr>
              <w:t>14.8</w:t>
            </w:r>
          </w:p>
        </w:tc>
        <w:tc>
          <w:tcPr>
            <w:tcW w:w="100" w:type="dxa"/>
            <w:vAlign w:val="bottom"/>
          </w:tcPr>
          <w:p>
            <w:pPr>
              <w:spacing w:after="0"/>
              <w:rPr>
                <w:sz w:val="14"/>
                <w:szCs w:val="14"/>
                <w:color w:val="auto"/>
              </w:rPr>
            </w:pPr>
          </w:p>
        </w:tc>
        <w:tc>
          <w:tcPr>
            <w:tcW w:w="62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21,431</w:t>
            </w:r>
          </w:p>
        </w:tc>
        <w:tc>
          <w:tcPr>
            <w:tcW w:w="100" w:type="dxa"/>
            <w:vAlign w:val="bottom"/>
          </w:tcPr>
          <w:p>
            <w:pPr>
              <w:spacing w:after="0"/>
              <w:rPr>
                <w:sz w:val="14"/>
                <w:szCs w:val="14"/>
                <w:color w:val="auto"/>
              </w:rPr>
            </w:pPr>
          </w:p>
        </w:tc>
        <w:tc>
          <w:tcPr>
            <w:tcW w:w="5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(10,216)</w:t>
            </w:r>
          </w:p>
        </w:tc>
        <w:tc>
          <w:tcPr>
            <w:tcW w:w="100" w:type="dxa"/>
            <w:vAlign w:val="bottom"/>
          </w:tcPr>
          <w:p>
            <w:pPr>
              <w:spacing w:after="0"/>
              <w:rPr>
                <w:sz w:val="14"/>
                <w:szCs w:val="14"/>
                <w:color w:val="auto"/>
              </w:rPr>
            </w:pPr>
          </w:p>
        </w:tc>
        <w:tc>
          <w:tcPr>
            <w:tcW w:w="62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11,215</w:t>
            </w:r>
          </w:p>
        </w:tc>
        <w:tc>
          <w:tcPr>
            <w:tcW w:w="0" w:type="dxa"/>
            <w:vAlign w:val="bottom"/>
          </w:tcPr>
          <w:p>
            <w:pPr>
              <w:spacing w:after="0"/>
              <w:rPr>
                <w:sz w:val="1"/>
                <w:szCs w:val="1"/>
                <w:color w:val="auto"/>
              </w:rPr>
            </w:pPr>
          </w:p>
        </w:tc>
      </w:tr>
      <w:tr>
        <w:trPr>
          <w:trHeight w:val="167"/>
        </w:trPr>
        <w:tc>
          <w:tcPr>
            <w:tcW w:w="46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Internally developed software</w:t>
            </w:r>
          </w:p>
        </w:tc>
        <w:tc>
          <w:tcPr>
            <w:tcW w:w="142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95"/>
              </w:rPr>
              <w:t>5.8</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1,439</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(743)</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w:t>
            </w:r>
          </w:p>
        </w:tc>
        <w:tc>
          <w:tcPr>
            <w:tcW w:w="0" w:type="dxa"/>
            <w:vAlign w:val="bottom"/>
          </w:tcPr>
          <w:p>
            <w:pPr>
              <w:spacing w:after="0"/>
              <w:rPr>
                <w:sz w:val="1"/>
                <w:szCs w:val="1"/>
                <w:color w:val="auto"/>
              </w:rPr>
            </w:pPr>
          </w:p>
        </w:tc>
      </w:tr>
      <w:tr>
        <w:trPr>
          <w:trHeight w:val="166"/>
        </w:trPr>
        <w:tc>
          <w:tcPr>
            <w:tcW w:w="46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22,870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(10,959)</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11,911</w:t>
            </w:r>
          </w:p>
        </w:tc>
        <w:tc>
          <w:tcPr>
            <w:tcW w:w="0" w:type="dxa"/>
            <w:vAlign w:val="bottom"/>
          </w:tcPr>
          <w:p>
            <w:pPr>
              <w:spacing w:after="0"/>
              <w:rPr>
                <w:sz w:val="1"/>
                <w:szCs w:val="1"/>
                <w:color w:val="auto"/>
              </w:rPr>
            </w:pPr>
          </w:p>
        </w:tc>
      </w:tr>
      <w:tr>
        <w:trPr>
          <w:trHeight w:val="157"/>
        </w:trPr>
        <w:tc>
          <w:tcPr>
            <w:tcW w:w="464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2020</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40" w:type="dxa"/>
            <w:vAlign w:val="bottom"/>
          </w:tcPr>
          <w:p>
            <w:pPr>
              <w:ind w:left="520"/>
              <w:spacing w:after="0"/>
              <w:rPr>
                <w:sz w:val="20"/>
                <w:szCs w:val="20"/>
                <w:color w:val="auto"/>
              </w:rPr>
            </w:pPr>
            <w:r>
              <w:rPr>
                <w:rFonts w:ascii="Arial" w:cs="Arial" w:eastAsia="Arial" w:hAnsi="Arial"/>
                <w:sz w:val="13"/>
                <w:szCs w:val="13"/>
                <w:color w:val="auto"/>
              </w:rPr>
              <w:t>Client relationships</w:t>
            </w:r>
          </w:p>
        </w:tc>
        <w:tc>
          <w:tcPr>
            <w:tcW w:w="1420" w:type="dxa"/>
            <w:vAlign w:val="bottom"/>
          </w:tcPr>
          <w:p>
            <w:pPr>
              <w:jc w:val="center"/>
              <w:ind w:left="302"/>
              <w:spacing w:after="0"/>
              <w:rPr>
                <w:sz w:val="20"/>
                <w:szCs w:val="20"/>
                <w:color w:val="auto"/>
              </w:rPr>
            </w:pPr>
            <w:r>
              <w:rPr>
                <w:rFonts w:ascii="Arial" w:cs="Arial" w:eastAsia="Arial" w:hAnsi="Arial"/>
                <w:sz w:val="12"/>
                <w:szCs w:val="12"/>
                <w:color w:val="auto"/>
                <w:w w:val="93"/>
              </w:rPr>
              <w:t>14.8</w:t>
            </w:r>
          </w:p>
        </w:tc>
        <w:tc>
          <w:tcPr>
            <w:tcW w:w="100" w:type="dxa"/>
            <w:vAlign w:val="bottom"/>
          </w:tcPr>
          <w:p>
            <w:pPr>
              <w:spacing w:after="0"/>
              <w:rPr>
                <w:sz w:val="14"/>
                <w:szCs w:val="14"/>
                <w:color w:val="auto"/>
              </w:rPr>
            </w:pPr>
          </w:p>
        </w:tc>
        <w:tc>
          <w:tcPr>
            <w:tcW w:w="62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21,431</w:t>
            </w:r>
          </w:p>
        </w:tc>
        <w:tc>
          <w:tcPr>
            <w:tcW w:w="100" w:type="dxa"/>
            <w:vAlign w:val="bottom"/>
          </w:tcPr>
          <w:p>
            <w:pPr>
              <w:spacing w:after="0"/>
              <w:rPr>
                <w:sz w:val="14"/>
                <w:szCs w:val="14"/>
                <w:color w:val="auto"/>
              </w:rPr>
            </w:pPr>
          </w:p>
        </w:tc>
        <w:tc>
          <w:tcPr>
            <w:tcW w:w="5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(8,850)</w:t>
            </w:r>
          </w:p>
        </w:tc>
        <w:tc>
          <w:tcPr>
            <w:tcW w:w="100" w:type="dxa"/>
            <w:vAlign w:val="bottom"/>
          </w:tcPr>
          <w:p>
            <w:pPr>
              <w:spacing w:after="0"/>
              <w:rPr>
                <w:sz w:val="14"/>
                <w:szCs w:val="14"/>
                <w:color w:val="auto"/>
              </w:rPr>
            </w:pPr>
          </w:p>
        </w:tc>
        <w:tc>
          <w:tcPr>
            <w:tcW w:w="62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12,581</w:t>
            </w:r>
          </w:p>
        </w:tc>
        <w:tc>
          <w:tcPr>
            <w:tcW w:w="0" w:type="dxa"/>
            <w:vAlign w:val="bottom"/>
          </w:tcPr>
          <w:p>
            <w:pPr>
              <w:spacing w:after="0"/>
              <w:rPr>
                <w:sz w:val="1"/>
                <w:szCs w:val="1"/>
                <w:color w:val="auto"/>
              </w:rPr>
            </w:pPr>
          </w:p>
        </w:tc>
      </w:tr>
      <w:tr>
        <w:trPr>
          <w:trHeight w:val="167"/>
        </w:trPr>
        <w:tc>
          <w:tcPr>
            <w:tcW w:w="46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Internally developed software</w:t>
            </w:r>
          </w:p>
        </w:tc>
        <w:tc>
          <w:tcPr>
            <w:tcW w:w="142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95"/>
              </w:rPr>
              <w:t>5.8</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1,439</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(485)</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954</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22,870</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(9,335)</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13,535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ind w:right="180" w:firstLine="353"/>
        <w:spacing w:after="0" w:line="275" w:lineRule="auto"/>
        <w:rPr>
          <w:sz w:val="20"/>
          <w:szCs w:val="20"/>
          <w:color w:val="auto"/>
        </w:rPr>
      </w:pPr>
      <w:r>
        <w:rPr>
          <w:rFonts w:ascii="Arial" w:cs="Arial" w:eastAsia="Arial" w:hAnsi="Arial"/>
          <w:sz w:val="13"/>
          <w:szCs w:val="13"/>
          <w:color w:val="auto"/>
        </w:rPr>
        <w:t>Amortization expense, which is included in “General and administrative” expense on our Consolidated Statements of Comprehensive Income (Loss), was $1.6 million for the year ended December 31, 2021 and $1.7 million for the years ended December 31, 2020 and 2019.</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Estimated amortization expense for intangible assets over the next five years is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540" w:type="dxa"/>
            <w:vAlign w:val="bottom"/>
            <w:vMerge w:val="restart"/>
          </w:tcPr>
          <w:p>
            <w:pPr>
              <w:ind w:left="360"/>
              <w:spacing w:after="0"/>
              <w:rPr>
                <w:sz w:val="20"/>
                <w:szCs w:val="20"/>
                <w:color w:val="auto"/>
              </w:rPr>
            </w:pPr>
            <w:r>
              <w:rPr>
                <w:rFonts w:ascii="Arial" w:cs="Arial" w:eastAsia="Arial" w:hAnsi="Arial"/>
                <w:sz w:val="13"/>
                <w:szCs w:val="13"/>
                <w:color w:val="auto"/>
              </w:rPr>
              <w:t>For the year ending December 31,</w:t>
            </w:r>
          </w:p>
        </w:tc>
        <w:tc>
          <w:tcPr>
            <w:tcW w:w="460" w:type="dxa"/>
            <w:vAlign w:val="bottom"/>
          </w:tcPr>
          <w:p>
            <w:pPr>
              <w:spacing w:after="0"/>
              <w:rPr>
                <w:sz w:val="12"/>
                <w:szCs w:val="12"/>
                <w:color w:val="auto"/>
              </w:rPr>
            </w:pPr>
          </w:p>
        </w:tc>
        <w:tc>
          <w:tcPr>
            <w:tcW w:w="1280" w:type="dxa"/>
            <w:vAlign w:val="bottom"/>
          </w:tcPr>
          <w:p>
            <w:pPr>
              <w:jc w:val="right"/>
              <w:ind w:right="379"/>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55"/>
        </w:trPr>
        <w:tc>
          <w:tcPr>
            <w:tcW w:w="9540" w:type="dxa"/>
            <w:vAlign w:val="bottom"/>
            <w:tcBorders>
              <w:bottom w:val="single" w:sz="8" w:color="CCEEFF"/>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w w:val="88"/>
              </w:rPr>
              <w:t>Amortization Expense</w:t>
            </w:r>
          </w:p>
        </w:tc>
        <w:tc>
          <w:tcPr>
            <w:tcW w:w="0" w:type="dxa"/>
            <w:vAlign w:val="bottom"/>
          </w:tcPr>
          <w:p>
            <w:pPr>
              <w:spacing w:after="0"/>
              <w:rPr>
                <w:sz w:val="1"/>
                <w:szCs w:val="1"/>
                <w:color w:val="auto"/>
              </w:rPr>
            </w:pPr>
          </w:p>
        </w:tc>
      </w:tr>
      <w:tr>
        <w:trPr>
          <w:trHeight w:val="147"/>
        </w:trPr>
        <w:tc>
          <w:tcPr>
            <w:tcW w:w="954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2022</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1,623</w:t>
            </w:r>
          </w:p>
        </w:tc>
        <w:tc>
          <w:tcPr>
            <w:tcW w:w="0" w:type="dxa"/>
            <w:vAlign w:val="bottom"/>
          </w:tcPr>
          <w:p>
            <w:pPr>
              <w:spacing w:after="0"/>
              <w:rPr>
                <w:sz w:val="1"/>
                <w:szCs w:val="1"/>
                <w:color w:val="auto"/>
              </w:rPr>
            </w:pPr>
          </w:p>
        </w:tc>
      </w:tr>
      <w:tr>
        <w:trPr>
          <w:trHeight w:val="166"/>
        </w:trPr>
        <w:tc>
          <w:tcPr>
            <w:tcW w:w="9540" w:type="dxa"/>
            <w:vAlign w:val="bottom"/>
          </w:tcPr>
          <w:p>
            <w:pPr>
              <w:ind w:left="360"/>
              <w:spacing w:after="0"/>
              <w:rPr>
                <w:sz w:val="20"/>
                <w:szCs w:val="20"/>
                <w:color w:val="auto"/>
              </w:rPr>
            </w:pPr>
            <w:r>
              <w:rPr>
                <w:rFonts w:ascii="Arial" w:cs="Arial" w:eastAsia="Arial" w:hAnsi="Arial"/>
                <w:sz w:val="13"/>
                <w:szCs w:val="13"/>
                <w:color w:val="auto"/>
              </w:rPr>
              <w:t>2023</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1,604</w:t>
            </w:r>
          </w:p>
        </w:tc>
        <w:tc>
          <w:tcPr>
            <w:tcW w:w="0" w:type="dxa"/>
            <w:vAlign w:val="bottom"/>
          </w:tcPr>
          <w:p>
            <w:pPr>
              <w:spacing w:after="0"/>
              <w:rPr>
                <w:sz w:val="1"/>
                <w:szCs w:val="1"/>
                <w:color w:val="auto"/>
              </w:rPr>
            </w:pPr>
          </w:p>
        </w:tc>
      </w:tr>
      <w:tr>
        <w:trPr>
          <w:trHeight w:val="167"/>
        </w:trPr>
        <w:tc>
          <w:tcPr>
            <w:tcW w:w="9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2024</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1,529</w:t>
            </w:r>
          </w:p>
        </w:tc>
        <w:tc>
          <w:tcPr>
            <w:tcW w:w="0" w:type="dxa"/>
            <w:vAlign w:val="bottom"/>
          </w:tcPr>
          <w:p>
            <w:pPr>
              <w:spacing w:after="0"/>
              <w:rPr>
                <w:sz w:val="1"/>
                <w:szCs w:val="1"/>
                <w:color w:val="auto"/>
              </w:rPr>
            </w:pPr>
          </w:p>
        </w:tc>
      </w:tr>
      <w:tr>
        <w:trPr>
          <w:trHeight w:val="166"/>
        </w:trPr>
        <w:tc>
          <w:tcPr>
            <w:tcW w:w="9540" w:type="dxa"/>
            <w:vAlign w:val="bottom"/>
          </w:tcPr>
          <w:p>
            <w:pPr>
              <w:ind w:left="360"/>
              <w:spacing w:after="0"/>
              <w:rPr>
                <w:sz w:val="20"/>
                <w:szCs w:val="20"/>
                <w:color w:val="auto"/>
              </w:rPr>
            </w:pPr>
            <w:r>
              <w:rPr>
                <w:rFonts w:ascii="Arial" w:cs="Arial" w:eastAsia="Arial" w:hAnsi="Arial"/>
                <w:sz w:val="13"/>
                <w:szCs w:val="13"/>
                <w:color w:val="auto"/>
              </w:rPr>
              <w:t>2025</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167"/>
        </w:trPr>
        <w:tc>
          <w:tcPr>
            <w:tcW w:w="9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2026</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1,359</w:t>
            </w:r>
          </w:p>
        </w:tc>
        <w:tc>
          <w:tcPr>
            <w:tcW w:w="0" w:type="dxa"/>
            <w:vAlign w:val="bottom"/>
          </w:tcPr>
          <w:p>
            <w:pPr>
              <w:spacing w:after="0"/>
              <w:rPr>
                <w:sz w:val="1"/>
                <w:szCs w:val="1"/>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LEASES:</w:t>
      </w:r>
    </w:p>
    <w:p>
      <w:pPr>
        <w:spacing w:after="0" w:line="90" w:lineRule="exact"/>
        <w:rPr>
          <w:sz w:val="20"/>
          <w:szCs w:val="20"/>
          <w:color w:val="auto"/>
        </w:rPr>
      </w:pPr>
    </w:p>
    <w:p>
      <w:pPr>
        <w:ind w:right="20" w:firstLine="353"/>
        <w:spacing w:after="0" w:line="259" w:lineRule="auto"/>
        <w:rPr>
          <w:sz w:val="20"/>
          <w:szCs w:val="20"/>
          <w:color w:val="auto"/>
        </w:rPr>
      </w:pPr>
      <w:r>
        <w:rPr>
          <w:rFonts w:ascii="Arial" w:cs="Arial" w:eastAsia="Arial" w:hAnsi="Arial"/>
          <w:sz w:val="13"/>
          <w:szCs w:val="13"/>
          <w:color w:val="auto"/>
        </w:rPr>
        <w:t>We have operating leases for corporate offices and certain office equipment. The lease terms of our corporate offices vary and have remaining lease terms ranging from one to six years. The corporate office lease payments are fixed and are based upon contractual monthly rates. The majority of our corporate office leases do not include options to extend or terminate the leases. We lease office equipment for a period of two years. We analyzed our weighted average discount rate during the calculation of our lease liability and reviewed the corporate debt environment in 2019 to determine a collateralized discount rate of 5%. We have not entered into any significant new operating leases since the determination to use a 5% discount rate.</w:t>
      </w:r>
    </w:p>
    <w:p>
      <w:pPr>
        <w:spacing w:after="0" w:line="60" w:lineRule="exact"/>
        <w:rPr>
          <w:sz w:val="20"/>
          <w:szCs w:val="20"/>
          <w:color w:val="auto"/>
        </w:rPr>
      </w:pPr>
    </w:p>
    <w:p>
      <w:pPr>
        <w:ind w:right="260" w:firstLine="353"/>
        <w:spacing w:after="0" w:line="275" w:lineRule="auto"/>
        <w:rPr>
          <w:sz w:val="20"/>
          <w:szCs w:val="20"/>
          <w:color w:val="auto"/>
        </w:rPr>
      </w:pPr>
      <w:r>
        <w:rPr>
          <w:rFonts w:ascii="Arial" w:cs="Arial" w:eastAsia="Arial" w:hAnsi="Arial"/>
          <w:sz w:val="13"/>
          <w:szCs w:val="13"/>
          <w:color w:val="auto"/>
        </w:rPr>
        <w:t>In 2021, we sublet approximately 15,000 square feet of our Dallas, Texas office space to third parties. Those agreements began in 2021 and provides for monthly rent of approximately $40,000 through the fourth quarter of 2025. In February 2021 we terminated our Toronto, Ontario office space lease that was originally expiring in October 2021.</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presents the components of lease costs related to our leases (amounts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20"/>
              <w:spacing w:after="0"/>
              <w:rPr>
                <w:sz w:val="20"/>
                <w:szCs w:val="20"/>
                <w:color w:val="auto"/>
              </w:rPr>
            </w:pPr>
            <w:r>
              <w:rPr>
                <w:rFonts w:ascii="Arial" w:cs="Arial" w:eastAsia="Arial" w:hAnsi="Arial"/>
                <w:sz w:val="12"/>
                <w:szCs w:val="12"/>
                <w:b w:val="1"/>
                <w:bCs w:val="1"/>
                <w:color w:val="auto"/>
                <w:w w:val="97"/>
              </w:rPr>
              <w:t>Years Ended December 31,</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47"/>
        </w:trPr>
        <w:tc>
          <w:tcPr>
            <w:tcW w:w="67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2"/>
                <w:szCs w:val="12"/>
                <w:b w:val="1"/>
                <w:bCs w:val="1"/>
                <w:color w:val="auto"/>
              </w:rPr>
              <w:t>2019</w:t>
            </w:r>
          </w:p>
        </w:tc>
      </w:tr>
      <w:tr>
        <w:trPr>
          <w:trHeight w:val="159"/>
        </w:trPr>
        <w:tc>
          <w:tcPr>
            <w:tcW w:w="6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costs</w:t>
            </w:r>
          </w:p>
        </w:tc>
        <w:tc>
          <w:tcPr>
            <w:tcW w:w="1060" w:type="dxa"/>
            <w:vAlign w:val="bottom"/>
            <w:shd w:val="clear" w:color="auto" w:fill="CCEEFF"/>
          </w:tcPr>
          <w:p>
            <w:pPr>
              <w:jc w:val="right"/>
              <w:ind w:right="55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1,655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w:t>
            </w:r>
          </w:p>
        </w:tc>
      </w:tr>
      <w:tr>
        <w:trPr>
          <w:trHeight w:val="165"/>
        </w:trPr>
        <w:tc>
          <w:tcPr>
            <w:tcW w:w="6740" w:type="dxa"/>
            <w:vAlign w:val="bottom"/>
          </w:tcPr>
          <w:p>
            <w:pPr>
              <w:ind w:left="360"/>
              <w:spacing w:after="0"/>
              <w:rPr>
                <w:sz w:val="20"/>
                <w:szCs w:val="20"/>
                <w:color w:val="auto"/>
              </w:rPr>
            </w:pPr>
            <w:r>
              <w:rPr>
                <w:rFonts w:ascii="Arial" w:cs="Arial" w:eastAsia="Arial" w:hAnsi="Arial"/>
                <w:sz w:val="13"/>
                <w:szCs w:val="13"/>
                <w:color w:val="auto"/>
              </w:rPr>
              <w:t>Sublease income</w:t>
            </w: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144</w:t>
            </w:r>
          </w:p>
        </w:tc>
      </w:tr>
    </w:tbl>
    <w:p>
      <w:pPr>
        <w:spacing w:after="0" w:line="39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presents supplemental cash flow information related to our leases (amounts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20"/>
              <w:spacing w:after="0"/>
              <w:rPr>
                <w:sz w:val="20"/>
                <w:szCs w:val="20"/>
                <w:color w:val="auto"/>
              </w:rPr>
            </w:pPr>
            <w:r>
              <w:rPr>
                <w:rFonts w:ascii="Arial" w:cs="Arial" w:eastAsia="Arial" w:hAnsi="Arial"/>
                <w:sz w:val="12"/>
                <w:szCs w:val="12"/>
                <w:b w:val="1"/>
                <w:bCs w:val="1"/>
                <w:color w:val="auto"/>
                <w:w w:val="97"/>
              </w:rPr>
              <w:t>Years Ended December 31,</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47"/>
        </w:trPr>
        <w:tc>
          <w:tcPr>
            <w:tcW w:w="45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2"/>
                <w:szCs w:val="12"/>
                <w:b w:val="1"/>
                <w:bCs w:val="1"/>
                <w:color w:val="auto"/>
              </w:rPr>
              <w:t>2019</w:t>
            </w:r>
          </w:p>
        </w:tc>
      </w:tr>
      <w:tr>
        <w:trPr>
          <w:trHeight w:val="159"/>
        </w:trPr>
        <w:tc>
          <w:tcPr>
            <w:tcW w:w="45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cash flows from operating leases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w:t>
            </w:r>
          </w:p>
        </w:tc>
      </w:tr>
      <w:tr>
        <w:trPr>
          <w:trHeight w:val="165"/>
        </w:trPr>
        <w:tc>
          <w:tcPr>
            <w:tcW w:w="4580" w:type="dxa"/>
            <w:vAlign w:val="bottom"/>
          </w:tcPr>
          <w:p>
            <w:pPr>
              <w:ind w:left="360"/>
              <w:spacing w:after="0"/>
              <w:rPr>
                <w:sz w:val="20"/>
                <w:szCs w:val="20"/>
                <w:color w:val="auto"/>
              </w:rPr>
            </w:pPr>
            <w:r>
              <w:rPr>
                <w:rFonts w:ascii="Arial" w:cs="Arial" w:eastAsia="Arial" w:hAnsi="Arial"/>
                <w:sz w:val="13"/>
                <w:szCs w:val="13"/>
                <w:color w:val="auto"/>
              </w:rPr>
              <w:t>Right-of-use assets obtained in exchange for lease obligations</w:t>
            </w:r>
          </w:p>
        </w:tc>
        <w:tc>
          <w:tcPr>
            <w:tcW w:w="2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627"/>
        </w:trPr>
        <w:tc>
          <w:tcPr>
            <w:tcW w:w="4580" w:type="dxa"/>
            <w:vAlign w:val="bottom"/>
          </w:tcPr>
          <w:p>
            <w:pPr>
              <w:spacing w:after="0"/>
              <w:rPr>
                <w:sz w:val="24"/>
                <w:szCs w:val="24"/>
                <w:color w:val="auto"/>
              </w:rPr>
            </w:pPr>
          </w:p>
        </w:tc>
        <w:tc>
          <w:tcPr>
            <w:tcW w:w="2160" w:type="dxa"/>
            <w:vAlign w:val="bottom"/>
          </w:tcPr>
          <w:p>
            <w:pPr>
              <w:jc w:val="right"/>
              <w:ind w:right="975"/>
              <w:spacing w:after="0"/>
              <w:rPr>
                <w:sz w:val="20"/>
                <w:szCs w:val="20"/>
                <w:color w:val="auto"/>
              </w:rPr>
            </w:pPr>
            <w:r>
              <w:rPr>
                <w:rFonts w:ascii="Arial" w:cs="Arial" w:eastAsia="Arial" w:hAnsi="Arial"/>
                <w:sz w:val="13"/>
                <w:szCs w:val="13"/>
                <w:color w:val="auto"/>
              </w:rPr>
              <w:t>24</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0"/>
        </w:trPr>
        <w:tc>
          <w:tcPr>
            <w:tcW w:w="458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6" w:name="page67"/>
    <w:bookmarkEnd w:id="66"/>
    <w:p>
      <w:pPr>
        <w:jc w:val="center"/>
        <w:ind w:right="-1"/>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350" w:lineRule="exact"/>
        <w:rPr>
          <w:sz w:val="20"/>
          <w:szCs w:val="20"/>
          <w:color w:val="auto"/>
        </w:rPr>
      </w:pPr>
    </w:p>
    <w:p>
      <w:pPr>
        <w:ind w:left="2" w:right="420" w:firstLine="353"/>
        <w:spacing w:after="0" w:line="275" w:lineRule="auto"/>
        <w:rPr>
          <w:sz w:val="20"/>
          <w:szCs w:val="20"/>
          <w:color w:val="auto"/>
        </w:rPr>
      </w:pPr>
      <w:r>
        <w:rPr>
          <w:rFonts w:ascii="Arial" w:cs="Arial" w:eastAsia="Arial" w:hAnsi="Arial"/>
          <w:sz w:val="13"/>
          <w:szCs w:val="13"/>
          <w:color w:val="auto"/>
        </w:rPr>
        <w:t>Operating lease costs are included in "General and administrative" expense on our Consolidated Statements of Comprehensive Income (Loss). We lease our offices under non-cancelable operating lease agreements with expiration dates that run through 2026.</w:t>
      </w:r>
    </w:p>
    <w:p>
      <w:pPr>
        <w:spacing w:after="0" w:line="49" w:lineRule="exact"/>
        <w:rPr>
          <w:sz w:val="20"/>
          <w:szCs w:val="20"/>
          <w:color w:val="auto"/>
        </w:rPr>
      </w:pPr>
    </w:p>
    <w:p>
      <w:pPr>
        <w:ind w:left="362"/>
        <w:spacing w:after="0"/>
        <w:rPr>
          <w:sz w:val="20"/>
          <w:szCs w:val="20"/>
          <w:color w:val="auto"/>
        </w:rPr>
      </w:pPr>
      <w:r>
        <w:rPr>
          <w:rFonts w:ascii="Arial" w:cs="Arial" w:eastAsia="Arial" w:hAnsi="Arial"/>
          <w:sz w:val="13"/>
          <w:szCs w:val="13"/>
          <w:color w:val="auto"/>
        </w:rPr>
        <w:t>The following table presents information regarding our operating leases (in thousands, except years and rates):</w:t>
      </w:r>
    </w:p>
    <w:p>
      <w:pPr>
        <w:spacing w:after="0" w:line="37"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74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r>
      <w:tr>
        <w:trPr>
          <w:trHeight w:val="147"/>
        </w:trPr>
        <w:tc>
          <w:tcPr>
            <w:tcW w:w="74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2"/>
                <w:szCs w:val="12"/>
                <w:color w:val="auto"/>
              </w:rPr>
            </w:pPr>
          </w:p>
        </w:tc>
      </w:tr>
      <w:tr>
        <w:trPr>
          <w:trHeight w:val="159"/>
        </w:trPr>
        <w:tc>
          <w:tcPr>
            <w:tcW w:w="7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right-of-use assets</w:t>
            </w:r>
          </w:p>
        </w:tc>
        <w:tc>
          <w:tcPr>
            <w:tcW w:w="72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4,868</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6,103</w:t>
            </w:r>
          </w:p>
        </w:tc>
        <w:tc>
          <w:tcPr>
            <w:tcW w:w="380" w:type="dxa"/>
            <w:vAlign w:val="bottom"/>
            <w:shd w:val="clear" w:color="auto" w:fill="CCEEFF"/>
          </w:tcPr>
          <w:p>
            <w:pPr>
              <w:spacing w:after="0"/>
              <w:rPr>
                <w:sz w:val="13"/>
                <w:szCs w:val="13"/>
                <w:color w:val="auto"/>
              </w:rPr>
            </w:pPr>
          </w:p>
        </w:tc>
      </w:tr>
      <w:tr>
        <w:trPr>
          <w:trHeight w:val="196"/>
        </w:trPr>
        <w:tc>
          <w:tcPr>
            <w:tcW w:w="7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67"/>
        </w:trPr>
        <w:tc>
          <w:tcPr>
            <w:tcW w:w="7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liabilities</w:t>
            </w:r>
          </w:p>
        </w:tc>
        <w:tc>
          <w:tcPr>
            <w:tcW w:w="72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1,409</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1,718</w:t>
            </w:r>
          </w:p>
        </w:tc>
        <w:tc>
          <w:tcPr>
            <w:tcW w:w="380" w:type="dxa"/>
            <w:vAlign w:val="bottom"/>
            <w:shd w:val="clear" w:color="auto" w:fill="CCEEFF"/>
          </w:tcPr>
          <w:p>
            <w:pPr>
              <w:spacing w:after="0"/>
              <w:rPr>
                <w:sz w:val="14"/>
                <w:szCs w:val="14"/>
                <w:color w:val="auto"/>
              </w:rPr>
            </w:pPr>
          </w:p>
        </w:tc>
      </w:tr>
      <w:tr>
        <w:trPr>
          <w:trHeight w:val="166"/>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Non-current lease liabilities</w:t>
            </w: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4,724</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6,121</w:t>
            </w:r>
          </w:p>
        </w:tc>
        <w:tc>
          <w:tcPr>
            <w:tcW w:w="380" w:type="dxa"/>
            <w:vAlign w:val="bottom"/>
            <w:tcBorders>
              <w:bottom w:val="single" w:sz="8" w:color="auto"/>
            </w:tcBorders>
          </w:tcPr>
          <w:p>
            <w:pPr>
              <w:spacing w:after="0"/>
              <w:rPr>
                <w:sz w:val="14"/>
                <w:szCs w:val="14"/>
                <w:color w:val="auto"/>
              </w:rPr>
            </w:pPr>
          </w:p>
        </w:tc>
      </w:tr>
      <w:tr>
        <w:trPr>
          <w:trHeight w:val="157"/>
        </w:trPr>
        <w:tc>
          <w:tcPr>
            <w:tcW w:w="7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lease liabilities</w:t>
            </w:r>
          </w:p>
        </w:tc>
        <w:tc>
          <w:tcPr>
            <w:tcW w:w="72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6,133</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7,839</w:t>
            </w:r>
          </w:p>
        </w:tc>
        <w:tc>
          <w:tcPr>
            <w:tcW w:w="380" w:type="dxa"/>
            <w:vAlign w:val="bottom"/>
            <w:shd w:val="clear" w:color="auto" w:fill="CCEEFF"/>
          </w:tcPr>
          <w:p>
            <w:pPr>
              <w:spacing w:after="0"/>
              <w:rPr>
                <w:sz w:val="13"/>
                <w:szCs w:val="13"/>
                <w:color w:val="auto"/>
              </w:rPr>
            </w:pPr>
          </w:p>
        </w:tc>
      </w:tr>
      <w:tr>
        <w:trPr>
          <w:trHeight w:val="196"/>
        </w:trPr>
        <w:tc>
          <w:tcPr>
            <w:tcW w:w="7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67"/>
        </w:trPr>
        <w:tc>
          <w:tcPr>
            <w:tcW w:w="7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Weighted-average remaining lease term (in years)</w:t>
            </w: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65"/>
        </w:trPr>
        <w:tc>
          <w:tcPr>
            <w:tcW w:w="7400" w:type="dxa"/>
            <w:vAlign w:val="bottom"/>
          </w:tcPr>
          <w:p>
            <w:pPr>
              <w:ind w:left="360"/>
              <w:spacing w:after="0"/>
              <w:rPr>
                <w:sz w:val="20"/>
                <w:szCs w:val="20"/>
                <w:color w:val="auto"/>
              </w:rPr>
            </w:pPr>
            <w:r>
              <w:rPr>
                <w:rFonts w:ascii="Arial" w:cs="Arial" w:eastAsia="Arial" w:hAnsi="Arial"/>
                <w:sz w:val="13"/>
                <w:szCs w:val="13"/>
                <w:color w:val="auto"/>
              </w:rPr>
              <w:t>Weighted-average discount rate</w:t>
            </w:r>
          </w:p>
        </w:tc>
        <w:tc>
          <w:tcPr>
            <w:tcW w:w="72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Arial" w:cs="Arial" w:eastAsia="Arial" w:hAnsi="Arial"/>
                <w:sz w:val="13"/>
                <w:szCs w:val="13"/>
                <w:color w:val="auto"/>
              </w:rPr>
              <w:t>5.0</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559"/>
        </w:trPr>
        <w:tc>
          <w:tcPr>
            <w:tcW w:w="7400" w:type="dxa"/>
            <w:vAlign w:val="bottom"/>
          </w:tcPr>
          <w:p>
            <w:pPr>
              <w:ind w:left="360"/>
              <w:spacing w:after="0"/>
              <w:rPr>
                <w:sz w:val="20"/>
                <w:szCs w:val="20"/>
                <w:color w:val="auto"/>
              </w:rPr>
            </w:pPr>
            <w:r>
              <w:rPr>
                <w:rFonts w:ascii="Arial" w:cs="Arial" w:eastAsia="Arial" w:hAnsi="Arial"/>
                <w:sz w:val="13"/>
                <w:szCs w:val="13"/>
                <w:color w:val="auto"/>
              </w:rPr>
              <w:t>The maturities of lease liabilities are as follows (in thousands):</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6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7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Operating Leases</w:t>
            </w:r>
          </w:p>
        </w:tc>
        <w:tc>
          <w:tcPr>
            <w:tcW w:w="380" w:type="dxa"/>
            <w:vAlign w:val="bottom"/>
            <w:tcBorders>
              <w:bottom w:val="single" w:sz="8" w:color="auto"/>
            </w:tcBorders>
          </w:tcPr>
          <w:p>
            <w:pPr>
              <w:spacing w:after="0"/>
              <w:rPr>
                <w:sz w:val="23"/>
                <w:szCs w:val="23"/>
                <w:color w:val="auto"/>
              </w:rPr>
            </w:pPr>
          </w:p>
        </w:tc>
      </w:tr>
      <w:tr>
        <w:trPr>
          <w:trHeight w:val="157"/>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7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1,730</w:t>
            </w:r>
          </w:p>
        </w:tc>
      </w:tr>
      <w:tr>
        <w:trPr>
          <w:trHeight w:val="166"/>
        </w:trPr>
        <w:tc>
          <w:tcPr>
            <w:tcW w:w="7400" w:type="dxa"/>
            <w:vAlign w:val="bottom"/>
          </w:tcPr>
          <w:p>
            <w:pPr>
              <w:ind w:left="20"/>
              <w:spacing w:after="0"/>
              <w:rPr>
                <w:sz w:val="20"/>
                <w:szCs w:val="20"/>
                <w:color w:val="auto"/>
              </w:rPr>
            </w:pPr>
            <w:r>
              <w:rPr>
                <w:rFonts w:ascii="Arial" w:cs="Arial" w:eastAsia="Arial" w:hAnsi="Arial"/>
                <w:sz w:val="13"/>
                <w:szCs w:val="13"/>
                <w:color w:val="auto"/>
              </w:rPr>
              <w:t>2023</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1,733</w:t>
            </w:r>
          </w:p>
        </w:tc>
      </w:tr>
      <w:tr>
        <w:trPr>
          <w:trHeight w:val="167"/>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1,563</w:t>
            </w:r>
          </w:p>
        </w:tc>
      </w:tr>
      <w:tr>
        <w:trPr>
          <w:trHeight w:val="166"/>
        </w:trPr>
        <w:tc>
          <w:tcPr>
            <w:tcW w:w="7400" w:type="dxa"/>
            <w:vAlign w:val="bottom"/>
          </w:tcPr>
          <w:p>
            <w:pPr>
              <w:ind w:left="20"/>
              <w:spacing w:after="0"/>
              <w:rPr>
                <w:sz w:val="20"/>
                <w:szCs w:val="20"/>
                <w:color w:val="auto"/>
              </w:rPr>
            </w:pPr>
            <w:r>
              <w:rPr>
                <w:rFonts w:ascii="Arial" w:cs="Arial" w:eastAsia="Arial" w:hAnsi="Arial"/>
                <w:sz w:val="13"/>
                <w:szCs w:val="13"/>
                <w:color w:val="auto"/>
              </w:rPr>
              <w:t>2025</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1,528</w:t>
            </w:r>
          </w:p>
        </w:tc>
      </w:tr>
      <w:tr>
        <w:trPr>
          <w:trHeight w:val="167"/>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w:t>
            </w:r>
          </w:p>
        </w:tc>
      </w:tr>
      <w:tr>
        <w:trPr>
          <w:trHeight w:val="156"/>
        </w:trPr>
        <w:tc>
          <w:tcPr>
            <w:tcW w:w="7400" w:type="dxa"/>
            <w:vAlign w:val="bottom"/>
          </w:tcPr>
          <w:p>
            <w:pPr>
              <w:ind w:left="80"/>
              <w:spacing w:after="0"/>
              <w:rPr>
                <w:sz w:val="20"/>
                <w:szCs w:val="20"/>
                <w:color w:val="auto"/>
              </w:rPr>
            </w:pPr>
            <w:r>
              <w:rPr>
                <w:rFonts w:ascii="Arial" w:cs="Arial" w:eastAsia="Arial" w:hAnsi="Arial"/>
                <w:sz w:val="13"/>
                <w:szCs w:val="13"/>
                <w:color w:val="auto"/>
              </w:rPr>
              <w:t>Total undiscounted lease payments</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8"/>
              </w:rPr>
              <w:t>6,885</w:t>
            </w:r>
          </w:p>
        </w:tc>
      </w:tr>
      <w:tr>
        <w:trPr>
          <w:trHeight w:val="167"/>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discount</w:t>
            </w: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(752)</w:t>
            </w:r>
          </w:p>
        </w:tc>
      </w:tr>
      <w:tr>
        <w:trPr>
          <w:trHeight w:val="157"/>
        </w:trPr>
        <w:tc>
          <w:tcPr>
            <w:tcW w:w="7400" w:type="dxa"/>
            <w:vAlign w:val="bottom"/>
          </w:tcPr>
          <w:p>
            <w:pPr>
              <w:ind w:left="80"/>
              <w:spacing w:after="0"/>
              <w:rPr>
                <w:sz w:val="20"/>
                <w:szCs w:val="20"/>
                <w:color w:val="auto"/>
              </w:rPr>
            </w:pPr>
            <w:r>
              <w:rPr>
                <w:rFonts w:ascii="Arial" w:cs="Arial" w:eastAsia="Arial" w:hAnsi="Arial"/>
                <w:sz w:val="13"/>
                <w:szCs w:val="13"/>
                <w:color w:val="auto"/>
              </w:rPr>
              <w:t>Total lease liabilities</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8"/>
              </w:rPr>
              <w:t>6,133</w:t>
            </w:r>
          </w:p>
        </w:tc>
      </w:tr>
      <w:tr>
        <w:trPr>
          <w:trHeight w:val="20"/>
        </w:trPr>
        <w:tc>
          <w:tcPr>
            <w:tcW w:w="7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2" w:right="8960" w:hanging="2"/>
        <w:spacing w:after="0" w:line="380" w:lineRule="auto"/>
        <w:tabs>
          <w:tab w:leader="none" w:pos="198"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BALANCE SHEET COMPONENTS: Property and Equipment</w:t>
      </w:r>
    </w:p>
    <w:p>
      <w:pPr>
        <w:spacing w:after="0" w:line="1" w:lineRule="exact"/>
        <w:rPr>
          <w:rFonts w:ascii="Arial" w:cs="Arial" w:eastAsia="Arial" w:hAnsi="Arial"/>
          <w:sz w:val="13"/>
          <w:szCs w:val="13"/>
          <w:b w:val="1"/>
          <w:bCs w:val="1"/>
          <w:color w:val="auto"/>
        </w:rPr>
      </w:pPr>
    </w:p>
    <w:p>
      <w:pPr>
        <w:ind w:left="362"/>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reflects information about our property and equipment as of December 31, 2021 and 2020 (in thousands):</w:t>
      </w:r>
    </w:p>
    <w:p>
      <w:pPr>
        <w:spacing w:after="0" w:line="46" w:lineRule="exact"/>
        <w:rPr>
          <w:sz w:val="20"/>
          <w:szCs w:val="20"/>
          <w:color w:val="auto"/>
        </w:rPr>
      </w:pPr>
    </w:p>
    <w:tbl>
      <w:tblPr>
        <w:tblLayout w:type="fixed"/>
        <w:tblInd w:w="2" w:type="dxa"/>
        <w:tblCellMar>
          <w:top w:w="0" w:type="dxa"/>
          <w:left w:w="0" w:type="dxa"/>
          <w:bottom w:w="0" w:type="dxa"/>
          <w:right w:w="0" w:type="dxa"/>
        </w:tblCellMar>
      </w:tblPr>
      <w:tr>
        <w:trPr>
          <w:trHeight w:val="153"/>
        </w:trPr>
        <w:tc>
          <w:tcPr>
            <w:tcW w:w="79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2"/>
                <w:szCs w:val="12"/>
                <w:b w:val="1"/>
                <w:bCs w:val="1"/>
                <w:color w:val="auto"/>
              </w:rPr>
              <w:t>As of December 31,</w:t>
            </w:r>
          </w:p>
        </w:tc>
        <w:tc>
          <w:tcPr>
            <w:tcW w:w="860" w:type="dxa"/>
            <w:vAlign w:val="bottom"/>
            <w:tcBorders>
              <w:bottom w:val="single" w:sz="8" w:color="auto"/>
            </w:tcBorders>
          </w:tcPr>
          <w:p>
            <w:pPr>
              <w:spacing w:after="0"/>
              <w:rPr>
                <w:sz w:val="13"/>
                <w:szCs w:val="13"/>
                <w:color w:val="auto"/>
              </w:rPr>
            </w:pPr>
          </w:p>
        </w:tc>
      </w:tr>
      <w:tr>
        <w:trPr>
          <w:trHeight w:val="147"/>
        </w:trPr>
        <w:tc>
          <w:tcPr>
            <w:tcW w:w="79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b w:val="1"/>
                <w:bCs w:val="1"/>
                <w:color w:val="auto"/>
              </w:rPr>
              <w:t>2020</w:t>
            </w:r>
          </w:p>
        </w:tc>
      </w:tr>
      <w:tr>
        <w:trPr>
          <w:trHeight w:val="149"/>
        </w:trPr>
        <w:tc>
          <w:tcPr>
            <w:tcW w:w="798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Leasehold improvements</w:t>
            </w:r>
          </w:p>
        </w:tc>
        <w:tc>
          <w:tcPr>
            <w:tcW w:w="1160" w:type="dxa"/>
            <w:vAlign w:val="bottom"/>
            <w:shd w:val="clear" w:color="auto" w:fill="CCEEFF"/>
          </w:tcPr>
          <w:p>
            <w:pPr>
              <w:jc w:val="right"/>
              <w:ind w:right="679"/>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center"/>
              <w:ind w:left="18"/>
              <w:spacing w:after="0"/>
              <w:rPr>
                <w:sz w:val="20"/>
                <w:szCs w:val="20"/>
                <w:color w:val="auto"/>
              </w:rPr>
            </w:pPr>
            <w:r>
              <w:rPr>
                <w:rFonts w:ascii="Arial" w:cs="Arial" w:eastAsia="Arial" w:hAnsi="Arial"/>
                <w:sz w:val="12"/>
                <w:szCs w:val="12"/>
                <w:color w:val="auto"/>
                <w:w w:val="93"/>
              </w:rPr>
              <w:t>4,956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center"/>
              <w:ind w:left="438"/>
              <w:spacing w:after="0"/>
              <w:rPr>
                <w:sz w:val="20"/>
                <w:szCs w:val="20"/>
                <w:color w:val="auto"/>
              </w:rPr>
            </w:pPr>
            <w:r>
              <w:rPr>
                <w:rFonts w:ascii="Arial" w:cs="Arial" w:eastAsia="Arial" w:hAnsi="Arial"/>
                <w:sz w:val="12"/>
                <w:szCs w:val="12"/>
                <w:color w:val="auto"/>
                <w:w w:val="93"/>
              </w:rPr>
              <w:t>5,385</w:t>
            </w:r>
          </w:p>
        </w:tc>
      </w:tr>
      <w:tr>
        <w:trPr>
          <w:trHeight w:val="166"/>
        </w:trPr>
        <w:tc>
          <w:tcPr>
            <w:tcW w:w="7980" w:type="dxa"/>
            <w:vAlign w:val="bottom"/>
          </w:tcPr>
          <w:p>
            <w:pPr>
              <w:ind w:left="360"/>
              <w:spacing w:after="0"/>
              <w:rPr>
                <w:sz w:val="20"/>
                <w:szCs w:val="20"/>
                <w:color w:val="auto"/>
              </w:rPr>
            </w:pPr>
            <w:r>
              <w:rPr>
                <w:rFonts w:ascii="Arial" w:cs="Arial" w:eastAsia="Arial" w:hAnsi="Arial"/>
                <w:sz w:val="13"/>
                <w:szCs w:val="13"/>
                <w:color w:val="auto"/>
              </w:rPr>
              <w:t>Furniture and fixtures</w:t>
            </w:r>
          </w:p>
        </w:tc>
        <w:tc>
          <w:tcPr>
            <w:tcW w:w="1160" w:type="dxa"/>
            <w:vAlign w:val="bottom"/>
          </w:tcPr>
          <w:p>
            <w:pPr>
              <w:spacing w:after="0"/>
              <w:rPr>
                <w:sz w:val="14"/>
                <w:szCs w:val="14"/>
                <w:color w:val="auto"/>
              </w:rPr>
            </w:pPr>
          </w:p>
        </w:tc>
        <w:tc>
          <w:tcPr>
            <w:tcW w:w="440" w:type="dxa"/>
            <w:vAlign w:val="bottom"/>
          </w:tcPr>
          <w:p>
            <w:pPr>
              <w:jc w:val="center"/>
              <w:ind w:left="18"/>
              <w:spacing w:after="0"/>
              <w:rPr>
                <w:sz w:val="20"/>
                <w:szCs w:val="20"/>
                <w:color w:val="auto"/>
              </w:rPr>
            </w:pPr>
            <w:r>
              <w:rPr>
                <w:rFonts w:ascii="Arial" w:cs="Arial" w:eastAsia="Arial" w:hAnsi="Arial"/>
                <w:sz w:val="12"/>
                <w:szCs w:val="12"/>
                <w:color w:val="auto"/>
                <w:w w:val="93"/>
              </w:rPr>
              <w:t>2,590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jc w:val="center"/>
              <w:ind w:left="438"/>
              <w:spacing w:after="0"/>
              <w:rPr>
                <w:sz w:val="20"/>
                <w:szCs w:val="20"/>
                <w:color w:val="auto"/>
              </w:rPr>
            </w:pPr>
            <w:r>
              <w:rPr>
                <w:rFonts w:ascii="Arial" w:cs="Arial" w:eastAsia="Arial" w:hAnsi="Arial"/>
                <w:sz w:val="12"/>
                <w:szCs w:val="12"/>
                <w:color w:val="auto"/>
                <w:w w:val="93"/>
              </w:rPr>
              <w:t>2,728</w:t>
            </w:r>
          </w:p>
        </w:tc>
      </w:tr>
      <w:tr>
        <w:trPr>
          <w:trHeight w:val="167"/>
        </w:trPr>
        <w:tc>
          <w:tcPr>
            <w:tcW w:w="79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Computer hardware and office equipment</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jc w:val="center"/>
              <w:ind w:left="18"/>
              <w:spacing w:after="0"/>
              <w:rPr>
                <w:sz w:val="20"/>
                <w:szCs w:val="20"/>
                <w:color w:val="auto"/>
              </w:rPr>
            </w:pPr>
            <w:r>
              <w:rPr>
                <w:rFonts w:ascii="Arial" w:cs="Arial" w:eastAsia="Arial" w:hAnsi="Arial"/>
                <w:sz w:val="12"/>
                <w:szCs w:val="12"/>
                <w:color w:val="auto"/>
                <w:w w:val="93"/>
              </w:rPr>
              <w:t>3,205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438"/>
              <w:spacing w:after="0"/>
              <w:rPr>
                <w:sz w:val="20"/>
                <w:szCs w:val="20"/>
                <w:color w:val="auto"/>
              </w:rPr>
            </w:pPr>
            <w:r>
              <w:rPr>
                <w:rFonts w:ascii="Arial" w:cs="Arial" w:eastAsia="Arial" w:hAnsi="Arial"/>
                <w:sz w:val="12"/>
                <w:szCs w:val="12"/>
                <w:color w:val="auto"/>
                <w:w w:val="93"/>
              </w:rPr>
              <w:t>3,129</w:t>
            </w:r>
          </w:p>
        </w:tc>
      </w:tr>
      <w:tr>
        <w:trPr>
          <w:trHeight w:val="166"/>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Accumulated depreciation</w:t>
            </w: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(8,637)</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418"/>
              <w:spacing w:after="0"/>
              <w:rPr>
                <w:sz w:val="20"/>
                <w:szCs w:val="20"/>
                <w:color w:val="auto"/>
              </w:rPr>
            </w:pPr>
            <w:r>
              <w:rPr>
                <w:rFonts w:ascii="Arial" w:cs="Arial" w:eastAsia="Arial" w:hAnsi="Arial"/>
                <w:sz w:val="12"/>
                <w:szCs w:val="12"/>
                <w:color w:val="auto"/>
                <w:w w:val="99"/>
              </w:rPr>
              <w:t>(8,056)</w:t>
            </w:r>
          </w:p>
        </w:tc>
      </w:tr>
      <w:tr>
        <w:trPr>
          <w:trHeight w:val="166"/>
        </w:trPr>
        <w:tc>
          <w:tcPr>
            <w:tcW w:w="7980" w:type="dxa"/>
            <w:vAlign w:val="bottom"/>
            <w:tcBorders>
              <w:bottom w:val="single" w:sz="8" w:color="CCEEFF"/>
            </w:tcBorders>
            <w:shd w:val="clear" w:color="auto" w:fill="CCEEFF"/>
          </w:tcPr>
          <w:p>
            <w:pPr>
              <w:ind w:left="600"/>
              <w:spacing w:after="0" w:line="146" w:lineRule="exact"/>
              <w:rPr>
                <w:sz w:val="20"/>
                <w:szCs w:val="20"/>
                <w:color w:val="auto"/>
              </w:rPr>
            </w:pPr>
            <w:r>
              <w:rPr>
                <w:rFonts w:ascii="Arial" w:cs="Arial" w:eastAsia="Arial" w:hAnsi="Arial"/>
                <w:sz w:val="13"/>
                <w:szCs w:val="13"/>
                <w:color w:val="auto"/>
              </w:rPr>
              <w:t>Property and equipment, net</w:t>
            </w:r>
          </w:p>
        </w:tc>
        <w:tc>
          <w:tcPr>
            <w:tcW w:w="11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center"/>
              <w:ind w:left="18"/>
              <w:spacing w:after="0"/>
              <w:rPr>
                <w:sz w:val="20"/>
                <w:szCs w:val="20"/>
                <w:color w:val="auto"/>
              </w:rPr>
            </w:pPr>
            <w:r>
              <w:rPr>
                <w:rFonts w:ascii="Arial" w:cs="Arial" w:eastAsia="Arial" w:hAnsi="Arial"/>
                <w:sz w:val="12"/>
                <w:szCs w:val="12"/>
                <w:color w:val="auto"/>
                <w:w w:val="93"/>
              </w:rPr>
              <w:t>2,114</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center"/>
              <w:ind w:left="438"/>
              <w:spacing w:after="0"/>
              <w:rPr>
                <w:sz w:val="20"/>
                <w:szCs w:val="20"/>
                <w:color w:val="auto"/>
              </w:rPr>
            </w:pPr>
            <w:r>
              <w:rPr>
                <w:rFonts w:ascii="Arial" w:cs="Arial" w:eastAsia="Arial" w:hAnsi="Arial"/>
                <w:sz w:val="12"/>
                <w:szCs w:val="12"/>
                <w:color w:val="auto"/>
                <w:w w:val="93"/>
              </w:rPr>
              <w:t>3,186</w:t>
            </w:r>
          </w:p>
        </w:tc>
      </w:tr>
    </w:tbl>
    <w:p>
      <w:pPr>
        <w:spacing w:after="0" w:line="389"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Contract Asset</w:t>
      </w:r>
    </w:p>
    <w:p>
      <w:pPr>
        <w:spacing w:after="0" w:line="90" w:lineRule="exact"/>
        <w:rPr>
          <w:sz w:val="20"/>
          <w:szCs w:val="20"/>
          <w:color w:val="auto"/>
        </w:rPr>
      </w:pPr>
    </w:p>
    <w:p>
      <w:pPr>
        <w:ind w:left="2" w:right="720" w:firstLine="353"/>
        <w:spacing w:after="0" w:line="275" w:lineRule="auto"/>
        <w:rPr>
          <w:sz w:val="20"/>
          <w:szCs w:val="20"/>
          <w:color w:val="auto"/>
        </w:rPr>
      </w:pPr>
      <w:r>
        <w:rPr>
          <w:rFonts w:ascii="Arial" w:cs="Arial" w:eastAsia="Arial" w:hAnsi="Arial"/>
          <w:sz w:val="13"/>
          <w:szCs w:val="13"/>
          <w:color w:val="auto"/>
        </w:rPr>
        <w:t>We record a contract asset when we have a right to payment from a customer that is conditioned on events other than the passage of time. Contract assets are included in Other current assets in the accompanying Consolidated Balance Sheets, and the</w:t>
      </w:r>
    </w:p>
    <w:p>
      <w:pPr>
        <w:spacing w:after="0" w:line="37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following table reflects our contract asset balances as of December 31, 2021 and 2020 (in thousands):</w:t>
      </w:r>
    </w:p>
    <w:p>
      <w:pPr>
        <w:spacing w:after="0" w:line="37" w:lineRule="exact"/>
        <w:rPr>
          <w:sz w:val="20"/>
          <w:szCs w:val="20"/>
          <w:color w:val="auto"/>
        </w:rPr>
      </w:pPr>
    </w:p>
    <w:p>
      <w:pPr>
        <w:jc w:val="center"/>
        <w:ind w:left="854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11430</wp:posOffset>
            </wp:positionV>
            <wp:extent cx="174244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42440" cy="6350"/>
                    </a:xfrm>
                    <a:prstGeom prst="rect">
                      <a:avLst/>
                    </a:prstGeom>
                    <a:noFill/>
                  </pic:spPr>
                </pic:pic>
              </a:graphicData>
            </a:graphic>
          </wp:anchor>
        </w:drawing>
      </w:r>
    </w:p>
    <w:p>
      <w:pPr>
        <w:spacing w:after="0" w:line="9" w:lineRule="exact"/>
        <w:rPr>
          <w:sz w:val="20"/>
          <w:szCs w:val="20"/>
          <w:color w:val="auto"/>
        </w:rPr>
      </w:pPr>
    </w:p>
    <w:p>
      <w:pPr>
        <w:ind w:left="9080"/>
        <w:spacing w:after="0"/>
        <w:tabs>
          <w:tab w:leader="none" w:pos="105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69785" cy="1060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785" cy="106045"/>
                    </a:xfrm>
                    <a:prstGeom prst="rect">
                      <a:avLst/>
                    </a:prstGeom>
                    <a:noFill/>
                  </pic:spPr>
                </pic:pic>
              </a:graphicData>
            </a:graphic>
          </wp:anchor>
        </w:drawing>
      </w:r>
    </w:p>
    <w:p>
      <w:pPr>
        <w:ind w:left="20"/>
        <w:spacing w:after="0"/>
        <w:tabs>
          <w:tab w:leader="none" w:pos="8540" w:val="left"/>
          <w:tab w:leader="none" w:pos="9620" w:val="left"/>
          <w:tab w:leader="none" w:pos="9960" w:val="left"/>
          <w:tab w:leader="none" w:pos="11040" w:val="left"/>
        </w:tabs>
        <w:rPr>
          <w:sz w:val="20"/>
          <w:szCs w:val="20"/>
          <w:color w:val="auto"/>
        </w:rPr>
      </w:pPr>
      <w:r>
        <w:rPr>
          <w:rFonts w:ascii="Arial" w:cs="Arial" w:eastAsia="Arial" w:hAnsi="Arial"/>
          <w:sz w:val="13"/>
          <w:szCs w:val="13"/>
          <w:color w:val="auto"/>
        </w:rPr>
        <w:t>Contract assets</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140</w:t>
        <w:tab/>
        <w:t>$</w:t>
      </w:r>
      <w:r>
        <w:rPr>
          <w:sz w:val="20"/>
          <w:szCs w:val="20"/>
          <w:color w:val="auto"/>
        </w:rPr>
        <w:tab/>
      </w:r>
      <w:r>
        <w:rPr>
          <w:rFonts w:ascii="Arial" w:cs="Arial" w:eastAsia="Arial" w:hAnsi="Arial"/>
          <w:sz w:val="10"/>
          <w:szCs w:val="10"/>
          <w:color w:val="auto"/>
        </w:rPr>
        <w:t>429</w:t>
      </w: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Refer to Note 3, “Revenue” for our revenues from contract assets.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contractual obligations as of December 31, 2021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6"/>
              </w:rPr>
              <w:t>Payments due in:</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7"/>
        </w:trPr>
        <w:tc>
          <w:tcPr>
            <w:tcW w:w="3400" w:type="dxa"/>
            <w:vAlign w:val="bottom"/>
          </w:tcPr>
          <w:p>
            <w:pPr>
              <w:spacing w:after="0"/>
              <w:rPr>
                <w:sz w:val="12"/>
                <w:szCs w:val="12"/>
                <w:color w:val="auto"/>
              </w:rPr>
            </w:pPr>
          </w:p>
        </w:tc>
        <w:tc>
          <w:tcPr>
            <w:tcW w:w="1000" w:type="dxa"/>
            <w:vAlign w:val="bottom"/>
          </w:tcPr>
          <w:p>
            <w:pPr>
              <w:jc w:val="right"/>
              <w:ind w:right="58"/>
              <w:spacing w:after="0"/>
              <w:rPr>
                <w:sz w:val="20"/>
                <w:szCs w:val="20"/>
                <w:color w:val="auto"/>
              </w:rPr>
            </w:pPr>
            <w:r>
              <w:rPr>
                <w:rFonts w:ascii="Arial" w:cs="Arial" w:eastAsia="Arial" w:hAnsi="Arial"/>
                <w:sz w:val="12"/>
                <w:szCs w:val="12"/>
                <w:b w:val="1"/>
                <w:bCs w:val="1"/>
                <w:color w:val="auto"/>
              </w:rPr>
              <w:t>Total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20"/>
              <w:spacing w:after="0"/>
              <w:rPr>
                <w:sz w:val="20"/>
                <w:szCs w:val="20"/>
                <w:color w:val="auto"/>
              </w:rPr>
            </w:pPr>
            <w:r>
              <w:rPr>
                <w:rFonts w:ascii="Arial" w:cs="Arial" w:eastAsia="Arial" w:hAnsi="Arial"/>
                <w:sz w:val="12"/>
                <w:szCs w:val="12"/>
                <w:b w:val="1"/>
                <w:bCs w:val="1"/>
                <w:color w:val="auto"/>
              </w:rPr>
              <w:t>Less than 1 year</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1-3 years</w:t>
            </w:r>
          </w:p>
        </w:tc>
        <w:tc>
          <w:tcPr>
            <w:tcW w:w="300" w:type="dxa"/>
            <w:vAlign w:val="bottom"/>
          </w:tcPr>
          <w:p>
            <w:pPr>
              <w:spacing w:after="0"/>
              <w:rPr>
                <w:sz w:val="12"/>
                <w:szCs w:val="12"/>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4-5 years</w:t>
            </w:r>
          </w:p>
        </w:tc>
        <w:tc>
          <w:tcPr>
            <w:tcW w:w="260" w:type="dxa"/>
            <w:vAlign w:val="bottom"/>
          </w:tcPr>
          <w:p>
            <w:pPr>
              <w:spacing w:after="0"/>
              <w:rPr>
                <w:sz w:val="12"/>
                <w:szCs w:val="12"/>
                <w:color w:val="auto"/>
              </w:rPr>
            </w:pP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Thereafter</w:t>
            </w:r>
          </w:p>
        </w:tc>
      </w:tr>
      <w:tr>
        <w:trPr>
          <w:trHeight w:val="15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obligations</w:t>
            </w:r>
          </w:p>
        </w:tc>
        <w:tc>
          <w:tcPr>
            <w:tcW w:w="1000" w:type="dxa"/>
            <w:vAlign w:val="bottom"/>
            <w:tcBorders>
              <w:top w:val="single" w:sz="8" w:color="auto"/>
            </w:tcBorders>
            <w:shd w:val="clear" w:color="auto" w:fill="CCEEFF"/>
          </w:tcPr>
          <w:p>
            <w:pPr>
              <w:jc w:val="right"/>
              <w:ind w:right="858"/>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4,732</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rPr>
              <w:t>—</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REGULATORY CAPITAL REQUIREMENTS:</w:t>
      </w:r>
    </w:p>
    <w:p>
      <w:pPr>
        <w:spacing w:after="0" w:line="90" w:lineRule="exact"/>
        <w:rPr>
          <w:sz w:val="20"/>
          <w:szCs w:val="20"/>
          <w:color w:val="auto"/>
        </w:rPr>
      </w:pPr>
    </w:p>
    <w:p>
      <w:pPr>
        <w:ind w:right="300" w:firstLine="353"/>
        <w:spacing w:after="0" w:line="318" w:lineRule="auto"/>
        <w:rPr>
          <w:sz w:val="20"/>
          <w:szCs w:val="20"/>
          <w:color w:val="auto"/>
        </w:rPr>
      </w:pPr>
      <w:r>
        <w:rPr>
          <w:rFonts w:ascii="Arial" w:cs="Arial" w:eastAsia="Arial" w:hAnsi="Arial"/>
          <w:sz w:val="12"/>
          <w:szCs w:val="12"/>
          <w:color w:val="auto"/>
        </w:rPr>
        <w:t>Westwood Trust must maintain cash and investments in an amount equal to the required minimum restricted capital of $4.0 million as required by the Texas Finance Code. Restricted capital is included in Investments in the accompanying Consolidated Balance Sheets. At December 31, 2021, Westwood Trust had approximately $14.2 million in excess of its minimum capital requirement.</w:t>
      </w:r>
    </w:p>
    <w:p>
      <w:pPr>
        <w:spacing w:after="0" w:line="26" w:lineRule="exact"/>
        <w:rPr>
          <w:sz w:val="20"/>
          <w:szCs w:val="20"/>
          <w:color w:val="auto"/>
        </w:rPr>
      </w:pPr>
    </w:p>
    <w:p>
      <w:pPr>
        <w:jc w:val="both"/>
        <w:ind w:right="180" w:firstLine="353"/>
        <w:spacing w:after="0" w:line="295" w:lineRule="auto"/>
        <w:rPr>
          <w:sz w:val="20"/>
          <w:szCs w:val="20"/>
          <w:color w:val="auto"/>
        </w:rPr>
      </w:pPr>
      <w:r>
        <w:rPr>
          <w:rFonts w:ascii="Arial" w:cs="Arial" w:eastAsia="Arial" w:hAnsi="Arial"/>
          <w:sz w:val="12"/>
          <w:szCs w:val="12"/>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may make quarterly and special dividend payments, or other distributions, to Westwood out of its undivided profits. No dividend payments were made in 2021, 2020 or 2019.</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VARIABLE INTEREST ENTITIES:</w:t>
      </w:r>
    </w:p>
    <w:p>
      <w:pPr>
        <w:spacing w:after="0" w:line="90" w:lineRule="exact"/>
        <w:rPr>
          <w:sz w:val="20"/>
          <w:szCs w:val="20"/>
          <w:color w:val="auto"/>
        </w:rPr>
      </w:pPr>
    </w:p>
    <w:p>
      <w:pPr>
        <w:ind w:right="40" w:firstLine="353"/>
        <w:spacing w:after="0" w:line="281" w:lineRule="auto"/>
        <w:rPr>
          <w:sz w:val="20"/>
          <w:szCs w:val="20"/>
          <w:color w:val="auto"/>
        </w:rPr>
      </w:pPr>
      <w:r>
        <w:rPr>
          <w:rFonts w:ascii="Arial" w:cs="Arial" w:eastAsia="Arial" w:hAnsi="Arial"/>
          <w:sz w:val="12"/>
          <w:szCs w:val="12"/>
          <w:color w:val="auto"/>
        </w:rPr>
        <w:t>As discussed in Note 2 “Summary of Significant Accounting Policies,” the CTFs and Private Funds (together the “Westwood VIEs”) are considered VIEs, and the Westwood Funds® and Private Equity are considered VOEs (together the “Westwood VOEs”). We receive fees for managing assets in these entities commensurate with market rates. As of December 31, 2021 and 2020, we evaluated all of the Westwood VIEs and Westwood VOEs to determine whether or not we should consolidate the entities into our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For the Westwood VOEs, we evaluated whether or not we own a controlling financial interest in the entities. Based on our analyses, we have not consolidated the Westwood VIEs or Westwood VOEs into our Consolidated Financial Statements for the years ended December 31, 2021 or 2020.</w:t>
      </w:r>
    </w:p>
    <w:p>
      <w:pPr>
        <w:spacing w:after="0" w:line="50" w:lineRule="exact"/>
        <w:rPr>
          <w:sz w:val="20"/>
          <w:szCs w:val="20"/>
          <w:color w:val="auto"/>
        </w:rPr>
      </w:pPr>
    </w:p>
    <w:p>
      <w:pPr>
        <w:ind w:right="20" w:firstLine="353"/>
        <w:spacing w:after="0" w:line="318" w:lineRule="auto"/>
        <w:rPr>
          <w:sz w:val="20"/>
          <w:szCs w:val="20"/>
          <w:color w:val="auto"/>
        </w:rPr>
      </w:pPr>
      <w:r>
        <w:rPr>
          <w:rFonts w:ascii="Arial" w:cs="Arial" w:eastAsia="Arial" w:hAnsi="Arial"/>
          <w:sz w:val="12"/>
          <w:szCs w:val="12"/>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5 “Investments.”</w:t>
      </w:r>
    </w:p>
    <w:p>
      <w:pPr>
        <w:spacing w:after="0" w:line="26" w:lineRule="exact"/>
        <w:rPr>
          <w:sz w:val="20"/>
          <w:szCs w:val="20"/>
          <w:color w:val="auto"/>
        </w:rPr>
      </w:pPr>
    </w:p>
    <w:p>
      <w:pPr>
        <w:ind w:right="140" w:firstLine="353"/>
        <w:spacing w:after="0" w:line="275" w:lineRule="auto"/>
        <w:rPr>
          <w:sz w:val="20"/>
          <w:szCs w:val="20"/>
          <w:color w:val="auto"/>
        </w:rPr>
      </w:pPr>
      <w:r>
        <w:rPr>
          <w:rFonts w:ascii="Arial" w:cs="Arial" w:eastAsia="Arial" w:hAnsi="Arial"/>
          <w:sz w:val="13"/>
          <w:szCs w:val="13"/>
          <w:color w:val="auto"/>
        </w:rPr>
        <w:t>We recognized fee revenue from the Westwood VIEs and Westwood VOEs of approximately $22.8 million, $19.3 million and $31.0 million for the twelve months ended December 31, 2021, 2020 and 2019, respectively.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right="40" w:firstLine="353"/>
        <w:spacing w:after="0" w:line="275" w:lineRule="auto"/>
        <w:rPr>
          <w:sz w:val="20"/>
          <w:szCs w:val="20"/>
          <w:color w:val="auto"/>
        </w:rPr>
      </w:pPr>
      <w:r>
        <w:rPr>
          <w:rFonts w:ascii="Arial" w:cs="Arial" w:eastAsia="Arial" w:hAnsi="Arial"/>
          <w:sz w:val="13"/>
          <w:szCs w:val="13"/>
          <w:color w:val="auto"/>
        </w:rPr>
        <w:t>The following table displays the AUM, the amount of our seed investments that are included in “Investments” and “Investments, at fair value” on the Consolidated Balance Sheets, and the financial risk of loss in each vehicle (in millions):</w:t>
      </w:r>
    </w:p>
    <w:tbl>
      <w:tblPr>
        <w:tblLayout w:type="fixed"/>
        <w:tblInd w:w="0" w:type="dxa"/>
        <w:tblCellMar>
          <w:top w:w="0" w:type="dxa"/>
          <w:left w:w="0" w:type="dxa"/>
          <w:bottom w:w="0" w:type="dxa"/>
          <w:right w:w="0" w:type="dxa"/>
        </w:tblCellMar>
      </w:tblPr>
      <w:tr>
        <w:trPr>
          <w:trHeight w:val="153"/>
        </w:trPr>
        <w:tc>
          <w:tcPr>
            <w:tcW w:w="63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left="181"/>
              <w:spacing w:after="0"/>
              <w:rPr>
                <w:sz w:val="20"/>
                <w:szCs w:val="20"/>
                <w:color w:val="auto"/>
              </w:rPr>
            </w:pPr>
            <w:r>
              <w:rPr>
                <w:rFonts w:ascii="Arial" w:cs="Arial" w:eastAsia="Arial" w:hAnsi="Arial"/>
                <w:sz w:val="12"/>
                <w:szCs w:val="12"/>
                <w:b w:val="1"/>
                <w:bCs w:val="1"/>
                <w:color w:val="auto"/>
                <w:w w:val="87"/>
              </w:rPr>
              <w:t>As of December 31, 2021</w:t>
            </w: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340" w:type="dxa"/>
            <w:vAlign w:val="bottom"/>
          </w:tcPr>
          <w:p>
            <w:pPr>
              <w:spacing w:after="0"/>
              <w:rPr>
                <w:sz w:val="9"/>
                <w:szCs w:val="9"/>
                <w:color w:val="auto"/>
              </w:rPr>
            </w:pPr>
          </w:p>
        </w:tc>
        <w:tc>
          <w:tcPr>
            <w:tcW w:w="1160" w:type="dxa"/>
            <w:vAlign w:val="bottom"/>
          </w:tcPr>
          <w:p>
            <w:pPr>
              <w:jc w:val="center"/>
              <w:ind w:left="739"/>
              <w:spacing w:after="0" w:line="111" w:lineRule="exact"/>
              <w:rPr>
                <w:sz w:val="20"/>
                <w:szCs w:val="20"/>
                <w:color w:val="auto"/>
              </w:rPr>
            </w:pPr>
            <w:r>
              <w:rPr>
                <w:rFonts w:ascii="Arial" w:cs="Arial" w:eastAsia="Arial" w:hAnsi="Arial"/>
                <w:sz w:val="12"/>
                <w:szCs w:val="12"/>
                <w:b w:val="1"/>
                <w:bCs w:val="1"/>
                <w:color w:val="auto"/>
                <w:w w:val="81"/>
              </w:rPr>
              <w:t>Assets</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0"/>
              </w:rPr>
              <w:t>Corporate</w:t>
            </w: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40" w:type="dxa"/>
            <w:vAlign w:val="bottom"/>
          </w:tcPr>
          <w:p>
            <w:pPr>
              <w:spacing w:after="0"/>
              <w:rPr>
                <w:sz w:val="10"/>
                <w:szCs w:val="10"/>
                <w:color w:val="auto"/>
              </w:rPr>
            </w:pPr>
          </w:p>
        </w:tc>
        <w:tc>
          <w:tcPr>
            <w:tcW w:w="1160" w:type="dxa"/>
            <w:vAlign w:val="bottom"/>
          </w:tcPr>
          <w:p>
            <w:pPr>
              <w:jc w:val="center"/>
              <w:ind w:left="739"/>
              <w:spacing w:after="0" w:line="118" w:lineRule="exact"/>
              <w:rPr>
                <w:sz w:val="20"/>
                <w:szCs w:val="20"/>
                <w:color w:val="auto"/>
              </w:rPr>
            </w:pPr>
            <w:r>
              <w:rPr>
                <w:rFonts w:ascii="Arial" w:cs="Arial" w:eastAsia="Arial" w:hAnsi="Arial"/>
                <w:sz w:val="12"/>
                <w:szCs w:val="12"/>
                <w:b w:val="1"/>
                <w:bCs w:val="1"/>
                <w:color w:val="auto"/>
                <w:w w:val="92"/>
              </w:rPr>
              <w:t>Under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w w:val="95"/>
              </w:rPr>
              <w:t>Amount at Risk</w:t>
            </w:r>
          </w:p>
        </w:tc>
        <w:tc>
          <w:tcPr>
            <w:tcW w:w="0" w:type="dxa"/>
            <w:vAlign w:val="bottom"/>
          </w:tcPr>
          <w:p>
            <w:pPr>
              <w:spacing w:after="0"/>
              <w:rPr>
                <w:sz w:val="1"/>
                <w:szCs w:val="1"/>
                <w:color w:val="auto"/>
              </w:rPr>
            </w:pPr>
          </w:p>
        </w:tc>
      </w:tr>
      <w:tr>
        <w:trPr>
          <w:trHeight w:val="153"/>
        </w:trPr>
        <w:tc>
          <w:tcPr>
            <w:tcW w:w="6340" w:type="dxa"/>
            <w:vAlign w:val="bottom"/>
          </w:tcPr>
          <w:p>
            <w:pPr>
              <w:spacing w:after="0"/>
              <w:rPr>
                <w:sz w:val="13"/>
                <w:szCs w:val="13"/>
                <w:color w:val="auto"/>
              </w:rPr>
            </w:pPr>
          </w:p>
        </w:tc>
        <w:tc>
          <w:tcPr>
            <w:tcW w:w="1600" w:type="dxa"/>
            <w:vAlign w:val="bottom"/>
            <w:gridSpan w:val="2"/>
          </w:tcPr>
          <w:p>
            <w:pPr>
              <w:jc w:val="center"/>
              <w:ind w:left="279"/>
              <w:spacing w:after="0"/>
              <w:rPr>
                <w:sz w:val="20"/>
                <w:szCs w:val="20"/>
                <w:color w:val="auto"/>
              </w:rPr>
            </w:pPr>
            <w:r>
              <w:rPr>
                <w:rFonts w:ascii="Arial" w:cs="Arial" w:eastAsia="Arial" w:hAnsi="Arial"/>
                <w:sz w:val="12"/>
                <w:szCs w:val="12"/>
                <w:b w:val="1"/>
                <w:bCs w:val="1"/>
                <w:color w:val="auto"/>
                <w:w w:val="89"/>
              </w:rPr>
              <w:t>Management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Investment</w:t>
            </w:r>
          </w:p>
        </w:tc>
        <w:tc>
          <w:tcPr>
            <w:tcW w:w="5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40" w:type="dxa"/>
            <w:vAlign w:val="bottom"/>
            <w:tcBorders>
              <w:top w:val="single" w:sz="8" w:color="CCEEFF"/>
            </w:tcBorders>
            <w:shd w:val="clear" w:color="auto" w:fill="CCEEFF"/>
          </w:tcPr>
          <w:p>
            <w:pPr>
              <w:ind w:left="360"/>
              <w:spacing w:after="0" w:line="148" w:lineRule="exact"/>
              <w:rPr>
                <w:sz w:val="20"/>
                <w:szCs w:val="20"/>
                <w:color w:val="auto"/>
              </w:rPr>
            </w:pPr>
            <w:r>
              <w:rPr>
                <w:rFonts w:ascii="Arial" w:cs="Arial" w:eastAsia="Arial" w:hAnsi="Arial"/>
                <w:sz w:val="13"/>
                <w:szCs w:val="13"/>
                <w:color w:val="auto"/>
              </w:rPr>
              <w:t>VIEs/VOEs:</w:t>
            </w:r>
          </w:p>
        </w:tc>
        <w:tc>
          <w:tcPr>
            <w:tcW w:w="1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340" w:type="dxa"/>
            <w:vAlign w:val="bottom"/>
          </w:tcPr>
          <w:p>
            <w:pPr>
              <w:ind w:left="600"/>
              <w:spacing w:after="0"/>
              <w:rPr>
                <w:sz w:val="20"/>
                <w:szCs w:val="20"/>
                <w:color w:val="auto"/>
              </w:rPr>
            </w:pPr>
            <w:r>
              <w:rPr>
                <w:rFonts w:ascii="Arial" w:cs="Arial" w:eastAsia="Arial" w:hAnsi="Arial"/>
                <w:sz w:val="13"/>
                <w:szCs w:val="13"/>
                <w:color w:val="auto"/>
              </w:rPr>
              <w:t>Westwood Funds®</w:t>
            </w:r>
          </w:p>
        </w:tc>
        <w:tc>
          <w:tcPr>
            <w:tcW w:w="1160" w:type="dxa"/>
            <w:vAlign w:val="bottom"/>
          </w:tcPr>
          <w:p>
            <w:pPr>
              <w:jc w:val="right"/>
              <w:ind w:right="65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3,046</w:t>
            </w:r>
          </w:p>
        </w:tc>
        <w:tc>
          <w:tcPr>
            <w:tcW w:w="66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Common Trust Funds</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66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6340" w:type="dxa"/>
            <w:vAlign w:val="bottom"/>
          </w:tcPr>
          <w:p>
            <w:pPr>
              <w:ind w:left="600"/>
              <w:spacing w:after="0"/>
              <w:rPr>
                <w:sz w:val="20"/>
                <w:szCs w:val="20"/>
                <w:color w:val="auto"/>
              </w:rPr>
            </w:pPr>
            <w:r>
              <w:rPr>
                <w:rFonts w:ascii="Arial" w:cs="Arial" w:eastAsia="Arial" w:hAnsi="Arial"/>
                <w:sz w:val="13"/>
                <w:szCs w:val="13"/>
                <w:color w:val="auto"/>
              </w:rPr>
              <w:t>Private Funds</w:t>
            </w:r>
          </w:p>
        </w:tc>
        <w:tc>
          <w:tcPr>
            <w:tcW w:w="1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w:t>
            </w:r>
          </w:p>
        </w:tc>
        <w:tc>
          <w:tcPr>
            <w:tcW w:w="66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Private Equity</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All other assets:</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40" w:type="dxa"/>
            <w:vAlign w:val="bottom"/>
          </w:tcPr>
          <w:p>
            <w:pPr>
              <w:ind w:left="600"/>
              <w:spacing w:after="0"/>
              <w:rPr>
                <w:sz w:val="20"/>
                <w:szCs w:val="20"/>
                <w:color w:val="auto"/>
              </w:rPr>
            </w:pPr>
            <w:r>
              <w:rPr>
                <w:rFonts w:ascii="Arial" w:cs="Arial" w:eastAsia="Arial" w:hAnsi="Arial"/>
                <w:sz w:val="13"/>
                <w:szCs w:val="13"/>
                <w:color w:val="auto"/>
              </w:rPr>
              <w:t>Wealth Management</w:t>
            </w:r>
          </w:p>
        </w:tc>
        <w:tc>
          <w:tcPr>
            <w:tcW w:w="1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3,530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Institutional</w:t>
            </w:r>
          </w:p>
        </w:tc>
        <w:tc>
          <w:tcPr>
            <w:tcW w:w="1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40" w:type="dxa"/>
            <w:vAlign w:val="bottom"/>
          </w:tcPr>
          <w:p>
            <w:pPr>
              <w:ind w:left="840"/>
              <w:spacing w:after="0"/>
              <w:rPr>
                <w:sz w:val="20"/>
                <w:szCs w:val="20"/>
                <w:color w:val="auto"/>
              </w:rPr>
            </w:pPr>
            <w:r>
              <w:rPr>
                <w:rFonts w:ascii="Arial" w:cs="Arial" w:eastAsia="Arial" w:hAnsi="Arial"/>
                <w:sz w:val="13"/>
                <w:szCs w:val="13"/>
                <w:color w:val="auto"/>
              </w:rPr>
              <w:t>Total AUM</w:t>
            </w:r>
          </w:p>
        </w:tc>
        <w:tc>
          <w:tcPr>
            <w:tcW w:w="116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14,503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RELATED PARTY TRANSACTIONS:</w:t>
      </w:r>
    </w:p>
    <w:p>
      <w:pPr>
        <w:spacing w:after="0" w:line="90" w:lineRule="exact"/>
        <w:rPr>
          <w:sz w:val="20"/>
          <w:szCs w:val="20"/>
          <w:color w:val="auto"/>
        </w:rPr>
      </w:pPr>
    </w:p>
    <w:p>
      <w:pPr>
        <w:ind w:right="220" w:firstLine="353"/>
        <w:spacing w:after="0" w:line="275" w:lineRule="auto"/>
        <w:rPr>
          <w:sz w:val="20"/>
          <w:szCs w:val="20"/>
          <w:color w:val="auto"/>
        </w:rPr>
      </w:pPr>
      <w:r>
        <w:rPr>
          <w:rFonts w:ascii="Arial" w:cs="Arial" w:eastAsia="Arial" w:hAnsi="Arial"/>
          <w:sz w:val="13"/>
          <w:szCs w:val="13"/>
          <w:color w:val="auto"/>
        </w:rPr>
        <w:t>Some of our directors, executive officers and their affiliates invest personal funds directly in trust accounts that we manage. At both December 31, 2021 and at December 31, 2020, there was approximately $0.1 million in fees due from these accounts. For each of the years ended December 31, 2021, 2020 and 2019, we recorded trust fees from these accounts of $0.4 million.</w:t>
      </w:r>
    </w:p>
    <w:p>
      <w:pPr>
        <w:spacing w:after="0" w:line="49" w:lineRule="exact"/>
        <w:rPr>
          <w:sz w:val="20"/>
          <w:szCs w:val="20"/>
          <w:color w:val="auto"/>
        </w:rPr>
      </w:pPr>
    </w:p>
    <w:p>
      <w:pPr>
        <w:ind w:right="20" w:firstLine="353"/>
        <w:spacing w:after="0" w:line="275" w:lineRule="auto"/>
        <w:rPr>
          <w:sz w:val="20"/>
          <w:szCs w:val="20"/>
          <w:color w:val="auto"/>
        </w:rPr>
      </w:pPr>
      <w:r>
        <w:rPr>
          <w:rFonts w:ascii="Arial" w:cs="Arial" w:eastAsia="Arial" w:hAnsi="Arial"/>
          <w:sz w:val="13"/>
          <w:szCs w:val="13"/>
          <w:color w:val="auto"/>
        </w:rPr>
        <w:t>One director serves as a consultant to the Company under a consulting agreement for which we recorded expenses of $0.1 million for each of the years ended December 31, 2021 and 2020, and $0.2 million for the year ended December 31, 2019.</w:t>
      </w:r>
    </w:p>
    <w:p>
      <w:pPr>
        <w:spacing w:after="0" w:line="49" w:lineRule="exact"/>
        <w:rPr>
          <w:sz w:val="20"/>
          <w:szCs w:val="20"/>
          <w:color w:val="auto"/>
        </w:rPr>
      </w:pPr>
    </w:p>
    <w:p>
      <w:pPr>
        <w:ind w:right="60" w:firstLine="353"/>
        <w:spacing w:after="0"/>
        <w:rPr>
          <w:sz w:val="20"/>
          <w:szCs w:val="20"/>
          <w:color w:val="auto"/>
        </w:rPr>
      </w:pPr>
      <w:r>
        <w:rPr>
          <w:rFonts w:ascii="Arial" w:cs="Arial" w:eastAsia="Arial" w:hAnsi="Arial"/>
          <w:sz w:val="13"/>
          <w:szCs w:val="13"/>
          <w:color w:val="auto"/>
        </w:rPr>
        <w:t>The Company engages in transactions with its affiliates as part of its operations. Westwood International Advisors (prior to its closure, effective September 30, 2020) and Westwood Management provide investment advisory services to the UCITS Fund (prior to its liquidation in June 2020) and the Westwood Funds®. Certain members of our management served on the board of directors of the UCITS Fund before its liquidation. Under the terms of the investment advisory agreements, the Company earned quarterly fees paid by clients of the fund or by the funds directly. The fees are based on negotiated fee schedules applied to AUM. For the year ended December 31, 2021, we did not record any fees from the affiliated Funds. For the years ended December 31, 2020 and 2019, we recorded fees from the affiliated Funds of $0.9 million and $2.8 million, respectively, which are included in “Asset-based advisory fees” on our Consolidated Statement of Comprehensive Income (Loss). As of December 31, 2021 and 2020, all of these fees had been collected.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CONCENTRATION:</w:t>
      </w:r>
    </w:p>
    <w:p>
      <w:pPr>
        <w:spacing w:after="0" w:line="90" w:lineRule="exact"/>
        <w:rPr>
          <w:sz w:val="20"/>
          <w:szCs w:val="20"/>
          <w:color w:val="auto"/>
        </w:rPr>
      </w:pPr>
    </w:p>
    <w:p>
      <w:pPr>
        <w:jc w:val="both"/>
        <w:ind w:right="20" w:firstLine="353"/>
        <w:spacing w:after="0" w:line="263" w:lineRule="auto"/>
        <w:rPr>
          <w:sz w:val="20"/>
          <w:szCs w:val="20"/>
          <w:color w:val="auto"/>
        </w:rPr>
      </w:pPr>
      <w:r>
        <w:rPr>
          <w:rFonts w:ascii="Arial" w:cs="Arial" w:eastAsia="Arial" w:hAnsi="Arial"/>
          <w:sz w:val="13"/>
          <w:szCs w:val="13"/>
          <w:color w:val="auto"/>
        </w:rPr>
        <w:t>For the year ended December 31, 2021, our ten largest clients accounted for approximately 22% of our fee revenue. For each of the years ended December 31, 2020 and 2019, our ten largest clients accounted for approximately 24% of our fee revenue. No single customer accounted for 10% or more of our fee revenues in any of these years. The following table presents advisory fee revenue received from our single largest client in each year (in thousands):</w:t>
      </w:r>
    </w:p>
    <w:p>
      <w:pPr>
        <w:spacing w:after="0" w:line="18" w:lineRule="exact"/>
        <w:rPr>
          <w:sz w:val="20"/>
          <w:szCs w:val="20"/>
          <w:color w:val="auto"/>
        </w:rPr>
      </w:pPr>
    </w:p>
    <w:p>
      <w:pPr>
        <w:ind w:left="7940"/>
        <w:spacing w:after="0"/>
        <w:rPr>
          <w:sz w:val="20"/>
          <w:szCs w:val="20"/>
          <w:color w:val="auto"/>
        </w:rPr>
      </w:pPr>
      <w:r>
        <w:rPr>
          <w:rFonts w:ascii="Arial" w:cs="Arial" w:eastAsia="Arial" w:hAnsi="Arial"/>
          <w:sz w:val="12"/>
          <w:szCs w:val="12"/>
          <w:b w:val="1"/>
          <w:bCs w:val="1"/>
          <w:color w:val="auto"/>
        </w:rPr>
        <w:t>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2"/>
                <w:szCs w:val="12"/>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r>
      <w:tr>
        <w:trPr>
          <w:trHeight w:val="157"/>
        </w:trPr>
        <w:tc>
          <w:tcPr>
            <w:tcW w:w="556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Advisory fees from our largest client:</w:t>
            </w: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66"/>
        </w:trPr>
        <w:tc>
          <w:tcPr>
            <w:tcW w:w="5560" w:type="dxa"/>
            <w:vAlign w:val="bottom"/>
          </w:tcPr>
          <w:p>
            <w:pPr>
              <w:ind w:left="600"/>
              <w:spacing w:after="0"/>
              <w:rPr>
                <w:sz w:val="20"/>
                <w:szCs w:val="20"/>
                <w:color w:val="auto"/>
              </w:rPr>
            </w:pPr>
            <w:r>
              <w:rPr>
                <w:rFonts w:ascii="Arial" w:cs="Arial" w:eastAsia="Arial" w:hAnsi="Arial"/>
                <w:sz w:val="13"/>
                <w:szCs w:val="13"/>
                <w:color w:val="auto"/>
              </w:rPr>
              <w:t>Asset-based fees</w:t>
            </w:r>
          </w:p>
        </w:tc>
        <w:tc>
          <w:tcPr>
            <w:tcW w:w="7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6"/>
              <w:spacing w:after="0"/>
              <w:rPr>
                <w:sz w:val="20"/>
                <w:szCs w:val="20"/>
                <w:color w:val="auto"/>
              </w:rPr>
            </w:pPr>
            <w:r>
              <w:rPr>
                <w:rFonts w:ascii="Arial" w:cs="Arial" w:eastAsia="Arial" w:hAnsi="Arial"/>
                <w:sz w:val="13"/>
                <w:szCs w:val="13"/>
                <w:color w:val="auto"/>
              </w:rPr>
              <w:t>2,682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6"/>
              <w:spacing w:after="0"/>
              <w:rPr>
                <w:sz w:val="20"/>
                <w:szCs w:val="20"/>
                <w:color w:val="auto"/>
              </w:rPr>
            </w:pPr>
            <w:r>
              <w:rPr>
                <w:rFonts w:ascii="Arial" w:cs="Arial" w:eastAsia="Arial" w:hAnsi="Arial"/>
                <w:sz w:val="13"/>
                <w:szCs w:val="13"/>
                <w:color w:val="auto"/>
              </w:rPr>
              <w:t>1,940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6"/>
              <w:spacing w:after="0"/>
              <w:rPr>
                <w:sz w:val="20"/>
                <w:szCs w:val="20"/>
                <w:color w:val="auto"/>
              </w:rPr>
            </w:pPr>
            <w:r>
              <w:rPr>
                <w:rFonts w:ascii="Arial" w:cs="Arial" w:eastAsia="Arial" w:hAnsi="Arial"/>
                <w:sz w:val="13"/>
                <w:szCs w:val="13"/>
                <w:color w:val="auto"/>
              </w:rPr>
              <w:t>1,863</w:t>
            </w:r>
          </w:p>
        </w:tc>
        <w:tc>
          <w:tcPr>
            <w:tcW w:w="300" w:type="dxa"/>
            <w:vAlign w:val="bottom"/>
          </w:tcPr>
          <w:p>
            <w:pPr>
              <w:spacing w:after="0"/>
              <w:rPr>
                <w:sz w:val="14"/>
                <w:szCs w:val="14"/>
                <w:color w:val="auto"/>
              </w:rPr>
            </w:pPr>
          </w:p>
        </w:tc>
      </w:tr>
      <w:tr>
        <w:trPr>
          <w:trHeight w:val="167"/>
        </w:trPr>
        <w:tc>
          <w:tcPr>
            <w:tcW w:w="55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Performance-based fees</w:t>
            </w: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1,607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764</w:t>
            </w:r>
          </w:p>
        </w:tc>
        <w:tc>
          <w:tcPr>
            <w:tcW w:w="300" w:type="dxa"/>
            <w:vAlign w:val="bottom"/>
            <w:shd w:val="clear" w:color="auto" w:fill="CCEEFF"/>
          </w:tcPr>
          <w:p>
            <w:pPr>
              <w:spacing w:after="0"/>
              <w:rPr>
                <w:sz w:val="14"/>
                <w:szCs w:val="14"/>
                <w:color w:val="auto"/>
              </w:rPr>
            </w:pPr>
          </w:p>
        </w:tc>
      </w:tr>
      <w:tr>
        <w:trPr>
          <w:trHeight w:val="165"/>
        </w:trPr>
        <w:tc>
          <w:tcPr>
            <w:tcW w:w="5560" w:type="dxa"/>
            <w:vAlign w:val="bottom"/>
          </w:tcPr>
          <w:p>
            <w:pPr>
              <w:ind w:left="600"/>
              <w:spacing w:after="0"/>
              <w:rPr>
                <w:sz w:val="20"/>
                <w:szCs w:val="20"/>
                <w:color w:val="auto"/>
              </w:rPr>
            </w:pPr>
            <w:r>
              <w:rPr>
                <w:rFonts w:ascii="Arial" w:cs="Arial" w:eastAsia="Arial" w:hAnsi="Arial"/>
                <w:sz w:val="13"/>
                <w:szCs w:val="13"/>
                <w:color w:val="auto"/>
              </w:rPr>
              <w:t>Percent of fee revenue</w:t>
            </w:r>
          </w:p>
        </w:tc>
        <w:tc>
          <w:tcPr>
            <w:tcW w:w="700" w:type="dxa"/>
            <w:vAlign w:val="bottom"/>
          </w:tcPr>
          <w:p>
            <w:pPr>
              <w:spacing w:after="0"/>
              <w:rPr>
                <w:sz w:val="14"/>
                <w:szCs w:val="14"/>
                <w:color w:val="auto"/>
              </w:rPr>
            </w:pPr>
          </w:p>
        </w:tc>
        <w:tc>
          <w:tcPr>
            <w:tcW w:w="840" w:type="dxa"/>
            <w:vAlign w:val="bottom"/>
          </w:tcPr>
          <w:p>
            <w:pPr>
              <w:jc w:val="right"/>
              <w:ind w:right="136"/>
              <w:spacing w:after="0"/>
              <w:rPr>
                <w:sz w:val="20"/>
                <w:szCs w:val="20"/>
                <w:color w:val="auto"/>
              </w:rPr>
            </w:pPr>
            <w:r>
              <w:rPr>
                <w:rFonts w:ascii="Arial" w:cs="Arial" w:eastAsia="Arial" w:hAnsi="Arial"/>
                <w:sz w:val="13"/>
                <w:szCs w:val="13"/>
                <w:color w:val="auto"/>
              </w:rPr>
              <w:t>3.7</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136"/>
              <w:spacing w:after="0"/>
              <w:rPr>
                <w:sz w:val="20"/>
                <w:szCs w:val="20"/>
                <w:color w:val="auto"/>
              </w:rPr>
            </w:pPr>
            <w:r>
              <w:rPr>
                <w:rFonts w:ascii="Arial" w:cs="Arial" w:eastAsia="Arial" w:hAnsi="Arial"/>
                <w:sz w:val="13"/>
                <w:szCs w:val="13"/>
                <w:color w:val="auto"/>
              </w:rPr>
              <w:t>5.5</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136"/>
              <w:spacing w:after="0"/>
              <w:rPr>
                <w:sz w:val="20"/>
                <w:szCs w:val="20"/>
                <w:color w:val="auto"/>
              </w:rPr>
            </w:pPr>
            <w:r>
              <w:rPr>
                <w:rFonts w:ascii="Arial" w:cs="Arial" w:eastAsia="Arial" w:hAnsi="Arial"/>
                <w:sz w:val="13"/>
                <w:szCs w:val="13"/>
                <w:color w:val="auto"/>
              </w:rPr>
              <w:t>3.2</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SUBSEQUENT EVENTS: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Dividends Declared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9518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3"/>
          <w:szCs w:val="13"/>
          <w:b w:val="1"/>
          <w:bCs w:val="1"/>
          <w:color w:val="auto"/>
        </w:rPr>
        <w:t>WESTWOOD HOLDINGS GROUP, INC. AND SUBSIDIARIES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96" w:lineRule="exact"/>
        <w:rPr>
          <w:sz w:val="20"/>
          <w:szCs w:val="20"/>
          <w:color w:val="auto"/>
        </w:rPr>
      </w:pPr>
    </w:p>
    <w:p>
      <w:pPr>
        <w:ind w:right="1200" w:firstLine="353"/>
        <w:spacing w:after="0" w:line="377" w:lineRule="auto"/>
        <w:rPr>
          <w:sz w:val="20"/>
          <w:szCs w:val="20"/>
          <w:color w:val="auto"/>
        </w:rPr>
      </w:pPr>
      <w:r>
        <w:rPr>
          <w:rFonts w:ascii="Arial" w:cs="Arial" w:eastAsia="Arial" w:hAnsi="Arial"/>
          <w:sz w:val="13"/>
          <w:szCs w:val="13"/>
          <w:color w:val="auto"/>
        </w:rPr>
        <w:t xml:space="preserve">On February 9, 2022, the Board of Directors declared a quarterly cash dividend of $0.15 per share of common stock payable on April 1, 2022 to stockholders of record on March 4, 2022. </w:t>
      </w:r>
      <w:r>
        <w:rPr>
          <w:rFonts w:ascii="Arial" w:cs="Arial" w:eastAsia="Arial" w:hAnsi="Arial"/>
          <w:sz w:val="13"/>
          <w:szCs w:val="13"/>
          <w:i w:val="1"/>
          <w:iCs w:val="1"/>
          <w:color w:val="auto"/>
        </w:rPr>
        <w:t>Restricted Stock Grants</w:t>
      </w:r>
    </w:p>
    <w:p>
      <w:pPr>
        <w:spacing w:after="0" w:line="1" w:lineRule="exact"/>
        <w:rPr>
          <w:sz w:val="20"/>
          <w:szCs w:val="20"/>
          <w:color w:val="auto"/>
        </w:rPr>
      </w:pPr>
    </w:p>
    <w:p>
      <w:pPr>
        <w:ind w:right="80" w:firstLine="353"/>
        <w:spacing w:after="0" w:line="275" w:lineRule="auto"/>
        <w:rPr>
          <w:sz w:val="20"/>
          <w:szCs w:val="20"/>
          <w:color w:val="auto"/>
        </w:rPr>
      </w:pPr>
      <w:r>
        <w:rPr>
          <w:rFonts w:ascii="Arial" w:cs="Arial" w:eastAsia="Arial" w:hAnsi="Arial"/>
          <w:sz w:val="13"/>
          <w:szCs w:val="13"/>
          <w:color w:val="auto"/>
        </w:rPr>
        <w:t>On March 2, 2022 we issued approximately $6.3 million of restricted stock to employees, or approximately 380,000 shares based on the closing price of our stock on February 23, 2022. The shares are subject to vesting conditions described in Note 7 “Employee Benefits” of our Consolidated Financial Statements in this Report.</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QUARTERLY FINANCIAL DATA (Unaudited):</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is a summary of unaudited quarterly results of operations for the years ended December 31, 2021 and 2020 (in thousands, except per share amounts):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w w:val="96"/>
              </w:rPr>
              <w:t>Quarter</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47"/>
        </w:trPr>
        <w:tc>
          <w:tcPr>
            <w:tcW w:w="54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First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b w:val="1"/>
                <w:bCs w:val="1"/>
                <w:color w:val="auto"/>
              </w:rPr>
              <w:t>Second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Third</w:t>
            </w:r>
          </w:p>
        </w:tc>
        <w:tc>
          <w:tcPr>
            <w:tcW w:w="560" w:type="dxa"/>
            <w:vAlign w:val="bottom"/>
          </w:tcPr>
          <w:p>
            <w:pPr>
              <w:spacing w:after="0"/>
              <w:rPr>
                <w:sz w:val="12"/>
                <w:szCs w:val="12"/>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b w:val="1"/>
                <w:bCs w:val="1"/>
                <w:color w:val="auto"/>
              </w:rPr>
              <w:t>Fourth</w:t>
            </w:r>
          </w:p>
        </w:tc>
      </w:tr>
      <w:tr>
        <w:trPr>
          <w:trHeight w:val="159"/>
        </w:trPr>
        <w:tc>
          <w:tcPr>
            <w:tcW w:w="5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2021</w:t>
            </w:r>
          </w:p>
        </w:tc>
        <w:tc>
          <w:tcPr>
            <w:tcW w:w="10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66"/>
        </w:trPr>
        <w:tc>
          <w:tcPr>
            <w:tcW w:w="5460" w:type="dxa"/>
            <w:vAlign w:val="bottom"/>
          </w:tcPr>
          <w:p>
            <w:pPr>
              <w:ind w:left="360"/>
              <w:spacing w:after="0"/>
              <w:rPr>
                <w:sz w:val="20"/>
                <w:szCs w:val="20"/>
                <w:color w:val="auto"/>
              </w:rPr>
            </w:pPr>
            <w:r>
              <w:rPr>
                <w:rFonts w:ascii="Arial" w:cs="Arial" w:eastAsia="Arial" w:hAnsi="Arial"/>
                <w:sz w:val="13"/>
                <w:szCs w:val="13"/>
                <w:color w:val="auto"/>
              </w:rPr>
              <w:t>Revenues</w:t>
            </w:r>
          </w:p>
        </w:tc>
        <w:tc>
          <w:tcPr>
            <w:tcW w:w="1000" w:type="dxa"/>
            <w:vAlign w:val="bottom"/>
          </w:tcPr>
          <w:p>
            <w:pPr>
              <w:jc w:val="right"/>
              <w:ind w:right="499"/>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87"/>
              </w:rPr>
              <w:t>18,319</w:t>
            </w:r>
          </w:p>
        </w:tc>
        <w:tc>
          <w:tcPr>
            <w:tcW w:w="10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17,484</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17,860</w:t>
            </w:r>
          </w:p>
        </w:tc>
        <w:tc>
          <w:tcPr>
            <w:tcW w:w="10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19,391</w:t>
            </w:r>
          </w:p>
        </w:tc>
      </w:tr>
      <w:tr>
        <w:trPr>
          <w:trHeight w:val="167"/>
        </w:trPr>
        <w:tc>
          <w:tcPr>
            <w:tcW w:w="54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Income before income taxes</w:t>
            </w: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3,213</w:t>
            </w:r>
          </w:p>
        </w:tc>
      </w:tr>
      <w:tr>
        <w:trPr>
          <w:trHeight w:val="166"/>
        </w:trPr>
        <w:tc>
          <w:tcPr>
            <w:tcW w:w="5460" w:type="dxa"/>
            <w:vAlign w:val="bottom"/>
          </w:tcPr>
          <w:p>
            <w:pPr>
              <w:ind w:left="360"/>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4,101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970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1,879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2,813</w:t>
            </w:r>
          </w:p>
        </w:tc>
      </w:tr>
      <w:tr>
        <w:trPr>
          <w:trHeight w:val="167"/>
        </w:trPr>
        <w:tc>
          <w:tcPr>
            <w:tcW w:w="54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Basic earnings per common share</w:t>
            </w: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r>
      <w:tr>
        <w:trPr>
          <w:trHeight w:val="166"/>
        </w:trPr>
        <w:tc>
          <w:tcPr>
            <w:tcW w:w="5460" w:type="dxa"/>
            <w:vAlign w:val="bottom"/>
          </w:tcPr>
          <w:p>
            <w:pPr>
              <w:ind w:left="360"/>
              <w:spacing w:after="0"/>
              <w:rPr>
                <w:sz w:val="20"/>
                <w:szCs w:val="20"/>
                <w:color w:val="auto"/>
              </w:rPr>
            </w:pPr>
            <w:r>
              <w:rPr>
                <w:rFonts w:ascii="Arial" w:cs="Arial" w:eastAsia="Arial" w:hAnsi="Arial"/>
                <w:sz w:val="13"/>
                <w:szCs w:val="13"/>
                <w:color w:val="auto"/>
              </w:rPr>
              <w:t>Diluted earnings per common share</w:t>
            </w:r>
          </w:p>
        </w:tc>
        <w:tc>
          <w:tcPr>
            <w:tcW w:w="10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0.52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0.12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0.36</w:t>
            </w:r>
          </w:p>
        </w:tc>
      </w:tr>
      <w:tr>
        <w:trPr>
          <w:trHeight w:val="187"/>
        </w:trPr>
        <w:tc>
          <w:tcPr>
            <w:tcW w:w="5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67"/>
        </w:trPr>
        <w:tc>
          <w:tcPr>
            <w:tcW w:w="5460" w:type="dxa"/>
            <w:vAlign w:val="bottom"/>
          </w:tcPr>
          <w:p>
            <w:pPr>
              <w:ind w:left="360"/>
              <w:spacing w:after="0"/>
              <w:rPr>
                <w:sz w:val="20"/>
                <w:szCs w:val="20"/>
                <w:color w:val="auto"/>
              </w:rPr>
            </w:pPr>
            <w:r>
              <w:rPr>
                <w:rFonts w:ascii="Arial" w:cs="Arial" w:eastAsia="Arial" w:hAnsi="Arial"/>
                <w:sz w:val="13"/>
                <w:szCs w:val="13"/>
                <w:b w:val="1"/>
                <w:bCs w:val="1"/>
                <w:color w:val="auto"/>
              </w:rPr>
              <w:t>2020</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Revenues</w:t>
            </w:r>
          </w:p>
        </w:tc>
        <w:tc>
          <w:tcPr>
            <w:tcW w:w="100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16,669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15,875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15,454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17,113</w:t>
            </w:r>
          </w:p>
        </w:tc>
      </w:tr>
      <w:tr>
        <w:trPr>
          <w:trHeight w:val="166"/>
        </w:trPr>
        <w:tc>
          <w:tcPr>
            <w:tcW w:w="5460" w:type="dxa"/>
            <w:vAlign w:val="bottom"/>
          </w:tcPr>
          <w:p>
            <w:pPr>
              <w:ind w:left="360"/>
              <w:spacing w:after="0"/>
              <w:rPr>
                <w:sz w:val="20"/>
                <w:szCs w:val="20"/>
                <w:color w:val="auto"/>
              </w:rPr>
            </w:pPr>
            <w:r>
              <w:rPr>
                <w:rFonts w:ascii="Arial" w:cs="Arial" w:eastAsia="Arial" w:hAnsi="Arial"/>
                <w:sz w:val="13"/>
                <w:szCs w:val="13"/>
                <w:color w:val="auto"/>
              </w:rPr>
              <w:t>Income (loss) before income taxes</w:t>
            </w:r>
          </w:p>
        </w:tc>
        <w:tc>
          <w:tcPr>
            <w:tcW w:w="10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(1,817)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(8,318)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2,548</w:t>
            </w:r>
          </w:p>
        </w:tc>
      </w:tr>
      <w:tr>
        <w:trPr>
          <w:trHeight w:val="167"/>
        </w:trPr>
        <w:tc>
          <w:tcPr>
            <w:tcW w:w="54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income (loss)</w:t>
            </w: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2,815</w:t>
            </w:r>
          </w:p>
        </w:tc>
      </w:tr>
      <w:tr>
        <w:trPr>
          <w:trHeight w:val="166"/>
        </w:trPr>
        <w:tc>
          <w:tcPr>
            <w:tcW w:w="5460" w:type="dxa"/>
            <w:vAlign w:val="bottom"/>
          </w:tcPr>
          <w:p>
            <w:pPr>
              <w:ind w:left="360"/>
              <w:spacing w:after="0"/>
              <w:rPr>
                <w:sz w:val="20"/>
                <w:szCs w:val="20"/>
                <w:color w:val="auto"/>
              </w:rPr>
            </w:pPr>
            <w:r>
              <w:rPr>
                <w:rFonts w:ascii="Arial" w:cs="Arial" w:eastAsia="Arial" w:hAnsi="Arial"/>
                <w:sz w:val="13"/>
                <w:szCs w:val="13"/>
                <w:color w:val="auto"/>
              </w:rPr>
              <w:t>Basic earnings (loss) per common share</w:t>
            </w:r>
          </w:p>
        </w:tc>
        <w:tc>
          <w:tcPr>
            <w:tcW w:w="10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0.13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(0.33)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0.36</w:t>
            </w:r>
          </w:p>
        </w:tc>
      </w:tr>
      <w:tr>
        <w:trPr>
          <w:trHeight w:val="167"/>
        </w:trPr>
        <w:tc>
          <w:tcPr>
            <w:tcW w:w="54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Diluted earnings (loss) per common share</w:t>
            </w: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r>
      <w:tr>
        <w:trPr>
          <w:trHeight w:val="803"/>
        </w:trPr>
        <w:tc>
          <w:tcPr>
            <w:tcW w:w="5460" w:type="dxa"/>
            <w:vAlign w:val="bottom"/>
          </w:tcPr>
          <w:p>
            <w:pPr>
              <w:spacing w:after="0"/>
              <w:rPr>
                <w:sz w:val="24"/>
                <w:szCs w:val="24"/>
                <w:color w:val="auto"/>
              </w:rPr>
            </w:pPr>
          </w:p>
        </w:tc>
        <w:tc>
          <w:tcPr>
            <w:tcW w:w="1000" w:type="dxa"/>
            <w:vAlign w:val="bottom"/>
          </w:tcPr>
          <w:p>
            <w:pPr>
              <w:jc w:val="right"/>
              <w:ind w:right="699"/>
              <w:spacing w:after="0"/>
              <w:rPr>
                <w:sz w:val="20"/>
                <w:szCs w:val="20"/>
                <w:color w:val="auto"/>
              </w:rPr>
            </w:pPr>
            <w:r>
              <w:rPr>
                <w:rFonts w:ascii="Arial" w:cs="Arial" w:eastAsia="Arial" w:hAnsi="Arial"/>
                <w:sz w:val="13"/>
                <w:szCs w:val="13"/>
                <w:color w:val="auto"/>
              </w:rPr>
              <w:t>28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0"/>
        </w:trPr>
        <w:tc>
          <w:tcPr>
            <w:tcW w:w="54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0" w:name="page71"/>
    <w:bookmarkEnd w:id="70"/>
    <w:p>
      <w:pPr>
        <w:spacing w:after="0" w:line="177" w:lineRule="exact"/>
        <w:rPr>
          <w:sz w:val="20"/>
          <w:szCs w:val="20"/>
          <w:color w:val="auto"/>
        </w:rPr>
      </w:pPr>
    </w:p>
    <w:p>
      <w:pPr>
        <w:ind w:left="400"/>
        <w:spacing w:after="0"/>
        <w:rPr>
          <w:sz w:val="20"/>
          <w:szCs w:val="20"/>
          <w:color w:val="auto"/>
        </w:rPr>
      </w:pPr>
      <w:r>
        <w:rPr>
          <w:rFonts w:ascii="Arial" w:cs="Arial" w:eastAsia="Arial" w:hAnsi="Arial"/>
          <w:sz w:val="10"/>
          <w:szCs w:val="10"/>
          <w:b w:val="1"/>
          <w:bCs w:val="1"/>
          <w:color w:val="auto"/>
        </w:rPr>
        <w:t>Exhibit</w:t>
      </w:r>
    </w:p>
    <w:p>
      <w:pPr>
        <w:jc w:val="right"/>
        <w:ind w:right="20"/>
        <w:spacing w:after="0"/>
        <w:rPr>
          <w:sz w:val="20"/>
          <w:szCs w:val="20"/>
          <w:color w:val="auto"/>
        </w:rPr>
      </w:pPr>
      <w:r>
        <w:rPr>
          <w:rFonts w:ascii="Arial" w:cs="Arial" w:eastAsia="Arial" w:hAnsi="Arial"/>
          <w:sz w:val="10"/>
          <w:szCs w:val="10"/>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4041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0410" cy="635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2.1</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2.2</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3.1</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3.1.1</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3.1.2</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3.1.3</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3.2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3.2.1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3.2.2</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4.1</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10.1</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10.2</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10.3</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10.3.1</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10.3.2</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10.3.3</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10.3.4</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4041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0410" cy="635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10.3.6</w:t>
      </w:r>
    </w:p>
    <w:p>
      <w:pPr>
        <w:spacing w:after="0" w:line="20" w:lineRule="exact"/>
        <w:rPr>
          <w:sz w:val="20"/>
          <w:szCs w:val="20"/>
          <w:color w:val="auto"/>
        </w:rPr>
      </w:pPr>
      <w:r>
        <w:rPr>
          <w:sz w:val="20"/>
          <w:szCs w:val="20"/>
          <w:color w:val="auto"/>
        </w:rPr>
        <w:br w:type="column"/>
      </w:r>
    </w:p>
    <w:p>
      <w:pPr>
        <w:ind w:left="3480"/>
        <w:spacing w:after="0"/>
        <w:rPr>
          <w:sz w:val="20"/>
          <w:szCs w:val="20"/>
          <w:color w:val="auto"/>
        </w:rPr>
      </w:pPr>
      <w:r>
        <w:rPr>
          <w:rFonts w:ascii="Arial" w:cs="Arial" w:eastAsia="Arial" w:hAnsi="Arial"/>
          <w:sz w:val="13"/>
          <w:szCs w:val="13"/>
          <w:b w:val="1"/>
          <w:bCs w:val="1"/>
          <w:color w:val="auto"/>
        </w:rPr>
        <w:t>INDEX TO EXHIBITS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621157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11570" cy="6350"/>
                    </a:xfrm>
                    <a:prstGeom prst="rect">
                      <a:avLst/>
                    </a:prstGeom>
                    <a:noFill/>
                  </pic:spPr>
                </pic:pic>
              </a:graphicData>
            </a:graphic>
          </wp:anchor>
        </w:drawing>
      </w:r>
    </w:p>
    <w:p>
      <w:pPr>
        <w:spacing w:after="0" w:line="20" w:lineRule="exact"/>
        <w:rPr>
          <w:sz w:val="20"/>
          <w:szCs w:val="20"/>
          <w:color w:val="auto"/>
        </w:rPr>
      </w:pPr>
    </w:p>
    <w:p>
      <w:pPr>
        <w:ind w:right="320"/>
        <w:spacing w:after="0" w:line="234" w:lineRule="auto"/>
        <w:rPr>
          <w:rFonts w:ascii="Arial" w:cs="Arial" w:eastAsia="Arial" w:hAnsi="Arial"/>
          <w:sz w:val="13"/>
          <w:szCs w:val="13"/>
          <w:u w:val="single" w:color="auto"/>
          <w:color w:val="0000FF"/>
        </w:rPr>
      </w:pPr>
      <w:hyperlink r:id="rId115">
        <w:r>
          <w:rPr>
            <w:rFonts w:ascii="Arial" w:cs="Arial" w:eastAsia="Arial" w:hAnsi="Arial"/>
            <w:sz w:val="13"/>
            <w:szCs w:val="13"/>
            <w:u w:val="single" w:color="auto"/>
            <w:color w:val="0000FF"/>
          </w:rPr>
          <w:t>Securities Purchase Agreement by and among Westwood Holdings Group, Inc., McCarthy Group Advisors, LLC, MGA Holdings, LLC, and The Members of MGA Holdings, LLC</w:t>
        </w:r>
      </w:hyperlink>
      <w:r>
        <w:rPr>
          <w:rFonts w:ascii="Arial" w:cs="Arial" w:eastAsia="Arial" w:hAnsi="Arial"/>
          <w:sz w:val="13"/>
          <w:szCs w:val="13"/>
          <w:u w:val="single" w:color="auto"/>
          <w:color w:val="0000FF"/>
        </w:rPr>
        <w:t xml:space="preserve"> </w:t>
      </w:r>
      <w:hyperlink r:id="rId115">
        <w:r>
          <w:rPr>
            <w:rFonts w:ascii="Arial" w:cs="Arial" w:eastAsia="Arial" w:hAnsi="Arial"/>
            <w:sz w:val="13"/>
            <w:szCs w:val="13"/>
            <w:u w:val="single" w:color="auto"/>
            <w:color w:val="0000FF"/>
          </w:rPr>
          <w:t>(incorporated by reference from the Form 10-K filed with the SEC on February 28, 2013)</w:t>
        </w:r>
      </w:hyperlink>
    </w:p>
    <w:p>
      <w:pPr>
        <w:spacing w:after="0" w:line="3" w:lineRule="exact"/>
        <w:rPr>
          <w:sz w:val="20"/>
          <w:szCs w:val="20"/>
          <w:color w:val="auto"/>
        </w:rPr>
      </w:pPr>
    </w:p>
    <w:p>
      <w:pPr>
        <w:ind w:right="160"/>
        <w:spacing w:after="0" w:line="224" w:lineRule="auto"/>
        <w:rPr>
          <w:rFonts w:ascii="Arial" w:cs="Arial" w:eastAsia="Arial" w:hAnsi="Arial"/>
          <w:sz w:val="13"/>
          <w:szCs w:val="13"/>
          <w:u w:val="single" w:color="auto"/>
          <w:color w:val="0000FF"/>
        </w:rPr>
      </w:pPr>
      <w:hyperlink r:id="rId116">
        <w:r>
          <w:rPr>
            <w:rFonts w:ascii="Arial" w:cs="Arial" w:eastAsia="Arial" w:hAnsi="Arial"/>
            <w:sz w:val="13"/>
            <w:szCs w:val="13"/>
            <w:u w:val="single" w:color="auto"/>
            <w:color w:val="0000FF"/>
          </w:rPr>
          <w:t>Reorganization Agreement and Agreement and Plan of Merger dated as of January 15, 2015 by and among Westwood Holdings Group, Inc., Westwood Trust, Woodway Financial</w:t>
        </w:r>
      </w:hyperlink>
      <w:r>
        <w:rPr>
          <w:rFonts w:ascii="Arial" w:cs="Arial" w:eastAsia="Arial" w:hAnsi="Arial"/>
          <w:sz w:val="13"/>
          <w:szCs w:val="13"/>
          <w:u w:val="single" w:color="auto"/>
          <w:color w:val="0000FF"/>
        </w:rPr>
        <w:t xml:space="preserve"> </w:t>
      </w:r>
      <w:hyperlink r:id="rId116">
        <w:r>
          <w:rPr>
            <w:rFonts w:ascii="Arial" w:cs="Arial" w:eastAsia="Arial" w:hAnsi="Arial"/>
            <w:sz w:val="13"/>
            <w:szCs w:val="13"/>
            <w:u w:val="single" w:color="auto"/>
            <w:color w:val="0000FF"/>
          </w:rPr>
          <w:t>Advisors, A Trust Company and the Shareholders of Woodway Financial Advisors, A Trust Company (incorporated by reference from the Form 8-K filed with the SEC on January 16,</w:t>
        </w:r>
      </w:hyperlink>
      <w:r>
        <w:rPr>
          <w:rFonts w:ascii="Arial" w:cs="Arial" w:eastAsia="Arial" w:hAnsi="Arial"/>
          <w:sz w:val="13"/>
          <w:szCs w:val="13"/>
          <w:u w:val="single" w:color="auto"/>
          <w:color w:val="0000FF"/>
        </w:rPr>
        <w:t xml:space="preserve"> </w:t>
      </w:r>
      <w:hyperlink r:id="rId116">
        <w:r>
          <w:rPr>
            <w:rFonts w:ascii="Arial" w:cs="Arial" w:eastAsia="Arial" w:hAnsi="Arial"/>
            <w:sz w:val="13"/>
            <w:szCs w:val="13"/>
            <w:u w:val="single" w:color="auto"/>
            <w:color w:val="0000FF"/>
          </w:rPr>
          <w:t>2015)</w:t>
        </w:r>
      </w:hyperlink>
    </w:p>
    <w:p>
      <w:pPr>
        <w:spacing w:after="0" w:line="3" w:lineRule="exact"/>
        <w:rPr>
          <w:rFonts w:ascii="Arial" w:cs="Arial" w:eastAsia="Arial" w:hAnsi="Arial"/>
          <w:sz w:val="13"/>
          <w:szCs w:val="13"/>
          <w:u w:val="single" w:color="auto"/>
          <w:color w:val="0000FF"/>
        </w:rPr>
      </w:pPr>
    </w:p>
    <w:p>
      <w:pPr>
        <w:ind w:right="100"/>
        <w:spacing w:after="0" w:line="234" w:lineRule="auto"/>
        <w:rPr>
          <w:rFonts w:ascii="Arial" w:cs="Arial" w:eastAsia="Arial" w:hAnsi="Arial"/>
          <w:sz w:val="13"/>
          <w:szCs w:val="13"/>
          <w:u w:val="single" w:color="auto"/>
          <w:color w:val="0000FF"/>
        </w:rPr>
      </w:pPr>
      <w:hyperlink r:id="rId117">
        <w:r>
          <w:rPr>
            <w:rFonts w:ascii="Arial" w:cs="Arial" w:eastAsia="Arial" w:hAnsi="Arial"/>
            <w:sz w:val="13"/>
            <w:szCs w:val="13"/>
            <w:u w:val="single" w:color="auto"/>
            <w:color w:val="0000FF"/>
          </w:rPr>
          <w:t>Amended and Restated Certificate of Incorporation of Westwood Holdings Group, Inc. (incorporated by reference from Amendment No. 2 to Registration Statement on Form 10/A filed</w:t>
        </w:r>
      </w:hyperlink>
      <w:r>
        <w:rPr>
          <w:rFonts w:ascii="Arial" w:cs="Arial" w:eastAsia="Arial" w:hAnsi="Arial"/>
          <w:sz w:val="13"/>
          <w:szCs w:val="13"/>
          <w:u w:val="single" w:color="auto"/>
          <w:color w:val="0000FF"/>
        </w:rPr>
        <w:t xml:space="preserve"> </w:t>
      </w:r>
      <w:hyperlink r:id="rId117">
        <w:r>
          <w:rPr>
            <w:rFonts w:ascii="Arial" w:cs="Arial" w:eastAsia="Arial" w:hAnsi="Arial"/>
            <w:sz w:val="13"/>
            <w:szCs w:val="13"/>
            <w:u w:val="single" w:color="auto"/>
            <w:color w:val="0000FF"/>
          </w:rPr>
          <w:t>with the SEC on April 30, 2002)</w:t>
        </w:r>
      </w:hyperlink>
    </w:p>
    <w:p>
      <w:pPr>
        <w:spacing w:after="0" w:line="3" w:lineRule="exact"/>
        <w:rPr>
          <w:sz w:val="20"/>
          <w:szCs w:val="20"/>
          <w:color w:val="auto"/>
        </w:rPr>
      </w:pPr>
    </w:p>
    <w:p>
      <w:pPr>
        <w:ind w:right="60" w:firstLine="33"/>
        <w:spacing w:after="0" w:line="234" w:lineRule="auto"/>
        <w:rPr>
          <w:rFonts w:ascii="Arial" w:cs="Arial" w:eastAsia="Arial" w:hAnsi="Arial"/>
          <w:sz w:val="13"/>
          <w:szCs w:val="13"/>
          <w:u w:val="single" w:color="auto"/>
          <w:color w:val="0000FF"/>
        </w:rPr>
      </w:pPr>
      <w:hyperlink r:id="rId118">
        <w:r>
          <w:rPr>
            <w:rFonts w:ascii="Arial" w:cs="Arial" w:eastAsia="Arial" w:hAnsi="Arial"/>
            <w:sz w:val="13"/>
            <w:szCs w:val="13"/>
            <w:u w:val="single" w:color="auto"/>
            <w:color w:val="0000FF"/>
          </w:rPr>
          <w:t>First Amendment to Amended and Restated Certificate of Incorporation of Westwood Holdings Group, Inc. (incorporated by reference from the Form 8-K filed with the SEC on May 7,</w:t>
        </w:r>
      </w:hyperlink>
      <w:r>
        <w:rPr>
          <w:rFonts w:ascii="Arial" w:cs="Arial" w:eastAsia="Arial" w:hAnsi="Arial"/>
          <w:sz w:val="13"/>
          <w:szCs w:val="13"/>
          <w:u w:val="single" w:color="auto"/>
          <w:color w:val="0000FF"/>
        </w:rPr>
        <w:t xml:space="preserve"> </w:t>
      </w:r>
      <w:hyperlink r:id="rId118">
        <w:r>
          <w:rPr>
            <w:rFonts w:ascii="Arial" w:cs="Arial" w:eastAsia="Arial" w:hAnsi="Arial"/>
            <w:sz w:val="13"/>
            <w:szCs w:val="13"/>
            <w:u w:val="single" w:color="auto"/>
            <w:color w:val="0000FF"/>
          </w:rPr>
          <w:t>2008)</w:t>
        </w:r>
      </w:hyperlink>
    </w:p>
    <w:p>
      <w:pPr>
        <w:spacing w:after="0" w:line="3" w:lineRule="exact"/>
        <w:rPr>
          <w:sz w:val="20"/>
          <w:szCs w:val="20"/>
          <w:color w:val="auto"/>
        </w:rPr>
      </w:pPr>
    </w:p>
    <w:p>
      <w:pPr>
        <w:ind w:right="140"/>
        <w:spacing w:after="0" w:line="234" w:lineRule="auto"/>
        <w:rPr>
          <w:rFonts w:ascii="Arial" w:cs="Arial" w:eastAsia="Arial" w:hAnsi="Arial"/>
          <w:sz w:val="13"/>
          <w:szCs w:val="13"/>
          <w:u w:val="single" w:color="auto"/>
          <w:color w:val="0000FF"/>
        </w:rPr>
      </w:pPr>
      <w:hyperlink r:id="rId119">
        <w:r>
          <w:rPr>
            <w:rFonts w:ascii="Arial" w:cs="Arial" w:eastAsia="Arial" w:hAnsi="Arial"/>
            <w:sz w:val="13"/>
            <w:szCs w:val="13"/>
            <w:u w:val="single" w:color="auto"/>
            <w:color w:val="0000FF"/>
          </w:rPr>
          <w:t>Second Amendment to Amended and Restated Certificate of Incorporation of Westwood Holdings Group, Inc. (incorporated by reference from the Schedule 14A filed with the SEC on</w:t>
        </w:r>
      </w:hyperlink>
      <w:r>
        <w:rPr>
          <w:rFonts w:ascii="Arial" w:cs="Arial" w:eastAsia="Arial" w:hAnsi="Arial"/>
          <w:sz w:val="13"/>
          <w:szCs w:val="13"/>
          <w:u w:val="single" w:color="auto"/>
          <w:color w:val="0000FF"/>
        </w:rPr>
        <w:t xml:space="preserve"> </w:t>
      </w:r>
      <w:hyperlink r:id="rId119">
        <w:r>
          <w:rPr>
            <w:rFonts w:ascii="Arial" w:cs="Arial" w:eastAsia="Arial" w:hAnsi="Arial"/>
            <w:sz w:val="13"/>
            <w:szCs w:val="13"/>
            <w:u w:val="single" w:color="auto"/>
            <w:color w:val="0000FF"/>
          </w:rPr>
          <w:t>March 20, 2017)</w:t>
        </w:r>
      </w:hyperlink>
    </w:p>
    <w:p>
      <w:pPr>
        <w:spacing w:after="0" w:line="3" w:lineRule="exact"/>
        <w:rPr>
          <w:sz w:val="20"/>
          <w:szCs w:val="20"/>
          <w:color w:val="auto"/>
        </w:rPr>
      </w:pPr>
    </w:p>
    <w:p>
      <w:pPr>
        <w:ind w:right="240"/>
        <w:spacing w:after="0" w:line="234" w:lineRule="auto"/>
        <w:rPr>
          <w:rFonts w:ascii="Arial" w:cs="Arial" w:eastAsia="Arial" w:hAnsi="Arial"/>
          <w:sz w:val="13"/>
          <w:szCs w:val="13"/>
          <w:u w:val="single" w:color="auto"/>
          <w:color w:val="0000FF"/>
        </w:rPr>
      </w:pPr>
      <w:hyperlink r:id="rId120">
        <w:r>
          <w:rPr>
            <w:rFonts w:ascii="Arial" w:cs="Arial" w:eastAsia="Arial" w:hAnsi="Arial"/>
            <w:sz w:val="13"/>
            <w:szCs w:val="13"/>
            <w:u w:val="single" w:color="auto"/>
            <w:color w:val="0000FF"/>
          </w:rPr>
          <w:t>Third Amendment to Amended and Restated Certificate of Incorporation of Westwood Holdings Group, Inc. (incorporated by reference from the Schedule 14A filed with the SEC on</w:t>
        </w:r>
      </w:hyperlink>
      <w:r>
        <w:rPr>
          <w:rFonts w:ascii="Arial" w:cs="Arial" w:eastAsia="Arial" w:hAnsi="Arial"/>
          <w:sz w:val="13"/>
          <w:szCs w:val="13"/>
          <w:u w:val="single" w:color="auto"/>
          <w:color w:val="0000FF"/>
        </w:rPr>
        <w:t xml:space="preserve"> </w:t>
      </w:r>
      <w:hyperlink r:id="rId120">
        <w:r>
          <w:rPr>
            <w:rFonts w:ascii="Arial" w:cs="Arial" w:eastAsia="Arial" w:hAnsi="Arial"/>
            <w:sz w:val="13"/>
            <w:szCs w:val="13"/>
            <w:u w:val="single" w:color="auto"/>
            <w:color w:val="0000FF"/>
          </w:rPr>
          <w:t>March 19, 2019).</w:t>
        </w:r>
      </w:hyperlink>
    </w:p>
    <w:p>
      <w:pPr>
        <w:spacing w:after="0" w:line="42" w:lineRule="exact"/>
        <w:rPr>
          <w:sz w:val="20"/>
          <w:szCs w:val="20"/>
          <w:color w:val="auto"/>
        </w:rPr>
      </w:pPr>
    </w:p>
    <w:p>
      <w:pPr>
        <w:spacing w:after="0"/>
        <w:rPr>
          <w:rFonts w:ascii="Arial" w:cs="Arial" w:eastAsia="Arial" w:hAnsi="Arial"/>
          <w:sz w:val="13"/>
          <w:szCs w:val="13"/>
          <w:u w:val="single" w:color="auto"/>
          <w:color w:val="0000FF"/>
        </w:rPr>
      </w:pPr>
      <w:hyperlink r:id="rId121">
        <w:r>
          <w:rPr>
            <w:rFonts w:ascii="Arial" w:cs="Arial" w:eastAsia="Arial" w:hAnsi="Arial"/>
            <w:sz w:val="13"/>
            <w:szCs w:val="13"/>
            <w:u w:val="single" w:color="auto"/>
            <w:color w:val="0000FF"/>
          </w:rPr>
          <w:t>Amended and Restated Bylaws of Westwood Holdings Group, Inc. (incorporated by reference from the Form 8-K filed with the SEC on April 25, 2012)</w:t>
        </w:r>
      </w:hyperlink>
    </w:p>
    <w:p>
      <w:pPr>
        <w:spacing w:after="0" w:line="56" w:lineRule="exact"/>
        <w:rPr>
          <w:sz w:val="20"/>
          <w:szCs w:val="20"/>
          <w:color w:val="auto"/>
        </w:rPr>
      </w:pPr>
    </w:p>
    <w:p>
      <w:pPr>
        <w:spacing w:after="0"/>
        <w:rPr>
          <w:rFonts w:ascii="Arial" w:cs="Arial" w:eastAsia="Arial" w:hAnsi="Arial"/>
          <w:sz w:val="12"/>
          <w:szCs w:val="12"/>
          <w:u w:val="single" w:color="auto"/>
          <w:color w:val="0000FF"/>
        </w:rPr>
      </w:pPr>
      <w:hyperlink r:id="rId119">
        <w:r>
          <w:rPr>
            <w:rFonts w:ascii="Arial" w:cs="Arial" w:eastAsia="Arial" w:hAnsi="Arial"/>
            <w:sz w:val="12"/>
            <w:szCs w:val="12"/>
            <w:u w:val="single" w:color="auto"/>
            <w:color w:val="0000FF"/>
          </w:rPr>
          <w:t>Amendment to Amended and Restated Bylaws of Westwood Holdings Group, Inc. (incorporated by reference from the Schedule 14A filed with the SEC on March 20, 2017)</w:t>
        </w:r>
      </w:hyperlink>
    </w:p>
    <w:p>
      <w:pPr>
        <w:spacing w:after="0" w:line="29" w:lineRule="exact"/>
        <w:rPr>
          <w:sz w:val="20"/>
          <w:szCs w:val="20"/>
          <w:color w:val="auto"/>
        </w:rPr>
      </w:pPr>
    </w:p>
    <w:p>
      <w:pPr>
        <w:spacing w:after="0"/>
        <w:rPr>
          <w:rFonts w:ascii="Arial" w:cs="Arial" w:eastAsia="Arial" w:hAnsi="Arial"/>
          <w:sz w:val="12"/>
          <w:szCs w:val="12"/>
          <w:u w:val="single" w:color="auto"/>
          <w:color w:val="0000FF"/>
        </w:rPr>
      </w:pPr>
      <w:hyperlink r:id="rId120">
        <w:r>
          <w:rPr>
            <w:rFonts w:ascii="Arial" w:cs="Arial" w:eastAsia="Arial" w:hAnsi="Arial"/>
            <w:sz w:val="12"/>
            <w:szCs w:val="12"/>
            <w:u w:val="single" w:color="auto"/>
            <w:color w:val="0000FF"/>
          </w:rPr>
          <w:t>Second Amendment to Amended and Restated Bylaws of Westwood Holdings Group, Inc. (incorporated by reference from the Schedule 14A filed with the SEC on March 19, 2019)</w:t>
        </w:r>
      </w:hyperlink>
    </w:p>
    <w:p>
      <w:pPr>
        <w:spacing w:after="0" w:line="29" w:lineRule="exact"/>
        <w:rPr>
          <w:sz w:val="20"/>
          <w:szCs w:val="20"/>
          <w:color w:val="auto"/>
        </w:rPr>
      </w:pPr>
    </w:p>
    <w:p>
      <w:pPr>
        <w:ind w:right="160" w:firstLine="33"/>
        <w:spacing w:after="0" w:line="234" w:lineRule="auto"/>
        <w:rPr>
          <w:rFonts w:ascii="Arial" w:cs="Arial" w:eastAsia="Arial" w:hAnsi="Arial"/>
          <w:sz w:val="13"/>
          <w:szCs w:val="13"/>
          <w:u w:val="single" w:color="auto"/>
          <w:color w:val="0000FF"/>
        </w:rPr>
      </w:pPr>
      <w:hyperlink r:id="rId122">
        <w:r>
          <w:rPr>
            <w:rFonts w:ascii="Arial" w:cs="Arial" w:eastAsia="Arial" w:hAnsi="Arial"/>
            <w:sz w:val="13"/>
            <w:szCs w:val="13"/>
            <w:u w:val="single" w:color="auto"/>
            <w:color w:val="0000FF"/>
          </w:rPr>
          <w:t>Form of Common Stock Certificate of Westwood Holdings Group, Inc. (incorporated by reference from Amendment No. 2 to Registration Statement on Form 10/A filed with the SEC</w:t>
        </w:r>
      </w:hyperlink>
      <w:r>
        <w:rPr>
          <w:rFonts w:ascii="Arial" w:cs="Arial" w:eastAsia="Arial" w:hAnsi="Arial"/>
          <w:sz w:val="13"/>
          <w:szCs w:val="13"/>
          <w:u w:val="single" w:color="auto"/>
          <w:color w:val="0000FF"/>
        </w:rPr>
        <w:t xml:space="preserve"> </w:t>
      </w:r>
      <w:hyperlink r:id="rId122">
        <w:r>
          <w:rPr>
            <w:rFonts w:ascii="Arial" w:cs="Arial" w:eastAsia="Arial" w:hAnsi="Arial"/>
            <w:sz w:val="13"/>
            <w:szCs w:val="13"/>
            <w:u w:val="single" w:color="auto"/>
            <w:color w:val="0000FF"/>
          </w:rPr>
          <w:t>on April 30, 2002)</w:t>
        </w:r>
      </w:hyperlink>
    </w:p>
    <w:p>
      <w:pPr>
        <w:spacing w:after="0" w:line="42" w:lineRule="exact"/>
        <w:rPr>
          <w:sz w:val="20"/>
          <w:szCs w:val="20"/>
          <w:color w:val="auto"/>
        </w:rPr>
      </w:pPr>
    </w:p>
    <w:p>
      <w:pPr>
        <w:spacing w:after="0"/>
        <w:rPr>
          <w:rFonts w:ascii="Arial" w:cs="Arial" w:eastAsia="Arial" w:hAnsi="Arial"/>
          <w:sz w:val="12"/>
          <w:szCs w:val="12"/>
          <w:u w:val="single" w:color="auto"/>
          <w:color w:val="0000FF"/>
        </w:rPr>
      </w:pPr>
      <w:hyperlink r:id="rId123">
        <w:r>
          <w:rPr>
            <w:rFonts w:ascii="Arial" w:cs="Arial" w:eastAsia="Arial" w:hAnsi="Arial"/>
            <w:sz w:val="12"/>
            <w:szCs w:val="12"/>
            <w:u w:val="single" w:color="auto"/>
            <w:color w:val="0000FF"/>
          </w:rPr>
          <w:t>Eighth Amended and Restated Westwood Holdings Group, Inc. Stock Incentive Plan (incorporated by reference from the Schedule 14A filed with the SEC on March 5, 2021)</w:t>
        </w:r>
      </w:hyperlink>
    </w:p>
    <w:p>
      <w:pPr>
        <w:spacing w:after="0" w:line="68" w:lineRule="exact"/>
        <w:rPr>
          <w:sz w:val="20"/>
          <w:szCs w:val="20"/>
          <w:color w:val="auto"/>
        </w:rPr>
      </w:pPr>
    </w:p>
    <w:p>
      <w:pPr>
        <w:ind w:right="160"/>
        <w:spacing w:after="0" w:line="234" w:lineRule="auto"/>
        <w:rPr>
          <w:rFonts w:ascii="Arial" w:cs="Arial" w:eastAsia="Arial" w:hAnsi="Arial"/>
          <w:sz w:val="13"/>
          <w:szCs w:val="13"/>
          <w:u w:val="single" w:color="auto"/>
          <w:color w:val="0000FF"/>
        </w:rPr>
      </w:pPr>
      <w:hyperlink r:id="rId124">
        <w:r>
          <w:rPr>
            <w:rFonts w:ascii="Arial" w:cs="Arial" w:eastAsia="Arial" w:hAnsi="Arial"/>
            <w:sz w:val="13"/>
            <w:szCs w:val="13"/>
            <w:u w:val="single" w:color="auto"/>
            <w:color w:val="0000FF"/>
          </w:rPr>
          <w:t>Tax Separation Agreement between SWS Group, Inc. and Westwood Holdings Group, Inc. (incorporated by reference from Amendment No. 5 to Registration Statement on Form 10/A</w:t>
        </w:r>
      </w:hyperlink>
      <w:r>
        <w:rPr>
          <w:rFonts w:ascii="Arial" w:cs="Arial" w:eastAsia="Arial" w:hAnsi="Arial"/>
          <w:sz w:val="13"/>
          <w:szCs w:val="13"/>
          <w:u w:val="single" w:color="auto"/>
          <w:color w:val="0000FF"/>
        </w:rPr>
        <w:t xml:space="preserve"> </w:t>
      </w:r>
      <w:hyperlink r:id="rId124">
        <w:r>
          <w:rPr>
            <w:rFonts w:ascii="Arial" w:cs="Arial" w:eastAsia="Arial" w:hAnsi="Arial"/>
            <w:sz w:val="13"/>
            <w:szCs w:val="13"/>
            <w:u w:val="single" w:color="auto"/>
            <w:color w:val="0000FF"/>
          </w:rPr>
          <w:t>filed with the SEC on June 6, 2002)</w:t>
        </w:r>
      </w:hyperlink>
    </w:p>
    <w:p>
      <w:pPr>
        <w:spacing w:after="0" w:line="3" w:lineRule="exact"/>
        <w:rPr>
          <w:sz w:val="20"/>
          <w:szCs w:val="20"/>
          <w:color w:val="auto"/>
        </w:rPr>
      </w:pPr>
    </w:p>
    <w:p>
      <w:pPr>
        <w:ind w:right="300"/>
        <w:spacing w:after="0" w:line="234" w:lineRule="auto"/>
        <w:rPr>
          <w:rFonts w:ascii="Arial" w:cs="Arial" w:eastAsia="Arial" w:hAnsi="Arial"/>
          <w:sz w:val="13"/>
          <w:szCs w:val="13"/>
          <w:u w:val="single" w:color="auto"/>
          <w:color w:val="0000FF"/>
        </w:rPr>
      </w:pPr>
      <w:hyperlink r:id="rId125">
        <w:r>
          <w:rPr>
            <w:rFonts w:ascii="Arial" w:cs="Arial" w:eastAsia="Arial" w:hAnsi="Arial"/>
            <w:sz w:val="13"/>
            <w:szCs w:val="13"/>
            <w:u w:val="single" w:color="auto"/>
            <w:color w:val="0000FF"/>
          </w:rPr>
          <w:t>Office Lease between Westwood Management Corp. and Crescent Real Estate Funding I, L.P., dated as of April 4, 1990, and amendment thereto (incorporated by reference from the</w:t>
        </w:r>
      </w:hyperlink>
      <w:r>
        <w:rPr>
          <w:rFonts w:ascii="Arial" w:cs="Arial" w:eastAsia="Arial" w:hAnsi="Arial"/>
          <w:sz w:val="13"/>
          <w:szCs w:val="13"/>
          <w:u w:val="single" w:color="auto"/>
          <w:color w:val="0000FF"/>
        </w:rPr>
        <w:t xml:space="preserve"> </w:t>
      </w:r>
      <w:hyperlink r:id="rId125">
        <w:r>
          <w:rPr>
            <w:rFonts w:ascii="Arial" w:cs="Arial" w:eastAsia="Arial" w:hAnsi="Arial"/>
            <w:sz w:val="13"/>
            <w:szCs w:val="13"/>
            <w:u w:val="single" w:color="auto"/>
            <w:color w:val="0000FF"/>
          </w:rPr>
          <w:t>Registration Statement on Form 10 filed with the SEC on February 8, 2002)</w:t>
        </w:r>
      </w:hyperlink>
    </w:p>
    <w:p>
      <w:pPr>
        <w:spacing w:after="0" w:line="3" w:lineRule="exact"/>
        <w:rPr>
          <w:sz w:val="20"/>
          <w:szCs w:val="20"/>
          <w:color w:val="auto"/>
        </w:rPr>
      </w:pPr>
    </w:p>
    <w:p>
      <w:pPr>
        <w:spacing w:after="0" w:line="234" w:lineRule="auto"/>
        <w:rPr>
          <w:rFonts w:ascii="Arial" w:cs="Arial" w:eastAsia="Arial" w:hAnsi="Arial"/>
          <w:sz w:val="13"/>
          <w:szCs w:val="13"/>
          <w:u w:val="single" w:color="auto"/>
          <w:color w:val="0000FF"/>
        </w:rPr>
      </w:pPr>
      <w:hyperlink r:id="rId126">
        <w:r>
          <w:rPr>
            <w:rFonts w:ascii="Arial" w:cs="Arial" w:eastAsia="Arial" w:hAnsi="Arial"/>
            <w:sz w:val="13"/>
            <w:szCs w:val="13"/>
            <w:u w:val="single" w:color="auto"/>
            <w:color w:val="0000FF"/>
          </w:rPr>
          <w:t>Ninth Modification of Office Lease between Westwood Management Corp. and Crescent Real Estate Funding I, dated as of November 25, 2003 (incorporated by reference from the Form</w:t>
        </w:r>
      </w:hyperlink>
      <w:r>
        <w:rPr>
          <w:rFonts w:ascii="Arial" w:cs="Arial" w:eastAsia="Arial" w:hAnsi="Arial"/>
          <w:sz w:val="13"/>
          <w:szCs w:val="13"/>
          <w:u w:val="single" w:color="auto"/>
          <w:color w:val="0000FF"/>
        </w:rPr>
        <w:t xml:space="preserve"> </w:t>
      </w:r>
      <w:hyperlink r:id="rId126">
        <w:r>
          <w:rPr>
            <w:rFonts w:ascii="Arial" w:cs="Arial" w:eastAsia="Arial" w:hAnsi="Arial"/>
            <w:sz w:val="13"/>
            <w:szCs w:val="13"/>
            <w:u w:val="single" w:color="auto"/>
            <w:color w:val="0000FF"/>
          </w:rPr>
          <w:t>10-K filed with the SEC on February 27, 2004)</w:t>
        </w:r>
      </w:hyperlink>
    </w:p>
    <w:p>
      <w:pPr>
        <w:spacing w:after="0" w:line="3" w:lineRule="exact"/>
        <w:rPr>
          <w:sz w:val="20"/>
          <w:szCs w:val="20"/>
          <w:color w:val="auto"/>
        </w:rPr>
      </w:pPr>
    </w:p>
    <w:p>
      <w:pPr>
        <w:ind w:right="80"/>
        <w:spacing w:after="0" w:line="234" w:lineRule="auto"/>
        <w:rPr>
          <w:rFonts w:ascii="Arial" w:cs="Arial" w:eastAsia="Arial" w:hAnsi="Arial"/>
          <w:sz w:val="13"/>
          <w:szCs w:val="13"/>
          <w:u w:val="single" w:color="auto"/>
          <w:color w:val="0000FF"/>
        </w:rPr>
      </w:pPr>
      <w:hyperlink r:id="rId127">
        <w:r>
          <w:rPr>
            <w:rFonts w:ascii="Arial" w:cs="Arial" w:eastAsia="Arial" w:hAnsi="Arial"/>
            <w:sz w:val="13"/>
            <w:szCs w:val="13"/>
            <w:u w:val="single" w:color="auto"/>
            <w:color w:val="0000FF"/>
          </w:rPr>
          <w:t>Tenth Modification of Office Lease between Westwood Management Corp. and Crescent Real Estate Funding I, dated as of February 23, 2004 (incorporated by reference from the Form</w:t>
        </w:r>
      </w:hyperlink>
      <w:r>
        <w:rPr>
          <w:rFonts w:ascii="Arial" w:cs="Arial" w:eastAsia="Arial" w:hAnsi="Arial"/>
          <w:sz w:val="13"/>
          <w:szCs w:val="13"/>
          <w:u w:val="single" w:color="auto"/>
          <w:color w:val="0000FF"/>
        </w:rPr>
        <w:t xml:space="preserve"> </w:t>
      </w:r>
      <w:hyperlink r:id="rId127">
        <w:r>
          <w:rPr>
            <w:rFonts w:ascii="Arial" w:cs="Arial" w:eastAsia="Arial" w:hAnsi="Arial"/>
            <w:sz w:val="13"/>
            <w:szCs w:val="13"/>
            <w:u w:val="single" w:color="auto"/>
            <w:color w:val="0000FF"/>
          </w:rPr>
          <w:t>10-K filed with the SEC on February 27, 2004)</w:t>
        </w:r>
      </w:hyperlink>
    </w:p>
    <w:p>
      <w:pPr>
        <w:spacing w:after="0" w:line="3" w:lineRule="exact"/>
        <w:rPr>
          <w:sz w:val="20"/>
          <w:szCs w:val="20"/>
          <w:color w:val="auto"/>
        </w:rPr>
      </w:pPr>
    </w:p>
    <w:p>
      <w:pPr>
        <w:ind w:right="240"/>
        <w:spacing w:after="0" w:line="234" w:lineRule="auto"/>
        <w:rPr>
          <w:rFonts w:ascii="Arial" w:cs="Arial" w:eastAsia="Arial" w:hAnsi="Arial"/>
          <w:sz w:val="13"/>
          <w:szCs w:val="13"/>
          <w:u w:val="single" w:color="auto"/>
          <w:color w:val="0000FF"/>
        </w:rPr>
      </w:pPr>
      <w:hyperlink r:id="rId128">
        <w:r>
          <w:rPr>
            <w:rFonts w:ascii="Arial" w:cs="Arial" w:eastAsia="Arial" w:hAnsi="Arial"/>
            <w:sz w:val="13"/>
            <w:szCs w:val="13"/>
            <w:u w:val="single" w:color="auto"/>
            <w:color w:val="0000FF"/>
          </w:rPr>
          <w:t>Eleventh Modification of Office Lease between Westwood Management Corp. and Crescent Real Estate Funding I, dated as of December 9, 2010 (incorporated by reference from the</w:t>
        </w:r>
      </w:hyperlink>
      <w:r>
        <w:rPr>
          <w:rFonts w:ascii="Arial" w:cs="Arial" w:eastAsia="Arial" w:hAnsi="Arial"/>
          <w:sz w:val="13"/>
          <w:szCs w:val="13"/>
          <w:u w:val="single" w:color="auto"/>
          <w:color w:val="0000FF"/>
        </w:rPr>
        <w:t xml:space="preserve"> </w:t>
      </w:r>
      <w:hyperlink r:id="rId128">
        <w:r>
          <w:rPr>
            <w:rFonts w:ascii="Arial" w:cs="Arial" w:eastAsia="Arial" w:hAnsi="Arial"/>
            <w:sz w:val="13"/>
            <w:szCs w:val="13"/>
            <w:u w:val="single" w:color="auto"/>
            <w:color w:val="0000FF"/>
          </w:rPr>
          <w:t>Form 10-K filed with the SEC on February 25, 2011)</w:t>
        </w:r>
      </w:hyperlink>
    </w:p>
    <w:p>
      <w:pPr>
        <w:spacing w:after="0" w:line="3" w:lineRule="exact"/>
        <w:rPr>
          <w:sz w:val="20"/>
          <w:szCs w:val="20"/>
          <w:color w:val="auto"/>
        </w:rPr>
      </w:pPr>
    </w:p>
    <w:p>
      <w:pPr>
        <w:ind w:right="60"/>
        <w:spacing w:after="0" w:line="234" w:lineRule="auto"/>
        <w:rPr>
          <w:rFonts w:ascii="Arial" w:cs="Arial" w:eastAsia="Arial" w:hAnsi="Arial"/>
          <w:sz w:val="13"/>
          <w:szCs w:val="13"/>
          <w:u w:val="single" w:color="auto"/>
          <w:color w:val="0000FF"/>
        </w:rPr>
      </w:pPr>
      <w:hyperlink r:id="rId129">
        <w:r>
          <w:rPr>
            <w:rFonts w:ascii="Arial" w:cs="Arial" w:eastAsia="Arial" w:hAnsi="Arial"/>
            <w:sz w:val="13"/>
            <w:szCs w:val="13"/>
            <w:u w:val="single" w:color="auto"/>
            <w:color w:val="0000FF"/>
          </w:rPr>
          <w:t>Twelfth Modification of Office Lease between Westwood Management Corp. and Crescent TC Investors LP, dated as of August 17, 2012 (incorporated by reference from the Form 10-K</w:t>
        </w:r>
      </w:hyperlink>
      <w:r>
        <w:rPr>
          <w:rFonts w:ascii="Arial" w:cs="Arial" w:eastAsia="Arial" w:hAnsi="Arial"/>
          <w:sz w:val="13"/>
          <w:szCs w:val="13"/>
          <w:u w:val="single" w:color="auto"/>
          <w:color w:val="0000FF"/>
        </w:rPr>
        <w:t xml:space="preserve"> </w:t>
      </w:r>
      <w:hyperlink r:id="rId129">
        <w:r>
          <w:rPr>
            <w:rFonts w:ascii="Arial" w:cs="Arial" w:eastAsia="Arial" w:hAnsi="Arial"/>
            <w:sz w:val="13"/>
            <w:szCs w:val="13"/>
            <w:u w:val="single" w:color="auto"/>
            <w:color w:val="0000FF"/>
          </w:rPr>
          <w:t>filed with the SEC on February 28, 2013)</w:t>
        </w:r>
      </w:hyperlink>
    </w:p>
    <w:p>
      <w:pPr>
        <w:spacing w:after="0" w:line="3" w:lineRule="exact"/>
        <w:rPr>
          <w:sz w:val="20"/>
          <w:szCs w:val="20"/>
          <w:color w:val="auto"/>
        </w:rPr>
      </w:pPr>
    </w:p>
    <w:p>
      <w:pPr>
        <w:ind w:right="40"/>
        <w:spacing w:after="0" w:line="234" w:lineRule="auto"/>
        <w:rPr>
          <w:rFonts w:ascii="Arial" w:cs="Arial" w:eastAsia="Arial" w:hAnsi="Arial"/>
          <w:sz w:val="13"/>
          <w:szCs w:val="13"/>
          <w:u w:val="single" w:color="auto"/>
          <w:color w:val="0000FF"/>
        </w:rPr>
      </w:pPr>
      <w:hyperlink r:id="rId130">
        <w:r>
          <w:rPr>
            <w:rFonts w:ascii="Arial" w:cs="Arial" w:eastAsia="Arial" w:hAnsi="Arial"/>
            <w:sz w:val="13"/>
            <w:szCs w:val="13"/>
            <w:u w:val="single" w:color="auto"/>
            <w:color w:val="0000FF"/>
          </w:rPr>
          <w:t>Thirteenth Modification of Office Lease between Westwood Management Corp. and Crescent TC Investors LP, dated as of October 9, 2014 (incorporated by reference from the Form 10-</w:t>
        </w:r>
      </w:hyperlink>
      <w:hyperlink r:id="rId130">
        <w:r>
          <w:rPr>
            <w:rFonts w:ascii="Arial" w:cs="Arial" w:eastAsia="Arial" w:hAnsi="Arial"/>
            <w:sz w:val="13"/>
            <w:szCs w:val="13"/>
            <w:u w:val="single" w:color="auto"/>
            <w:color w:val="0000FF"/>
          </w:rPr>
          <w:t>K filed with the SEC on February 25,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wp:posOffset>
            </wp:positionV>
            <wp:extent cx="621157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6211570" cy="6350"/>
                    </a:xfrm>
                    <a:prstGeom prst="rect">
                      <a:avLst/>
                    </a:prstGeom>
                    <a:noFill/>
                  </pic:spPr>
                </pic:pic>
              </a:graphicData>
            </a:graphic>
          </wp:anchor>
        </w:drawing>
      </w:r>
    </w:p>
    <w:p>
      <w:pPr>
        <w:ind w:right="180"/>
        <w:spacing w:after="0" w:line="234" w:lineRule="auto"/>
        <w:rPr>
          <w:rFonts w:ascii="Arial" w:cs="Arial" w:eastAsia="Arial" w:hAnsi="Arial"/>
          <w:sz w:val="13"/>
          <w:szCs w:val="13"/>
          <w:u w:val="single" w:color="auto"/>
          <w:color w:val="0000FF"/>
        </w:rPr>
      </w:pPr>
      <w:hyperlink r:id="rId132">
        <w:r>
          <w:rPr>
            <w:rFonts w:ascii="Arial" w:cs="Arial" w:eastAsia="Arial" w:hAnsi="Arial"/>
            <w:sz w:val="13"/>
            <w:szCs w:val="13"/>
            <w:u w:val="single" w:color="auto"/>
            <w:color w:val="0000FF"/>
          </w:rPr>
          <w:t>Fourteenth Modification of Office Lease between Westwood Management Corp. and Crescent TC Investors LP, dated as of February 5, 2015 (incorporated by reference from the Form</w:t>
        </w:r>
      </w:hyperlink>
      <w:r>
        <w:rPr>
          <w:rFonts w:ascii="Arial" w:cs="Arial" w:eastAsia="Arial" w:hAnsi="Arial"/>
          <w:sz w:val="13"/>
          <w:szCs w:val="13"/>
          <w:u w:val="single" w:color="auto"/>
          <w:color w:val="0000FF"/>
        </w:rPr>
        <w:t xml:space="preserve"> </w:t>
      </w:r>
      <w:hyperlink r:id="rId132">
        <w:r>
          <w:rPr>
            <w:rFonts w:ascii="Arial" w:cs="Arial" w:eastAsia="Arial" w:hAnsi="Arial"/>
            <w:sz w:val="13"/>
            <w:szCs w:val="13"/>
            <w:u w:val="single" w:color="auto"/>
            <w:color w:val="0000FF"/>
          </w:rPr>
          <w:t>10-K filed with the SEC on February 25, 2016)</w:t>
        </w:r>
      </w:hyperlink>
    </w:p>
    <w:p>
      <w:pPr>
        <w:spacing w:after="0" w:line="200" w:lineRule="exact"/>
        <w:rPr>
          <w:sz w:val="20"/>
          <w:szCs w:val="20"/>
          <w:color w:val="auto"/>
        </w:rPr>
      </w:pPr>
    </w:p>
    <w:p>
      <w:pPr>
        <w:spacing w:after="0" w:line="263"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47625</wp:posOffset>
            </wp:positionV>
            <wp:extent cx="719518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2">
            <w:col w:w="780" w:space="720"/>
            <w:col w:w="9740"/>
          </w:cols>
          <w:pgMar w:left="320" w:top="685" w:right="339" w:bottom="1440" w:gutter="0" w:footer="0" w:header="0"/>
        </w:sectPr>
      </w:pPr>
    </w:p>
    <w:bookmarkStart w:id="71" w:name="page72"/>
    <w:bookmarkEnd w:id="71"/>
    <w:p>
      <w:pPr>
        <w:ind w:left="400"/>
        <w:spacing w:after="0"/>
        <w:rPr>
          <w:sz w:val="20"/>
          <w:szCs w:val="20"/>
          <w:color w:val="auto"/>
        </w:rPr>
      </w:pPr>
      <w:r>
        <w:rPr>
          <w:rFonts w:ascii="Arial" w:cs="Arial" w:eastAsia="Arial" w:hAnsi="Arial"/>
          <w:sz w:val="10"/>
          <w:szCs w:val="10"/>
          <w:b w:val="1"/>
          <w:bCs w:val="1"/>
          <w:color w:val="auto"/>
        </w:rPr>
        <w:t>Exhibit</w:t>
      </w:r>
    </w:p>
    <w:p>
      <w:pPr>
        <w:jc w:val="right"/>
        <w:ind w:right="20"/>
        <w:spacing w:after="0"/>
        <w:rPr>
          <w:sz w:val="20"/>
          <w:szCs w:val="20"/>
          <w:color w:val="auto"/>
        </w:rPr>
      </w:pPr>
      <w:r>
        <w:rPr>
          <w:rFonts w:ascii="Arial" w:cs="Arial" w:eastAsia="Arial" w:hAnsi="Arial"/>
          <w:sz w:val="10"/>
          <w:szCs w:val="10"/>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4041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40410" cy="635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10.3.7</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10.3.8</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10.4</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10.5</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10.6+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10.7+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10.8+</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10.9+</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10.10+</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10.11+</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10.12+</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10.13+</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10.14+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10.15+</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10.16+</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10.17+</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10.18+</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10.19+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74041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40410" cy="63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10.21+</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621157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6211570" cy="6350"/>
                    </a:xfrm>
                    <a:prstGeom prst="rect">
                      <a:avLst/>
                    </a:prstGeom>
                    <a:noFill/>
                  </pic:spPr>
                </pic:pic>
              </a:graphicData>
            </a:graphic>
          </wp:anchor>
        </w:drawing>
      </w:r>
    </w:p>
    <w:p>
      <w:pPr>
        <w:spacing w:after="0" w:line="20" w:lineRule="exact"/>
        <w:rPr>
          <w:sz w:val="20"/>
          <w:szCs w:val="20"/>
          <w:color w:val="auto"/>
        </w:rPr>
      </w:pPr>
    </w:p>
    <w:p>
      <w:pPr>
        <w:ind w:right="160"/>
        <w:spacing w:after="0" w:line="234" w:lineRule="auto"/>
        <w:rPr>
          <w:rFonts w:ascii="Arial" w:cs="Arial" w:eastAsia="Arial" w:hAnsi="Arial"/>
          <w:sz w:val="13"/>
          <w:szCs w:val="13"/>
          <w:u w:val="single" w:color="auto"/>
          <w:color w:val="0000FF"/>
        </w:rPr>
      </w:pPr>
      <w:hyperlink r:id="rId137">
        <w:r>
          <w:rPr>
            <w:rFonts w:ascii="Arial" w:cs="Arial" w:eastAsia="Arial" w:hAnsi="Arial"/>
            <w:sz w:val="13"/>
            <w:szCs w:val="13"/>
            <w:u w:val="single" w:color="auto"/>
            <w:color w:val="0000FF"/>
          </w:rPr>
          <w:t>Fifteenth Modification of Office Lease between Westwood Management Corp. and Crescent TC Investors LP, dated as of July 30, 2015 (incorporated by reference from the Form 10-K</w:t>
        </w:r>
      </w:hyperlink>
      <w:r>
        <w:rPr>
          <w:rFonts w:ascii="Arial" w:cs="Arial" w:eastAsia="Arial" w:hAnsi="Arial"/>
          <w:sz w:val="13"/>
          <w:szCs w:val="13"/>
          <w:u w:val="single" w:color="auto"/>
          <w:color w:val="0000FF"/>
        </w:rPr>
        <w:t xml:space="preserve"> </w:t>
      </w:r>
      <w:hyperlink r:id="rId137">
        <w:r>
          <w:rPr>
            <w:rFonts w:ascii="Arial" w:cs="Arial" w:eastAsia="Arial" w:hAnsi="Arial"/>
            <w:sz w:val="13"/>
            <w:szCs w:val="13"/>
            <w:u w:val="single" w:color="auto"/>
            <w:color w:val="0000FF"/>
          </w:rPr>
          <w:t>filed with the SEC on February 25, 2016)</w:t>
        </w:r>
      </w:hyperlink>
    </w:p>
    <w:p>
      <w:pPr>
        <w:spacing w:after="0" w:line="3" w:lineRule="exact"/>
        <w:rPr>
          <w:sz w:val="20"/>
          <w:szCs w:val="20"/>
          <w:color w:val="auto"/>
        </w:rPr>
      </w:pPr>
    </w:p>
    <w:p>
      <w:pPr>
        <w:ind w:right="200"/>
        <w:spacing w:after="0" w:line="234" w:lineRule="auto"/>
        <w:rPr>
          <w:rFonts w:ascii="Arial" w:cs="Arial" w:eastAsia="Arial" w:hAnsi="Arial"/>
          <w:sz w:val="13"/>
          <w:szCs w:val="13"/>
          <w:u w:val="single" w:color="auto"/>
          <w:color w:val="0000FF"/>
        </w:rPr>
      </w:pPr>
      <w:hyperlink r:id="rId138">
        <w:r>
          <w:rPr>
            <w:rFonts w:ascii="Arial" w:cs="Arial" w:eastAsia="Arial" w:hAnsi="Arial"/>
            <w:sz w:val="13"/>
            <w:szCs w:val="13"/>
            <w:u w:val="single" w:color="auto"/>
            <w:color w:val="0000FF"/>
          </w:rPr>
          <w:t>Sixteenth Modification of Office Lease between Westwood Management Corp. and Crescent TC Investors LP, dated as of July 5, 2018 (incorporated by reference from the Form 10-Q</w:t>
        </w:r>
      </w:hyperlink>
      <w:r>
        <w:rPr>
          <w:rFonts w:ascii="Arial" w:cs="Arial" w:eastAsia="Arial" w:hAnsi="Arial"/>
          <w:sz w:val="13"/>
          <w:szCs w:val="13"/>
          <w:u w:val="single" w:color="auto"/>
          <w:color w:val="0000FF"/>
        </w:rPr>
        <w:t xml:space="preserve"> </w:t>
      </w:r>
      <w:hyperlink r:id="rId138">
        <w:r>
          <w:rPr>
            <w:rFonts w:ascii="Arial" w:cs="Arial" w:eastAsia="Arial" w:hAnsi="Arial"/>
            <w:sz w:val="13"/>
            <w:szCs w:val="13"/>
            <w:u w:val="single" w:color="auto"/>
            <w:color w:val="0000FF"/>
          </w:rPr>
          <w:t>filed with the SEC on October 24, 2018)</w:t>
        </w:r>
      </w:hyperlink>
    </w:p>
    <w:p>
      <w:pPr>
        <w:spacing w:after="0" w:line="3" w:lineRule="exact"/>
        <w:rPr>
          <w:sz w:val="20"/>
          <w:szCs w:val="20"/>
          <w:color w:val="auto"/>
        </w:rPr>
      </w:pPr>
    </w:p>
    <w:p>
      <w:pPr>
        <w:ind w:right="480"/>
        <w:spacing w:after="0" w:line="234" w:lineRule="auto"/>
        <w:rPr>
          <w:rFonts w:ascii="Arial" w:cs="Arial" w:eastAsia="Arial" w:hAnsi="Arial"/>
          <w:sz w:val="13"/>
          <w:szCs w:val="13"/>
          <w:u w:val="single" w:color="auto"/>
          <w:color w:val="0000FF"/>
        </w:rPr>
      </w:pPr>
      <w:hyperlink r:id="rId139">
        <w:r>
          <w:rPr>
            <w:rFonts w:ascii="Arial" w:cs="Arial" w:eastAsia="Arial" w:hAnsi="Arial"/>
            <w:sz w:val="13"/>
            <w:szCs w:val="13"/>
            <w:u w:val="single" w:color="auto"/>
            <w:color w:val="0000FF"/>
          </w:rPr>
          <w:t>Software License and Support Agreement between Advent Software, Inc. and Westwood Management Corp., dated as of December 30, 1996 (incorporated by reference from the</w:t>
        </w:r>
      </w:hyperlink>
      <w:r>
        <w:rPr>
          <w:rFonts w:ascii="Arial" w:cs="Arial" w:eastAsia="Arial" w:hAnsi="Arial"/>
          <w:sz w:val="13"/>
          <w:szCs w:val="13"/>
          <w:u w:val="single" w:color="auto"/>
          <w:color w:val="0000FF"/>
        </w:rPr>
        <w:t xml:space="preserve"> </w:t>
      </w:r>
      <w:hyperlink r:id="rId139">
        <w:r>
          <w:rPr>
            <w:rFonts w:ascii="Arial" w:cs="Arial" w:eastAsia="Arial" w:hAnsi="Arial"/>
            <w:sz w:val="13"/>
            <w:szCs w:val="13"/>
            <w:u w:val="single" w:color="auto"/>
            <w:color w:val="0000FF"/>
          </w:rPr>
          <w:t>Registration Statement on Form 10 filed with the SEC on February 8, 2002)</w:t>
        </w:r>
      </w:hyperlink>
    </w:p>
    <w:p>
      <w:pPr>
        <w:spacing w:after="0" w:line="3" w:lineRule="exact"/>
        <w:rPr>
          <w:sz w:val="20"/>
          <w:szCs w:val="20"/>
          <w:color w:val="auto"/>
        </w:rPr>
      </w:pPr>
    </w:p>
    <w:p>
      <w:pPr>
        <w:ind w:right="80"/>
        <w:spacing w:after="0" w:line="234" w:lineRule="auto"/>
        <w:rPr>
          <w:rFonts w:ascii="Arial" w:cs="Arial" w:eastAsia="Arial" w:hAnsi="Arial"/>
          <w:sz w:val="13"/>
          <w:szCs w:val="13"/>
          <w:u w:val="single" w:color="auto"/>
          <w:color w:val="0000FF"/>
        </w:rPr>
      </w:pPr>
      <w:hyperlink r:id="rId140">
        <w:r>
          <w:rPr>
            <w:rFonts w:ascii="Arial" w:cs="Arial" w:eastAsia="Arial" w:hAnsi="Arial"/>
            <w:sz w:val="13"/>
            <w:szCs w:val="13"/>
            <w:u w:val="single" w:color="auto"/>
            <w:color w:val="0000FF"/>
          </w:rPr>
          <w:t>Investment Sub-advisory Agreement between Teton Advisers, LLC and Westwood Management Corp., dated as of October 6, 1994 (incorporated by reference from the Form 10-K filed</w:t>
        </w:r>
      </w:hyperlink>
      <w:r>
        <w:rPr>
          <w:rFonts w:ascii="Arial" w:cs="Arial" w:eastAsia="Arial" w:hAnsi="Arial"/>
          <w:sz w:val="13"/>
          <w:szCs w:val="13"/>
          <w:u w:val="single" w:color="auto"/>
          <w:color w:val="0000FF"/>
        </w:rPr>
        <w:t xml:space="preserve"> </w:t>
      </w:r>
      <w:hyperlink r:id="rId140">
        <w:r>
          <w:rPr>
            <w:rFonts w:ascii="Arial" w:cs="Arial" w:eastAsia="Arial" w:hAnsi="Arial"/>
            <w:sz w:val="13"/>
            <w:szCs w:val="13"/>
            <w:u w:val="single" w:color="auto"/>
            <w:color w:val="0000FF"/>
          </w:rPr>
          <w:t>with the SEC on February 28, 2013)</w:t>
        </w:r>
      </w:hyperlink>
    </w:p>
    <w:p>
      <w:pPr>
        <w:spacing w:after="0" w:line="3" w:lineRule="exact"/>
        <w:rPr>
          <w:sz w:val="20"/>
          <w:szCs w:val="20"/>
          <w:color w:val="auto"/>
        </w:rPr>
      </w:pPr>
    </w:p>
    <w:p>
      <w:pPr>
        <w:spacing w:after="0"/>
        <w:rPr>
          <w:rFonts w:ascii="Arial" w:cs="Arial" w:eastAsia="Arial" w:hAnsi="Arial"/>
          <w:sz w:val="13"/>
          <w:szCs w:val="13"/>
          <w:u w:val="single" w:color="auto"/>
          <w:color w:val="0000FF"/>
        </w:rPr>
      </w:pPr>
      <w:hyperlink r:id="rId141">
        <w:r>
          <w:rPr>
            <w:rFonts w:ascii="Arial" w:cs="Arial" w:eastAsia="Arial" w:hAnsi="Arial"/>
            <w:sz w:val="13"/>
            <w:szCs w:val="13"/>
            <w:u w:val="single" w:color="auto"/>
            <w:color w:val="0000FF"/>
          </w:rPr>
          <w:t>Form of Indemnification Agreement for Westwood Holdings Group, Inc. (incorporated by reference from the Form 10-K filed with the SEC on February 27, 2004)</w:t>
        </w:r>
      </w:hyperlink>
    </w:p>
    <w:p>
      <w:pPr>
        <w:spacing w:after="0" w:line="17" w:lineRule="exact"/>
        <w:rPr>
          <w:sz w:val="20"/>
          <w:szCs w:val="20"/>
          <w:color w:val="auto"/>
        </w:rPr>
      </w:pPr>
    </w:p>
    <w:p>
      <w:pPr>
        <w:spacing w:after="0"/>
        <w:rPr>
          <w:rFonts w:ascii="Arial" w:cs="Arial" w:eastAsia="Arial" w:hAnsi="Arial"/>
          <w:sz w:val="13"/>
          <w:szCs w:val="13"/>
          <w:u w:val="single" w:color="auto"/>
          <w:color w:val="0000FF"/>
        </w:rPr>
      </w:pPr>
      <w:hyperlink r:id="rId142">
        <w:r>
          <w:rPr>
            <w:rFonts w:ascii="Arial" w:cs="Arial" w:eastAsia="Arial" w:hAnsi="Arial"/>
            <w:sz w:val="13"/>
            <w:szCs w:val="13"/>
            <w:u w:val="single" w:color="auto"/>
            <w:color w:val="0000FF"/>
          </w:rPr>
          <w:t>Form of Indemnification Agreement for Westwood Management Corp. (incorporated by reference from the Form 10-K filed with the SEC on February 27, 2004)</w:t>
        </w:r>
      </w:hyperlink>
    </w:p>
    <w:p>
      <w:pPr>
        <w:spacing w:after="0" w:line="17" w:lineRule="exact"/>
        <w:rPr>
          <w:sz w:val="20"/>
          <w:szCs w:val="20"/>
          <w:color w:val="auto"/>
        </w:rPr>
      </w:pPr>
    </w:p>
    <w:p>
      <w:pPr>
        <w:spacing w:after="0"/>
        <w:rPr>
          <w:rFonts w:ascii="Arial" w:cs="Arial" w:eastAsia="Arial" w:hAnsi="Arial"/>
          <w:sz w:val="13"/>
          <w:szCs w:val="13"/>
          <w:u w:val="single" w:color="auto"/>
          <w:color w:val="0000FF"/>
        </w:rPr>
      </w:pPr>
      <w:hyperlink r:id="rId143">
        <w:r>
          <w:rPr>
            <w:rFonts w:ascii="Arial" w:cs="Arial" w:eastAsia="Arial" w:hAnsi="Arial"/>
            <w:sz w:val="13"/>
            <w:szCs w:val="13"/>
            <w:u w:val="single" w:color="auto"/>
            <w:color w:val="0000FF"/>
          </w:rPr>
          <w:t>Form of Indemnification Agreement for Westwood Trust (incorporated by reference from the Form 10-K filed with the SEC on February 27, 2004)</w:t>
        </w:r>
      </w:hyperlink>
    </w:p>
    <w:p>
      <w:pPr>
        <w:spacing w:after="0" w:line="17" w:lineRule="exact"/>
        <w:rPr>
          <w:sz w:val="20"/>
          <w:szCs w:val="20"/>
          <w:color w:val="auto"/>
        </w:rPr>
      </w:pPr>
    </w:p>
    <w:p>
      <w:pPr>
        <w:ind w:right="280"/>
        <w:spacing w:after="0" w:line="234" w:lineRule="auto"/>
        <w:rPr>
          <w:rFonts w:ascii="Arial" w:cs="Arial" w:eastAsia="Arial" w:hAnsi="Arial"/>
          <w:sz w:val="13"/>
          <w:szCs w:val="13"/>
          <w:u w:val="single" w:color="auto"/>
          <w:color w:val="0000FF"/>
        </w:rPr>
      </w:pPr>
      <w:hyperlink r:id="rId144">
        <w:r>
          <w:rPr>
            <w:rFonts w:ascii="Arial" w:cs="Arial" w:eastAsia="Arial" w:hAnsi="Arial"/>
            <w:sz w:val="13"/>
            <w:szCs w:val="13"/>
            <w:u w:val="single" w:color="auto"/>
            <w:color w:val="0000FF"/>
          </w:rPr>
          <w:t>Executive Employment Agreement between Westwood Holdings Group, Inc. and Brian O. Casey (incorporated by reference from the Form 8-K filed with the SEC on December 18,</w:t>
        </w:r>
      </w:hyperlink>
      <w:r>
        <w:rPr>
          <w:rFonts w:ascii="Arial" w:cs="Arial" w:eastAsia="Arial" w:hAnsi="Arial"/>
          <w:sz w:val="13"/>
          <w:szCs w:val="13"/>
          <w:u w:val="single" w:color="auto"/>
          <w:color w:val="0000FF"/>
        </w:rPr>
        <w:t xml:space="preserve"> </w:t>
      </w:r>
      <w:hyperlink r:id="rId144">
        <w:r>
          <w:rPr>
            <w:rFonts w:ascii="Arial" w:cs="Arial" w:eastAsia="Arial" w:hAnsi="Arial"/>
            <w:sz w:val="13"/>
            <w:szCs w:val="13"/>
            <w:u w:val="single" w:color="auto"/>
            <w:color w:val="0000FF"/>
          </w:rPr>
          <w:t>2015)</w:t>
        </w:r>
      </w:hyperlink>
    </w:p>
    <w:p>
      <w:pPr>
        <w:spacing w:after="0" w:line="3" w:lineRule="exact"/>
        <w:rPr>
          <w:sz w:val="20"/>
          <w:szCs w:val="20"/>
          <w:color w:val="auto"/>
        </w:rPr>
      </w:pPr>
    </w:p>
    <w:p>
      <w:pPr>
        <w:ind w:right="260"/>
        <w:spacing w:after="0" w:line="234" w:lineRule="auto"/>
        <w:rPr>
          <w:rFonts w:ascii="Arial" w:cs="Arial" w:eastAsia="Arial" w:hAnsi="Arial"/>
          <w:sz w:val="13"/>
          <w:szCs w:val="13"/>
          <w:u w:val="single" w:color="auto"/>
          <w:color w:val="0000FF"/>
        </w:rPr>
      </w:pPr>
      <w:hyperlink r:id="rId145">
        <w:r>
          <w:rPr>
            <w:rFonts w:ascii="Arial" w:cs="Arial" w:eastAsia="Arial" w:hAnsi="Arial"/>
            <w:sz w:val="13"/>
            <w:szCs w:val="13"/>
            <w:u w:val="single" w:color="auto"/>
            <w:color w:val="0000FF"/>
          </w:rPr>
          <w:t>Form of Performance Share Agreement between Westwood Holdings Group, Inc. and Brian O. Casey (incorporated by reference from the Form 8-K filed with the SEC on March 14,</w:t>
        </w:r>
      </w:hyperlink>
      <w:r>
        <w:rPr>
          <w:rFonts w:ascii="Arial" w:cs="Arial" w:eastAsia="Arial" w:hAnsi="Arial"/>
          <w:sz w:val="13"/>
          <w:szCs w:val="13"/>
          <w:u w:val="single" w:color="auto"/>
          <w:color w:val="0000FF"/>
        </w:rPr>
        <w:t xml:space="preserve"> </w:t>
      </w:r>
      <w:hyperlink r:id="rId145">
        <w:r>
          <w:rPr>
            <w:rFonts w:ascii="Arial" w:cs="Arial" w:eastAsia="Arial" w:hAnsi="Arial"/>
            <w:sz w:val="13"/>
            <w:szCs w:val="13"/>
            <w:u w:val="single" w:color="auto"/>
            <w:color w:val="0000FF"/>
          </w:rPr>
          <w:t>2016)</w:t>
        </w:r>
      </w:hyperlink>
    </w:p>
    <w:p>
      <w:pPr>
        <w:spacing w:after="0" w:line="3" w:lineRule="exact"/>
        <w:rPr>
          <w:sz w:val="20"/>
          <w:szCs w:val="20"/>
          <w:color w:val="auto"/>
        </w:rPr>
      </w:pPr>
    </w:p>
    <w:p>
      <w:pPr>
        <w:ind w:right="80"/>
        <w:spacing w:after="0" w:line="234" w:lineRule="auto"/>
        <w:rPr>
          <w:rFonts w:ascii="Arial" w:cs="Arial" w:eastAsia="Arial" w:hAnsi="Arial"/>
          <w:sz w:val="13"/>
          <w:szCs w:val="13"/>
          <w:u w:val="single" w:color="auto"/>
          <w:color w:val="0000FF"/>
        </w:rPr>
      </w:pPr>
      <w:hyperlink r:id="rId146">
        <w:r>
          <w:rPr>
            <w:rFonts w:ascii="Arial" w:cs="Arial" w:eastAsia="Arial" w:hAnsi="Arial"/>
            <w:sz w:val="13"/>
            <w:szCs w:val="13"/>
            <w:u w:val="single" w:color="auto"/>
            <w:color w:val="0000FF"/>
          </w:rPr>
          <w:t>One-Time Performance Share Agreement, dated as of March 10, 2016, between Westwood Holdings Group, Inc. and Brian O. Casey (incorporated by reference from the Form 8-K filed</w:t>
        </w:r>
      </w:hyperlink>
      <w:r>
        <w:rPr>
          <w:rFonts w:ascii="Arial" w:cs="Arial" w:eastAsia="Arial" w:hAnsi="Arial"/>
          <w:sz w:val="13"/>
          <w:szCs w:val="13"/>
          <w:u w:val="single" w:color="auto"/>
          <w:color w:val="0000FF"/>
        </w:rPr>
        <w:t xml:space="preserve"> </w:t>
      </w:r>
      <w:hyperlink r:id="rId146">
        <w:r>
          <w:rPr>
            <w:rFonts w:ascii="Arial" w:cs="Arial" w:eastAsia="Arial" w:hAnsi="Arial"/>
            <w:sz w:val="13"/>
            <w:szCs w:val="13"/>
            <w:u w:val="single" w:color="auto"/>
            <w:color w:val="0000FF"/>
          </w:rPr>
          <w:t>with the SEC on March 14, 2016)</w:t>
        </w:r>
      </w:hyperlink>
    </w:p>
    <w:p>
      <w:pPr>
        <w:spacing w:after="0" w:line="3" w:lineRule="exact"/>
        <w:rPr>
          <w:sz w:val="20"/>
          <w:szCs w:val="20"/>
          <w:color w:val="auto"/>
        </w:rPr>
      </w:pPr>
    </w:p>
    <w:p>
      <w:pPr>
        <w:ind w:right="300"/>
        <w:spacing w:after="0" w:line="234" w:lineRule="auto"/>
        <w:rPr>
          <w:rFonts w:ascii="Arial" w:cs="Arial" w:eastAsia="Arial" w:hAnsi="Arial"/>
          <w:sz w:val="13"/>
          <w:szCs w:val="13"/>
          <w:u w:val="single" w:color="auto"/>
          <w:color w:val="0000FF"/>
        </w:rPr>
      </w:pPr>
      <w:hyperlink r:id="rId147">
        <w:r>
          <w:rPr>
            <w:rFonts w:ascii="Arial" w:cs="Arial" w:eastAsia="Arial" w:hAnsi="Arial"/>
            <w:sz w:val="13"/>
            <w:szCs w:val="13"/>
            <w:u w:val="single" w:color="auto"/>
            <w:color w:val="0000FF"/>
          </w:rPr>
          <w:t>Waiver of Certain Performance Shares Under the Performance Share Agreement, dated as of February 22, 2017 (incorporated by reference from the Form 8-K filed with the SEC on</w:t>
        </w:r>
      </w:hyperlink>
      <w:r>
        <w:rPr>
          <w:rFonts w:ascii="Arial" w:cs="Arial" w:eastAsia="Arial" w:hAnsi="Arial"/>
          <w:sz w:val="13"/>
          <w:szCs w:val="13"/>
          <w:u w:val="single" w:color="auto"/>
          <w:color w:val="0000FF"/>
        </w:rPr>
        <w:t xml:space="preserve"> </w:t>
      </w:r>
      <w:hyperlink r:id="rId147">
        <w:r>
          <w:rPr>
            <w:rFonts w:ascii="Arial" w:cs="Arial" w:eastAsia="Arial" w:hAnsi="Arial"/>
            <w:sz w:val="13"/>
            <w:szCs w:val="13"/>
            <w:u w:val="single" w:color="auto"/>
            <w:color w:val="0000FF"/>
          </w:rPr>
          <w:t>February 28, 2017)</w:t>
        </w:r>
      </w:hyperlink>
    </w:p>
    <w:p>
      <w:pPr>
        <w:spacing w:after="0" w:line="3" w:lineRule="exact"/>
        <w:rPr>
          <w:sz w:val="20"/>
          <w:szCs w:val="20"/>
          <w:color w:val="auto"/>
        </w:rPr>
      </w:pPr>
    </w:p>
    <w:p>
      <w:pPr>
        <w:ind w:right="300"/>
        <w:spacing w:after="0" w:line="234" w:lineRule="auto"/>
        <w:rPr>
          <w:rFonts w:ascii="Arial" w:cs="Arial" w:eastAsia="Arial" w:hAnsi="Arial"/>
          <w:sz w:val="13"/>
          <w:szCs w:val="13"/>
          <w:u w:val="single" w:color="auto"/>
          <w:color w:val="0000FF"/>
        </w:rPr>
      </w:pPr>
      <w:hyperlink r:id="rId148">
        <w:r>
          <w:rPr>
            <w:rFonts w:ascii="Arial" w:cs="Arial" w:eastAsia="Arial" w:hAnsi="Arial"/>
            <w:sz w:val="13"/>
            <w:szCs w:val="13"/>
            <w:u w:val="single" w:color="auto"/>
            <w:color w:val="0000FF"/>
          </w:rPr>
          <w:t>Executive Employment Agreement between Westwood Holdings Group, Inc. and Mark Freeman (incorporated by reference from the Form 8-K filed with the SEC on November 14,</w:t>
        </w:r>
      </w:hyperlink>
      <w:r>
        <w:rPr>
          <w:rFonts w:ascii="Arial" w:cs="Arial" w:eastAsia="Arial" w:hAnsi="Arial"/>
          <w:sz w:val="13"/>
          <w:szCs w:val="13"/>
          <w:u w:val="single" w:color="auto"/>
          <w:color w:val="0000FF"/>
        </w:rPr>
        <w:t xml:space="preserve"> </w:t>
      </w:r>
      <w:hyperlink r:id="rId148">
        <w:r>
          <w:rPr>
            <w:rFonts w:ascii="Arial" w:cs="Arial" w:eastAsia="Arial" w:hAnsi="Arial"/>
            <w:sz w:val="13"/>
            <w:szCs w:val="13"/>
            <w:u w:val="single" w:color="auto"/>
            <w:color w:val="0000FF"/>
          </w:rPr>
          <w:t>2016)</w:t>
        </w:r>
      </w:hyperlink>
    </w:p>
    <w:p>
      <w:pPr>
        <w:spacing w:after="0" w:line="3" w:lineRule="exact"/>
        <w:rPr>
          <w:sz w:val="20"/>
          <w:szCs w:val="20"/>
          <w:color w:val="auto"/>
        </w:rPr>
      </w:pPr>
    </w:p>
    <w:p>
      <w:pPr>
        <w:ind w:right="60"/>
        <w:spacing w:after="0" w:line="234" w:lineRule="auto"/>
        <w:rPr>
          <w:rFonts w:ascii="Arial" w:cs="Arial" w:eastAsia="Arial" w:hAnsi="Arial"/>
          <w:sz w:val="13"/>
          <w:szCs w:val="13"/>
          <w:u w:val="single" w:color="auto"/>
          <w:color w:val="0000FF"/>
        </w:rPr>
      </w:pPr>
      <w:hyperlink r:id="rId149">
        <w:r>
          <w:rPr>
            <w:rFonts w:ascii="Arial" w:cs="Arial" w:eastAsia="Arial" w:hAnsi="Arial"/>
            <w:sz w:val="13"/>
            <w:szCs w:val="13"/>
            <w:u w:val="single" w:color="auto"/>
            <w:color w:val="0000FF"/>
          </w:rPr>
          <w:t>Form of Mutual Fund Share Incentive Agreement, by and between Mark Freeman and Westwood Holdings Group, Inc. (incorporated by reference from the Form 8-K filed with the SEC</w:t>
        </w:r>
      </w:hyperlink>
      <w:r>
        <w:rPr>
          <w:rFonts w:ascii="Arial" w:cs="Arial" w:eastAsia="Arial" w:hAnsi="Arial"/>
          <w:sz w:val="13"/>
          <w:szCs w:val="13"/>
          <w:u w:val="single" w:color="auto"/>
          <w:color w:val="0000FF"/>
        </w:rPr>
        <w:t xml:space="preserve"> </w:t>
      </w:r>
      <w:hyperlink r:id="rId149">
        <w:r>
          <w:rPr>
            <w:rFonts w:ascii="Arial" w:cs="Arial" w:eastAsia="Arial" w:hAnsi="Arial"/>
            <w:sz w:val="13"/>
            <w:szCs w:val="13"/>
            <w:u w:val="single" w:color="auto"/>
            <w:color w:val="0000FF"/>
          </w:rPr>
          <w:t>on March 29, 2017)</w:t>
        </w:r>
      </w:hyperlink>
    </w:p>
    <w:p>
      <w:pPr>
        <w:spacing w:after="0" w:line="3" w:lineRule="exact"/>
        <w:rPr>
          <w:sz w:val="20"/>
          <w:szCs w:val="20"/>
          <w:color w:val="auto"/>
        </w:rPr>
      </w:pPr>
    </w:p>
    <w:p>
      <w:pPr>
        <w:spacing w:after="0"/>
        <w:rPr>
          <w:rFonts w:ascii="Arial" w:cs="Arial" w:eastAsia="Arial" w:hAnsi="Arial"/>
          <w:sz w:val="13"/>
          <w:szCs w:val="13"/>
          <w:u w:val="single" w:color="auto"/>
          <w:color w:val="0000FF"/>
        </w:rPr>
      </w:pPr>
      <w:hyperlink r:id="rId150">
        <w:r>
          <w:rPr>
            <w:rFonts w:ascii="Arial" w:cs="Arial" w:eastAsia="Arial" w:hAnsi="Arial"/>
            <w:sz w:val="13"/>
            <w:szCs w:val="13"/>
            <w:u w:val="single" w:color="auto"/>
            <w:color w:val="0000FF"/>
          </w:rPr>
          <w:t>Form of Performance Share Agreement (incorporated by reference from the Form 8-K filed with the SEC on March 10, 2017)</w:t>
        </w:r>
      </w:hyperlink>
    </w:p>
    <w:p>
      <w:pPr>
        <w:spacing w:after="0" w:line="17" w:lineRule="exact"/>
        <w:rPr>
          <w:sz w:val="20"/>
          <w:szCs w:val="20"/>
          <w:color w:val="auto"/>
        </w:rPr>
      </w:pPr>
    </w:p>
    <w:p>
      <w:pPr>
        <w:ind w:right="20"/>
        <w:spacing w:after="0" w:line="234" w:lineRule="auto"/>
        <w:rPr>
          <w:rFonts w:ascii="Arial" w:cs="Arial" w:eastAsia="Arial" w:hAnsi="Arial"/>
          <w:sz w:val="13"/>
          <w:szCs w:val="13"/>
          <w:u w:val="single" w:color="auto"/>
          <w:color w:val="0000FF"/>
        </w:rPr>
      </w:pPr>
      <w:hyperlink r:id="rId151">
        <w:r>
          <w:rPr>
            <w:rFonts w:ascii="Arial" w:cs="Arial" w:eastAsia="Arial" w:hAnsi="Arial"/>
            <w:sz w:val="13"/>
            <w:szCs w:val="13"/>
            <w:u w:val="single" w:color="auto"/>
            <w:color w:val="0000FF"/>
          </w:rPr>
          <w:t>One-Time Performance Share Agreement, dated as of March 9, 2017, between Westwood Holdings Group, Inc. and Mark R. Freeman (incorporated by reference from the Form 8-K filed</w:t>
        </w:r>
      </w:hyperlink>
      <w:r>
        <w:rPr>
          <w:rFonts w:ascii="Arial" w:cs="Arial" w:eastAsia="Arial" w:hAnsi="Arial"/>
          <w:sz w:val="13"/>
          <w:szCs w:val="13"/>
          <w:u w:val="single" w:color="auto"/>
          <w:color w:val="0000FF"/>
        </w:rPr>
        <w:t xml:space="preserve"> </w:t>
      </w:r>
      <w:hyperlink r:id="rId151">
        <w:r>
          <w:rPr>
            <w:rFonts w:ascii="Arial" w:cs="Arial" w:eastAsia="Arial" w:hAnsi="Arial"/>
            <w:sz w:val="13"/>
            <w:szCs w:val="13"/>
            <w:u w:val="single" w:color="auto"/>
            <w:color w:val="0000FF"/>
          </w:rPr>
          <w:t>with the SEC on March 10, 2017)</w:t>
        </w:r>
      </w:hyperlink>
    </w:p>
    <w:p>
      <w:pPr>
        <w:spacing w:after="0" w:line="3" w:lineRule="exact"/>
        <w:rPr>
          <w:sz w:val="20"/>
          <w:szCs w:val="20"/>
          <w:color w:val="auto"/>
        </w:rPr>
      </w:pPr>
    </w:p>
    <w:p>
      <w:pPr>
        <w:ind w:right="220"/>
        <w:spacing w:after="0" w:line="234" w:lineRule="auto"/>
        <w:rPr>
          <w:rFonts w:ascii="Arial" w:cs="Arial" w:eastAsia="Arial" w:hAnsi="Arial"/>
          <w:sz w:val="13"/>
          <w:szCs w:val="13"/>
          <w:u w:val="single" w:color="auto"/>
          <w:color w:val="0000FF"/>
        </w:rPr>
      </w:pPr>
      <w:hyperlink r:id="rId152">
        <w:r>
          <w:rPr>
            <w:rFonts w:ascii="Arial" w:cs="Arial" w:eastAsia="Arial" w:hAnsi="Arial"/>
            <w:sz w:val="13"/>
            <w:szCs w:val="13"/>
            <w:u w:val="single" w:color="auto"/>
            <w:color w:val="0000FF"/>
          </w:rPr>
          <w:t>Share Award Plan of Westwood Holdings Group, Inc. for Service Provided in Canada to its Subsidiaries (incorporated by reference from the Registration Statement on Form S-8 filed</w:t>
        </w:r>
      </w:hyperlink>
      <w:r>
        <w:rPr>
          <w:rFonts w:ascii="Arial" w:cs="Arial" w:eastAsia="Arial" w:hAnsi="Arial"/>
          <w:sz w:val="13"/>
          <w:szCs w:val="13"/>
          <w:u w:val="single" w:color="auto"/>
          <w:color w:val="0000FF"/>
        </w:rPr>
        <w:t xml:space="preserve"> </w:t>
      </w:r>
      <w:hyperlink r:id="rId152">
        <w:r>
          <w:rPr>
            <w:rFonts w:ascii="Arial" w:cs="Arial" w:eastAsia="Arial" w:hAnsi="Arial"/>
            <w:sz w:val="13"/>
            <w:szCs w:val="13"/>
            <w:u w:val="single" w:color="auto"/>
            <w:color w:val="0000FF"/>
          </w:rPr>
          <w:t>with the SEC on April 18, 2013)</w:t>
        </w:r>
      </w:hyperlink>
    </w:p>
    <w:p>
      <w:pPr>
        <w:spacing w:after="0" w:line="3" w:lineRule="exact"/>
        <w:rPr>
          <w:sz w:val="20"/>
          <w:szCs w:val="20"/>
          <w:color w:val="auto"/>
        </w:rPr>
      </w:pPr>
    </w:p>
    <w:p>
      <w:pPr>
        <w:spacing w:after="0" w:line="234" w:lineRule="auto"/>
        <w:rPr>
          <w:rFonts w:ascii="Arial" w:cs="Arial" w:eastAsia="Arial" w:hAnsi="Arial"/>
          <w:sz w:val="13"/>
          <w:szCs w:val="13"/>
          <w:u w:val="single" w:color="auto"/>
          <w:color w:val="0000FF"/>
        </w:rPr>
      </w:pPr>
      <w:hyperlink r:id="rId153">
        <w:r>
          <w:rPr>
            <w:rFonts w:ascii="Arial" w:cs="Arial" w:eastAsia="Arial" w:hAnsi="Arial"/>
            <w:sz w:val="13"/>
            <w:szCs w:val="13"/>
            <w:u w:val="single" w:color="auto"/>
            <w:color w:val="0000FF"/>
          </w:rPr>
          <w:t>Consulting Agreement, dated as of March 17, 2015, between Westwood Holdings Group, Inc. and Susan Byrne (incorporated by reference from the Form 10-Q filed with the SEC on July</w:t>
        </w:r>
      </w:hyperlink>
      <w:r>
        <w:rPr>
          <w:rFonts w:ascii="Arial" w:cs="Arial" w:eastAsia="Arial" w:hAnsi="Arial"/>
          <w:sz w:val="13"/>
          <w:szCs w:val="13"/>
          <w:u w:val="single" w:color="auto"/>
          <w:color w:val="0000FF"/>
        </w:rPr>
        <w:t xml:space="preserve"> </w:t>
      </w:r>
      <w:hyperlink r:id="rId153">
        <w:r>
          <w:rPr>
            <w:rFonts w:ascii="Arial" w:cs="Arial" w:eastAsia="Arial" w:hAnsi="Arial"/>
            <w:sz w:val="13"/>
            <w:szCs w:val="13"/>
            <w:u w:val="single" w:color="auto"/>
            <w:color w:val="0000FF"/>
          </w:rPr>
          <w:t>29, 2015)</w:t>
        </w:r>
      </w:hyperlink>
    </w:p>
    <w:p>
      <w:pPr>
        <w:spacing w:after="0" w:line="3" w:lineRule="exact"/>
        <w:rPr>
          <w:sz w:val="20"/>
          <w:szCs w:val="20"/>
          <w:color w:val="auto"/>
        </w:rPr>
      </w:pPr>
    </w:p>
    <w:p>
      <w:pPr>
        <w:ind w:right="180"/>
        <w:spacing w:after="0" w:line="234" w:lineRule="auto"/>
        <w:rPr>
          <w:rFonts w:ascii="Arial" w:cs="Arial" w:eastAsia="Arial" w:hAnsi="Arial"/>
          <w:sz w:val="13"/>
          <w:szCs w:val="13"/>
          <w:u w:val="single" w:color="auto"/>
          <w:color w:val="0000FF"/>
        </w:rPr>
      </w:pPr>
      <w:hyperlink r:id="rId154">
        <w:r>
          <w:rPr>
            <w:rFonts w:ascii="Arial" w:cs="Arial" w:eastAsia="Arial" w:hAnsi="Arial"/>
            <w:sz w:val="13"/>
            <w:szCs w:val="13"/>
            <w:u w:val="single" w:color="auto"/>
            <w:color w:val="0000FF"/>
          </w:rPr>
          <w:t>Severance Agreement, dated as of February 9, 2018, between Westwood Holdings Group, Inc. and Fabian Gomez (incorporated by reference from the Form 8-K filed with the SEC on</w:t>
        </w:r>
      </w:hyperlink>
      <w:r>
        <w:rPr>
          <w:rFonts w:ascii="Arial" w:cs="Arial" w:eastAsia="Arial" w:hAnsi="Arial"/>
          <w:sz w:val="13"/>
          <w:szCs w:val="13"/>
          <w:u w:val="single" w:color="auto"/>
          <w:color w:val="0000FF"/>
        </w:rPr>
        <w:t xml:space="preserve"> </w:t>
      </w:r>
      <w:hyperlink r:id="rId154">
        <w:r>
          <w:rPr>
            <w:rFonts w:ascii="Arial" w:cs="Arial" w:eastAsia="Arial" w:hAnsi="Arial"/>
            <w:sz w:val="13"/>
            <w:szCs w:val="13"/>
            <w:u w:val="single" w:color="auto"/>
            <w:color w:val="0000FF"/>
          </w:rPr>
          <w:t>February 3, 2018)</w:t>
        </w:r>
      </w:hyperlink>
    </w:p>
    <w:p>
      <w:pPr>
        <w:spacing w:after="0" w:line="3" w:lineRule="exact"/>
        <w:rPr>
          <w:sz w:val="20"/>
          <w:szCs w:val="20"/>
          <w:color w:val="auto"/>
        </w:rPr>
      </w:pPr>
    </w:p>
    <w:p>
      <w:pPr>
        <w:spacing w:after="0"/>
        <w:rPr>
          <w:rFonts w:ascii="Arial" w:cs="Arial" w:eastAsia="Arial" w:hAnsi="Arial"/>
          <w:sz w:val="12"/>
          <w:szCs w:val="12"/>
          <w:u w:val="single" w:color="auto"/>
          <w:color w:val="0000FF"/>
        </w:rPr>
      </w:pPr>
      <w:hyperlink r:id="rId155">
        <w:r>
          <w:rPr>
            <w:rFonts w:ascii="Arial" w:cs="Arial" w:eastAsia="Arial" w:hAnsi="Arial"/>
            <w:sz w:val="12"/>
            <w:szCs w:val="12"/>
            <w:u w:val="single" w:color="auto"/>
            <w:color w:val="0000FF"/>
          </w:rPr>
          <w:t>Exit Letter, dated June 27, 2018, between Westwood Holdings Group, Inc. and Mark R. Freeman (incorporated by reference from the Form 10-Q filed with the SEC on July 25,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621157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6211570" cy="6350"/>
                    </a:xfrm>
                    <a:prstGeom prst="rect">
                      <a:avLst/>
                    </a:prstGeom>
                    <a:noFill/>
                  </pic:spPr>
                </pic:pic>
              </a:graphicData>
            </a:graphic>
          </wp:anchor>
        </w:drawing>
      </w:r>
    </w:p>
    <w:p>
      <w:pPr>
        <w:spacing w:after="0" w:line="18" w:lineRule="exact"/>
        <w:rPr>
          <w:sz w:val="20"/>
          <w:szCs w:val="20"/>
          <w:color w:val="auto"/>
        </w:rPr>
      </w:pPr>
    </w:p>
    <w:p>
      <w:pPr>
        <w:ind w:right="20"/>
        <w:spacing w:after="0" w:line="234" w:lineRule="auto"/>
        <w:rPr>
          <w:rFonts w:ascii="Arial" w:cs="Arial" w:eastAsia="Arial" w:hAnsi="Arial"/>
          <w:sz w:val="13"/>
          <w:szCs w:val="13"/>
          <w:u w:val="single" w:color="auto"/>
          <w:color w:val="0000FF"/>
        </w:rPr>
      </w:pPr>
      <w:hyperlink r:id="rId157">
        <w:r>
          <w:rPr>
            <w:rFonts w:ascii="Arial" w:cs="Arial" w:eastAsia="Arial" w:hAnsi="Arial"/>
            <w:sz w:val="13"/>
            <w:szCs w:val="13"/>
            <w:u w:val="single" w:color="auto"/>
            <w:color w:val="0000FF"/>
          </w:rPr>
          <w:t>Employee Confidentiality and Non-compete Agreement, effective November 1, 2018, between Westwood Holdings Group, Inc. and Murray "Terry" Forbes III (incorporated by reference</w:t>
        </w:r>
      </w:hyperlink>
      <w:r>
        <w:rPr>
          <w:rFonts w:ascii="Arial" w:cs="Arial" w:eastAsia="Arial" w:hAnsi="Arial"/>
          <w:sz w:val="13"/>
          <w:szCs w:val="13"/>
          <w:u w:val="single" w:color="auto"/>
          <w:color w:val="0000FF"/>
        </w:rPr>
        <w:t xml:space="preserve"> </w:t>
      </w:r>
      <w:hyperlink r:id="rId157">
        <w:r>
          <w:rPr>
            <w:rFonts w:ascii="Arial" w:cs="Arial" w:eastAsia="Arial" w:hAnsi="Arial"/>
            <w:sz w:val="13"/>
            <w:szCs w:val="13"/>
            <w:u w:val="single" w:color="auto"/>
            <w:color w:val="0000FF"/>
          </w:rPr>
          <w:t>from the Form 8-K/A filed with the SEC on October 29, 2018)</w:t>
        </w:r>
      </w:hyperlink>
    </w:p>
    <w:p>
      <w:pPr>
        <w:spacing w:after="0" w:line="3" w:lineRule="exact"/>
        <w:rPr>
          <w:sz w:val="20"/>
          <w:szCs w:val="20"/>
          <w:color w:val="auto"/>
        </w:rPr>
      </w:pPr>
    </w:p>
    <w:p>
      <w:pPr>
        <w:spacing w:after="0"/>
        <w:rPr>
          <w:rFonts w:ascii="Arial" w:cs="Arial" w:eastAsia="Arial" w:hAnsi="Arial"/>
          <w:sz w:val="13"/>
          <w:szCs w:val="13"/>
          <w:u w:val="single" w:color="auto"/>
          <w:color w:val="0000FF"/>
        </w:rPr>
      </w:pPr>
      <w:hyperlink r:id="rId158">
        <w:r>
          <w:rPr>
            <w:rFonts w:ascii="Arial" w:cs="Arial" w:eastAsia="Arial" w:hAnsi="Arial"/>
            <w:sz w:val="13"/>
            <w:szCs w:val="13"/>
            <w:u w:val="single" w:color="auto"/>
            <w:color w:val="0000FF"/>
          </w:rPr>
          <w:t>Subsidiaries (incorporated by reference from the Form 10-K filed with the SEC on February 28, 2013)</w:t>
        </w:r>
      </w:hyperlink>
    </w:p>
    <w:p>
      <w:pPr>
        <w:spacing w:after="0" w:line="200" w:lineRule="exact"/>
        <w:rPr>
          <w:sz w:val="20"/>
          <w:szCs w:val="20"/>
          <w:color w:val="auto"/>
        </w:rPr>
      </w:pPr>
    </w:p>
    <w:p>
      <w:pPr>
        <w:spacing w:after="0" w:line="27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47625</wp:posOffset>
            </wp:positionV>
            <wp:extent cx="719518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2">
            <w:col w:w="780" w:space="720"/>
            <w:col w:w="9740"/>
          </w:cols>
          <w:pgMar w:left="320" w:top="706"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15"/>
        </w:trPr>
        <w:tc>
          <w:tcPr>
            <w:tcW w:w="1500" w:type="dxa"/>
            <w:vAlign w:val="bottom"/>
            <w:gridSpan w:val="2"/>
          </w:tcPr>
          <w:p>
            <w:pPr>
              <w:ind w:left="420"/>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20" w:type="dxa"/>
            <w:vAlign w:val="bottom"/>
            <w:gridSpan w:val="5"/>
            <w:vMerge w:val="restart"/>
          </w:tcPr>
          <w:p>
            <w:pPr>
              <w:ind w:left="1620"/>
              <w:spacing w:after="0"/>
              <w:rPr>
                <w:sz w:val="20"/>
                <w:szCs w:val="20"/>
                <w:color w:val="auto"/>
              </w:rPr>
            </w:pPr>
            <w:r>
              <w:rPr>
                <w:rFonts w:ascii="Arial" w:cs="Arial" w:eastAsia="Arial" w:hAnsi="Arial"/>
                <w:sz w:val="10"/>
                <w:szCs w:val="10"/>
                <w:b w:val="1"/>
                <w:bCs w:val="1"/>
                <w:color w:val="auto"/>
              </w:rPr>
              <w:t>Description of Exhibits</w:t>
            </w:r>
          </w:p>
        </w:tc>
        <w:tc>
          <w:tcPr>
            <w:tcW w:w="0" w:type="dxa"/>
            <w:vAlign w:val="bottom"/>
          </w:tcPr>
          <w:p>
            <w:pPr>
              <w:spacing w:after="0"/>
              <w:rPr>
                <w:sz w:val="1"/>
                <w:szCs w:val="1"/>
                <w:color w:val="auto"/>
              </w:rPr>
            </w:pPr>
          </w:p>
        </w:tc>
      </w:tr>
      <w:tr>
        <w:trPr>
          <w:trHeight w:val="136"/>
        </w:trPr>
        <w:tc>
          <w:tcPr>
            <w:tcW w:w="1500" w:type="dxa"/>
            <w:vAlign w:val="bottom"/>
            <w:gridSpan w:val="2"/>
          </w:tcPr>
          <w:p>
            <w:pPr>
              <w:ind w:left="400"/>
              <w:spacing w:after="0"/>
              <w:rPr>
                <w:sz w:val="20"/>
                <w:szCs w:val="20"/>
                <w:color w:val="auto"/>
              </w:rPr>
            </w:pPr>
            <w:r>
              <w:rPr>
                <w:rFonts w:ascii="Arial" w:cs="Arial" w:eastAsia="Arial" w:hAnsi="Arial"/>
                <w:sz w:val="10"/>
                <w:szCs w:val="10"/>
                <w:b w:val="1"/>
                <w:bCs w:val="1"/>
                <w:color w:val="auto"/>
              </w:rPr>
              <w:t>Number</w:t>
            </w: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80" w:type="dxa"/>
            <w:vAlign w:val="bottom"/>
            <w:tcBorders>
              <w:top w:val="single" w:sz="8" w:color="auto"/>
            </w:tcBorders>
          </w:tcPr>
          <w:p>
            <w:pPr>
              <w:ind w:left="20"/>
              <w:spacing w:after="0" w:line="128" w:lineRule="exact"/>
              <w:rPr>
                <w:sz w:val="20"/>
                <w:szCs w:val="20"/>
                <w:color w:val="auto"/>
              </w:rPr>
            </w:pPr>
            <w:r>
              <w:rPr>
                <w:rFonts w:ascii="Arial" w:cs="Arial" w:eastAsia="Arial" w:hAnsi="Arial"/>
                <w:sz w:val="13"/>
                <w:szCs w:val="13"/>
                <w:color w:val="auto"/>
              </w:rPr>
              <w:t>23.1*</w:t>
            </w: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760" w:type="dxa"/>
            <w:vAlign w:val="bottom"/>
            <w:tcBorders>
              <w:top w:val="single" w:sz="8" w:color="auto"/>
            </w:tcBorders>
            <w:gridSpan w:val="7"/>
          </w:tcPr>
          <w:p>
            <w:pPr>
              <w:spacing w:after="0" w:line="128" w:lineRule="exact"/>
              <w:rPr>
                <w:rFonts w:ascii="Arial" w:cs="Arial" w:eastAsia="Arial" w:hAnsi="Arial"/>
                <w:sz w:val="13"/>
                <w:szCs w:val="13"/>
                <w:color w:val="0000FF"/>
              </w:rPr>
            </w:pPr>
            <w:hyperlink w:anchor="page74">
              <w:r>
                <w:rPr>
                  <w:rFonts w:ascii="Arial" w:cs="Arial" w:eastAsia="Arial" w:hAnsi="Arial"/>
                  <w:sz w:val="13"/>
                  <w:szCs w:val="13"/>
                  <w:color w:val="0000FF"/>
                </w:rPr>
                <w:t>Consent of Deloitte &amp; Touche LLP</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180" w:type="dxa"/>
            <w:vAlign w:val="bottom"/>
          </w:tcPr>
          <w:p>
            <w:pPr>
              <w:ind w:left="20"/>
              <w:spacing w:after="0" w:line="147" w:lineRule="exact"/>
              <w:rPr>
                <w:sz w:val="20"/>
                <w:szCs w:val="20"/>
                <w:color w:val="auto"/>
              </w:rPr>
            </w:pPr>
            <w:r>
              <w:rPr>
                <w:rFonts w:ascii="Arial" w:cs="Arial" w:eastAsia="Arial" w:hAnsi="Arial"/>
                <w:sz w:val="13"/>
                <w:szCs w:val="13"/>
                <w:color w:val="auto"/>
              </w:rPr>
              <w:t>24.1*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Borders>
              <w:bottom w:val="single" w:sz="8" w:color="0000FF"/>
            </w:tcBorders>
            <w:gridSpan w:val="2"/>
          </w:tcPr>
          <w:p>
            <w:pPr>
              <w:spacing w:after="0" w:line="147" w:lineRule="exact"/>
              <w:rPr>
                <w:rFonts w:ascii="Arial" w:cs="Arial" w:eastAsia="Arial" w:hAnsi="Arial"/>
                <w:sz w:val="13"/>
                <w:szCs w:val="13"/>
                <w:color w:val="0000FF"/>
                <w:w w:val="91"/>
              </w:rPr>
            </w:pPr>
            <w:hyperlink w:anchor="page41">
              <w:r>
                <w:rPr>
                  <w:rFonts w:ascii="Arial" w:cs="Arial" w:eastAsia="Arial" w:hAnsi="Arial"/>
                  <w:sz w:val="13"/>
                  <w:szCs w:val="13"/>
                  <w:color w:val="0000FF"/>
                  <w:w w:val="91"/>
                </w:rPr>
                <w:t>Power of Attorney (included on first signature page)</w:t>
              </w:r>
            </w:hyperlink>
          </w:p>
        </w:tc>
        <w:tc>
          <w:tcPr>
            <w:tcW w:w="70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tcPr>
          <w:p>
            <w:pPr>
              <w:ind w:left="20"/>
              <w:spacing w:after="0" w:line="147" w:lineRule="exact"/>
              <w:rPr>
                <w:sz w:val="20"/>
                <w:szCs w:val="20"/>
                <w:color w:val="auto"/>
              </w:rPr>
            </w:pPr>
            <w:r>
              <w:rPr>
                <w:rFonts w:ascii="Arial" w:cs="Arial" w:eastAsia="Arial" w:hAnsi="Arial"/>
                <w:sz w:val="13"/>
                <w:szCs w:val="13"/>
                <w:color w:val="auto"/>
              </w:rPr>
              <w:t>31.1*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40" w:type="dxa"/>
            <w:vAlign w:val="bottom"/>
            <w:tcBorders>
              <w:bottom w:val="single" w:sz="8" w:color="0000FF"/>
            </w:tcBorders>
            <w:gridSpan w:val="4"/>
          </w:tcPr>
          <w:p>
            <w:pPr>
              <w:spacing w:after="0" w:line="147" w:lineRule="exact"/>
              <w:rPr>
                <w:rFonts w:ascii="Arial" w:cs="Arial" w:eastAsia="Arial" w:hAnsi="Arial"/>
                <w:sz w:val="13"/>
                <w:szCs w:val="13"/>
                <w:color w:val="0000FF"/>
                <w:w w:val="92"/>
              </w:rPr>
            </w:pPr>
            <w:hyperlink w:anchor="page75">
              <w:r>
                <w:rPr>
                  <w:rFonts w:ascii="Arial" w:cs="Arial" w:eastAsia="Arial" w:hAnsi="Arial"/>
                  <w:sz w:val="13"/>
                  <w:szCs w:val="13"/>
                  <w:color w:val="0000FF"/>
                  <w:w w:val="92"/>
                </w:rPr>
                <w:t>Certification of the Chief Executive Officer of Westwood required by Section 302 of the Sarbanes-Oxley Act of 2002</w:t>
              </w:r>
            </w:hyperlink>
          </w:p>
        </w:tc>
        <w:tc>
          <w:tcPr>
            <w:tcW w:w="36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tcPr>
          <w:p>
            <w:pPr>
              <w:ind w:left="20"/>
              <w:spacing w:after="0" w:line="147" w:lineRule="exact"/>
              <w:rPr>
                <w:sz w:val="20"/>
                <w:szCs w:val="20"/>
                <w:color w:val="auto"/>
              </w:rPr>
            </w:pPr>
            <w:r>
              <w:rPr>
                <w:rFonts w:ascii="Arial" w:cs="Arial" w:eastAsia="Arial" w:hAnsi="Arial"/>
                <w:sz w:val="13"/>
                <w:szCs w:val="13"/>
                <w:color w:val="auto"/>
              </w:rPr>
              <w:t>31.2*</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00" w:type="dxa"/>
            <w:vAlign w:val="bottom"/>
            <w:tcBorders>
              <w:bottom w:val="single" w:sz="8" w:color="0000FF"/>
            </w:tcBorders>
            <w:gridSpan w:val="3"/>
          </w:tcPr>
          <w:p>
            <w:pPr>
              <w:spacing w:after="0" w:line="147" w:lineRule="exact"/>
              <w:rPr>
                <w:rFonts w:ascii="Arial" w:cs="Arial" w:eastAsia="Arial" w:hAnsi="Arial"/>
                <w:sz w:val="13"/>
                <w:szCs w:val="13"/>
                <w:color w:val="0000FF"/>
                <w:w w:val="92"/>
              </w:rPr>
            </w:pPr>
            <w:hyperlink w:anchor="page76">
              <w:r>
                <w:rPr>
                  <w:rFonts w:ascii="Arial" w:cs="Arial" w:eastAsia="Arial" w:hAnsi="Arial"/>
                  <w:sz w:val="13"/>
                  <w:szCs w:val="13"/>
                  <w:color w:val="0000FF"/>
                  <w:w w:val="92"/>
                </w:rPr>
                <w:t>Certification of the Chief Financial Officer of Westwood required by Section 302 of the Sarbanes-Oxley Act of 2002</w:t>
              </w:r>
            </w:hyperlink>
          </w:p>
        </w:tc>
        <w:tc>
          <w:tcPr>
            <w:tcW w:w="36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tcPr>
          <w:p>
            <w:pPr>
              <w:ind w:left="20"/>
              <w:spacing w:after="0" w:line="147" w:lineRule="exact"/>
              <w:rPr>
                <w:sz w:val="20"/>
                <w:szCs w:val="20"/>
                <w:color w:val="auto"/>
              </w:rPr>
            </w:pPr>
            <w:r>
              <w:rPr>
                <w:rFonts w:ascii="Arial" w:cs="Arial" w:eastAsia="Arial" w:hAnsi="Arial"/>
                <w:sz w:val="13"/>
                <w:szCs w:val="13"/>
                <w:color w:val="auto"/>
              </w:rPr>
              <w:t>32.1#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760" w:type="dxa"/>
            <w:vAlign w:val="bottom"/>
            <w:tcBorders>
              <w:bottom w:val="single" w:sz="8" w:color="0000FF"/>
            </w:tcBorders>
            <w:gridSpan w:val="6"/>
          </w:tcPr>
          <w:p>
            <w:pPr>
              <w:spacing w:after="0" w:line="147" w:lineRule="exact"/>
              <w:rPr>
                <w:rFonts w:ascii="Arial" w:cs="Arial" w:eastAsia="Arial" w:hAnsi="Arial"/>
                <w:sz w:val="13"/>
                <w:szCs w:val="13"/>
                <w:color w:val="0000FF"/>
                <w:w w:val="91"/>
              </w:rPr>
            </w:pPr>
            <w:hyperlink w:anchor="page77">
              <w:r>
                <w:rPr>
                  <w:rFonts w:ascii="Arial" w:cs="Arial" w:eastAsia="Arial" w:hAnsi="Arial"/>
                  <w:sz w:val="13"/>
                  <w:szCs w:val="13"/>
                  <w:color w:val="0000FF"/>
                  <w:w w:val="91"/>
                </w:rPr>
                <w:t>Certification of Chief Executive Officer Pursuant to 18 U.S.C. Section 1350, as Adopted Pursuant to Section 906 of the Sarbanes-Oxley Act of 2002</w:t>
              </w:r>
            </w:hyperlink>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tcPr>
          <w:p>
            <w:pPr>
              <w:ind w:left="20"/>
              <w:spacing w:after="0" w:line="147" w:lineRule="exact"/>
              <w:rPr>
                <w:sz w:val="20"/>
                <w:szCs w:val="20"/>
                <w:color w:val="auto"/>
              </w:rPr>
            </w:pPr>
            <w:r>
              <w:rPr>
                <w:rFonts w:ascii="Arial" w:cs="Arial" w:eastAsia="Arial" w:hAnsi="Arial"/>
                <w:sz w:val="13"/>
                <w:szCs w:val="13"/>
                <w:color w:val="auto"/>
              </w:rPr>
              <w:t>32.2#</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gridSpan w:val="7"/>
          </w:tcPr>
          <w:p>
            <w:pPr>
              <w:spacing w:after="0" w:line="147" w:lineRule="exact"/>
              <w:rPr>
                <w:rFonts w:ascii="Arial" w:cs="Arial" w:eastAsia="Arial" w:hAnsi="Arial"/>
                <w:sz w:val="13"/>
                <w:szCs w:val="13"/>
                <w:color w:val="0000FF"/>
              </w:rPr>
            </w:pPr>
            <w:hyperlink w:anchor="page78">
              <w:r>
                <w:rPr>
                  <w:rFonts w:ascii="Arial" w:cs="Arial" w:eastAsia="Arial" w:hAnsi="Arial"/>
                  <w:sz w:val="13"/>
                  <w:szCs w:val="13"/>
                  <w:color w:val="0000FF"/>
                </w:rPr>
                <w:t>Certification of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20" w:type="dxa"/>
            <w:vAlign w:val="bottom"/>
            <w:gridSpan w:val="5"/>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60" w:type="dxa"/>
            <w:vAlign w:val="bottom"/>
            <w:gridSpan w:val="7"/>
          </w:tcPr>
          <w:p>
            <w:pPr>
              <w:spacing w:after="0" w:line="138" w:lineRule="exact"/>
              <w:rPr>
                <w:sz w:val="20"/>
                <w:szCs w:val="20"/>
                <w:color w:val="auto"/>
              </w:rPr>
            </w:pPr>
            <w:r>
              <w:rPr>
                <w:rFonts w:ascii="Arial" w:cs="Arial" w:eastAsia="Arial" w:hAnsi="Arial"/>
                <w:sz w:val="13"/>
                <w:szCs w:val="13"/>
                <w:color w:val="auto"/>
                <w:w w:val="92"/>
              </w:rPr>
              <w:t>The following financial information from Westwood Holdings Group, Inc.'s Annual Report on Form 10-K for the year ended December 31, 2021, formatted in Inline eXtensible Business</w:t>
            </w:r>
          </w:p>
        </w:tc>
        <w:tc>
          <w:tcPr>
            <w:tcW w:w="0" w:type="dxa"/>
            <w:vAlign w:val="bottom"/>
          </w:tcPr>
          <w:p>
            <w:pPr>
              <w:spacing w:after="0"/>
              <w:rPr>
                <w:sz w:val="1"/>
                <w:szCs w:val="1"/>
                <w:color w:val="auto"/>
              </w:rPr>
            </w:pPr>
          </w:p>
        </w:tc>
      </w:tr>
      <w:tr>
        <w:trPr>
          <w:trHeight w:val="127"/>
        </w:trPr>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101*</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60" w:type="dxa"/>
            <w:vAlign w:val="bottom"/>
            <w:gridSpan w:val="7"/>
          </w:tcPr>
          <w:p>
            <w:pPr>
              <w:spacing w:after="0" w:line="128" w:lineRule="exact"/>
              <w:rPr>
                <w:sz w:val="20"/>
                <w:szCs w:val="20"/>
                <w:color w:val="auto"/>
              </w:rPr>
            </w:pPr>
            <w:r>
              <w:rPr>
                <w:rFonts w:ascii="Arial" w:cs="Arial" w:eastAsia="Arial" w:hAnsi="Arial"/>
                <w:sz w:val="13"/>
                <w:szCs w:val="13"/>
                <w:color w:val="auto"/>
                <w:w w:val="92"/>
              </w:rPr>
              <w:t>Reporting Language (iXBRL): (i) Consolidated Balance Sheets as of December 31, 2021 and 2020; (ii) Consolidated Statements of Comprehensive Income (Loss) for the years ended</w:t>
            </w:r>
          </w:p>
        </w:tc>
        <w:tc>
          <w:tcPr>
            <w:tcW w:w="0" w:type="dxa"/>
            <w:vAlign w:val="bottom"/>
          </w:tcPr>
          <w:p>
            <w:pPr>
              <w:spacing w:after="0"/>
              <w:rPr>
                <w:sz w:val="1"/>
                <w:szCs w:val="1"/>
                <w:color w:val="auto"/>
              </w:rPr>
            </w:pPr>
          </w:p>
        </w:tc>
      </w:tr>
      <w:tr>
        <w:trPr>
          <w:trHeight w:val="96"/>
        </w:trPr>
        <w:tc>
          <w:tcPr>
            <w:tcW w:w="11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760" w:type="dxa"/>
            <w:vAlign w:val="bottom"/>
            <w:gridSpan w:val="7"/>
            <w:vMerge w:val="restart"/>
          </w:tcPr>
          <w:p>
            <w:pPr>
              <w:spacing w:after="0" w:line="128" w:lineRule="exact"/>
              <w:rPr>
                <w:sz w:val="20"/>
                <w:szCs w:val="20"/>
                <w:color w:val="auto"/>
              </w:rPr>
            </w:pPr>
            <w:r>
              <w:rPr>
                <w:rFonts w:ascii="Arial" w:cs="Arial" w:eastAsia="Arial" w:hAnsi="Arial"/>
                <w:sz w:val="13"/>
                <w:szCs w:val="13"/>
                <w:color w:val="auto"/>
                <w:w w:val="92"/>
              </w:rPr>
              <w:t>December 31, 2021, 2020 and 20198; (iii) Consolidated Statements of Stockholders' Equity for the years ended December 31, 2021, 2020 and 20198; (iv) Consolidated Statements of</w:t>
            </w:r>
          </w:p>
        </w:tc>
        <w:tc>
          <w:tcPr>
            <w:tcW w:w="0" w:type="dxa"/>
            <w:vAlign w:val="bottom"/>
          </w:tcPr>
          <w:p>
            <w:pPr>
              <w:spacing w:after="0"/>
              <w:rPr>
                <w:sz w:val="1"/>
                <w:szCs w:val="1"/>
                <w:color w:val="auto"/>
              </w:rPr>
            </w:pPr>
          </w:p>
        </w:tc>
      </w:tr>
      <w:tr>
        <w:trPr>
          <w:trHeight w:val="32"/>
        </w:trPr>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7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7"/>
          </w:tcPr>
          <w:p>
            <w:pPr>
              <w:spacing w:after="0"/>
              <w:rPr>
                <w:sz w:val="20"/>
                <w:szCs w:val="20"/>
                <w:color w:val="auto"/>
              </w:rPr>
            </w:pPr>
            <w:r>
              <w:rPr>
                <w:rFonts w:ascii="Arial" w:cs="Arial" w:eastAsia="Arial" w:hAnsi="Arial"/>
                <w:sz w:val="13"/>
                <w:szCs w:val="13"/>
                <w:color w:val="auto"/>
              </w:rPr>
              <w:t>Cash Flows for the years ended December 31, 2021, 2020 and 2019; and (v) Notes to the Consolidated Financial Statements.</w:t>
            </w:r>
          </w:p>
        </w:tc>
        <w:tc>
          <w:tcPr>
            <w:tcW w:w="0" w:type="dxa"/>
            <w:vAlign w:val="bottom"/>
          </w:tcPr>
          <w:p>
            <w:pPr>
              <w:spacing w:after="0"/>
              <w:rPr>
                <w:sz w:val="1"/>
                <w:szCs w:val="1"/>
                <w:color w:val="auto"/>
              </w:rPr>
            </w:pPr>
          </w:p>
        </w:tc>
      </w:tr>
      <w:tr>
        <w:trPr>
          <w:trHeight w:val="167"/>
        </w:trPr>
        <w:tc>
          <w:tcPr>
            <w:tcW w:w="1180" w:type="dxa"/>
            <w:vAlign w:val="bottom"/>
          </w:tcPr>
          <w:p>
            <w:pPr>
              <w:ind w:left="20"/>
              <w:spacing w:after="0"/>
              <w:rPr>
                <w:sz w:val="20"/>
                <w:szCs w:val="20"/>
                <w:color w:val="auto"/>
              </w:rPr>
            </w:pPr>
            <w:r>
              <w:rPr>
                <w:rFonts w:ascii="Arial" w:cs="Arial" w:eastAsia="Arial" w:hAnsi="Arial"/>
                <w:sz w:val="13"/>
                <w:szCs w:val="13"/>
                <w:color w:val="auto"/>
              </w:rPr>
              <w:t>104*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7"/>
          </w:tcPr>
          <w:p>
            <w:pPr>
              <w:spacing w:after="0"/>
              <w:rPr>
                <w:sz w:val="20"/>
                <w:szCs w:val="20"/>
                <w:color w:val="auto"/>
              </w:rPr>
            </w:pPr>
            <w:r>
              <w:rPr>
                <w:rFonts w:ascii="Arial" w:cs="Arial" w:eastAsia="Arial" w:hAnsi="Arial"/>
                <w:sz w:val="13"/>
                <w:szCs w:val="13"/>
                <w:color w:val="auto"/>
              </w:rPr>
              <w:t>Cover Page Interactive Data File (formatted as iXBRL and contained in Exhibit 101)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tabs>
          <w:tab w:leader="none" w:pos="3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Filed herewith.</w:t>
      </w:r>
    </w:p>
    <w:p>
      <w:pPr>
        <w:spacing w:after="0" w:line="86" w:lineRule="exact"/>
        <w:rPr>
          <w:sz w:val="20"/>
          <w:szCs w:val="20"/>
          <w:color w:val="auto"/>
        </w:rPr>
      </w:pPr>
    </w:p>
    <w:p>
      <w:pPr>
        <w:ind w:left="120"/>
        <w:spacing w:after="0"/>
        <w:tabs>
          <w:tab w:leader="none" w:pos="3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Indicates management contract or compensation plan, contract or arrangement.</w:t>
      </w:r>
    </w:p>
    <w:p>
      <w:pPr>
        <w:spacing w:after="0" w:line="86" w:lineRule="exact"/>
        <w:rPr>
          <w:sz w:val="20"/>
          <w:szCs w:val="20"/>
          <w:color w:val="auto"/>
        </w:rPr>
      </w:pPr>
    </w:p>
    <w:p>
      <w:pPr>
        <w:ind w:left="5580" w:right="4980" w:hanging="5464"/>
        <w:spacing w:after="0" w:line="1017" w:lineRule="auto"/>
        <w:tabs>
          <w:tab w:leader="none" w:pos="313" w:val="left"/>
        </w:tabs>
        <w:numPr>
          <w:ilvl w:val="0"/>
          <w:numId w:val="25"/>
        </w:numPr>
        <w:rPr>
          <w:rFonts w:ascii="Arial" w:cs="Arial" w:eastAsia="Arial" w:hAnsi="Arial"/>
          <w:sz w:val="12"/>
          <w:szCs w:val="12"/>
          <w:color w:val="auto"/>
        </w:rPr>
      </w:pPr>
      <w:r>
        <w:rPr>
          <w:rFonts w:ascii="Arial" w:cs="Arial" w:eastAsia="Arial" w:hAnsi="Arial"/>
          <w:sz w:val="12"/>
          <w:szCs w:val="12"/>
          <w:color w:val="auto"/>
        </w:rPr>
        <w:t>Pursuant to Item 601(b)(32) of SEC Regulation S-K, these exhibits are furnished rather than filed with this Report. 31</w:t>
      </w:r>
    </w:p>
    <w:p>
      <w:pPr>
        <w:sectPr>
          <w:pgSz w:w="11900" w:h="16838" w:orient="portrait"/>
          <w:cols w:equalWidth="0" w:num="1">
            <w:col w:w="11280"/>
          </w:cols>
          <w:pgMar w:left="300" w:top="701" w:right="319" w:bottom="1440" w:gutter="0" w:footer="0" w:header="0"/>
        </w:sectPr>
      </w:pPr>
    </w:p>
    <w:bookmarkStart w:id="73" w:name="page74"/>
    <w:bookmarkEnd w:id="73"/>
    <w:p>
      <w:pPr>
        <w:jc w:val="right"/>
        <w:spacing w:after="0"/>
        <w:rPr>
          <w:sz w:val="20"/>
          <w:szCs w:val="20"/>
          <w:color w:val="auto"/>
        </w:rPr>
      </w:pPr>
      <w:r>
        <w:rPr>
          <w:rFonts w:ascii="Arial" w:cs="Arial" w:eastAsia="Arial" w:hAnsi="Arial"/>
          <w:sz w:val="13"/>
          <w:szCs w:val="13"/>
          <w:b w:val="1"/>
          <w:bCs w:val="1"/>
          <w:color w:val="auto"/>
        </w:rPr>
        <w:t>Exhibit 23.1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We consent to the incorporation by reference in Registration Statement Nos. 333-238965, 333-232595, 333-228335, 333-224886, 333-218080, 333-203728, 333-188002, 333-175696, 333-160377, 333-133963, 333-98841, and 333-258305 on Form S-8 of our reports dated March 4, 2022, relating to the financial statements of Westwood Holdings Group, Inc, appearing in the Annual Report on Form 10-K for the year ended December 31, 2021.</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March 4, 2022</w:t>
      </w:r>
    </w:p>
    <w:p>
      <w:pPr>
        <w:sectPr>
          <w:pgSz w:w="11900" w:h="16838" w:orient="portrait"/>
          <w:cols w:equalWidth="0" w:num="1">
            <w:col w:w="11280"/>
          </w:cols>
          <w:pgMar w:left="300" w:top="127"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b w:val="1"/>
          <w:bCs w:val="1"/>
          <w:color w:val="auto"/>
        </w:rPr>
        <w:t>Exhibit 31.1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EXCHANGE ACT RULES 13A-14 AND 15D-14</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I, Brian O. Casey, certify that:</w:t>
      </w:r>
    </w:p>
    <w:p>
      <w:pPr>
        <w:spacing w:after="0" w:line="184" w:lineRule="exact"/>
        <w:rPr>
          <w:sz w:val="20"/>
          <w:szCs w:val="20"/>
          <w:color w:val="auto"/>
        </w:rPr>
      </w:pPr>
    </w:p>
    <w:p>
      <w:pPr>
        <w:ind w:left="460" w:hanging="226"/>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Westwood Holdings Group, Inc.;</w:t>
      </w:r>
    </w:p>
    <w:p>
      <w:pPr>
        <w:spacing w:after="0" w:line="14" w:lineRule="exact"/>
        <w:rPr>
          <w:rFonts w:ascii="Arial" w:cs="Arial" w:eastAsia="Arial" w:hAnsi="Arial"/>
          <w:sz w:val="13"/>
          <w:szCs w:val="13"/>
          <w:color w:val="auto"/>
        </w:rPr>
      </w:pPr>
    </w:p>
    <w:p>
      <w:pPr>
        <w:ind w:left="460" w:right="80" w:hanging="226"/>
        <w:spacing w:after="0" w:line="251" w:lineRule="auto"/>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00" w:hanging="226"/>
        <w:spacing w:after="0" w:line="251" w:lineRule="auto"/>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60" w:right="100" w:hanging="226"/>
        <w:spacing w:after="0" w:line="251" w:lineRule="auto"/>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940" w:right="460" w:hanging="236"/>
        <w:spacing w:after="0" w:line="272" w:lineRule="auto"/>
        <w:tabs>
          <w:tab w:leader="none" w:pos="932"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40" w:right="120" w:hanging="236"/>
        <w:spacing w:after="0" w:line="272" w:lineRule="auto"/>
        <w:tabs>
          <w:tab w:leader="none" w:pos="940"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40" w:right="100" w:hanging="236"/>
        <w:spacing w:after="0" w:line="251" w:lineRule="auto"/>
        <w:tabs>
          <w:tab w:leader="none" w:pos="932" w:val="left"/>
        </w:tabs>
        <w:numPr>
          <w:ilvl w:val="1"/>
          <w:numId w:val="2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40" w:right="160" w:hanging="236"/>
        <w:spacing w:after="0" w:line="251" w:lineRule="auto"/>
        <w:tabs>
          <w:tab w:leader="none" w:pos="94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460" w:right="300" w:hanging="226"/>
        <w:spacing w:after="0" w:line="251" w:lineRule="auto"/>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940" w:right="240" w:hanging="236"/>
        <w:spacing w:after="0" w:line="251" w:lineRule="auto"/>
        <w:tabs>
          <w:tab w:leader="none" w:pos="932" w:val="left"/>
        </w:tabs>
        <w:numPr>
          <w:ilvl w:val="1"/>
          <w:numId w:val="2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236"/>
        <w:spacing w:after="0"/>
        <w:tabs>
          <w:tab w:leader="none" w:pos="94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Dated: March 4, 2022</w:t>
      </w:r>
    </w:p>
    <w:p>
      <w:pPr>
        <w:spacing w:after="0" w:line="3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wp:posOffset>
            </wp:positionV>
            <wp:extent cx="355981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559810" cy="6350"/>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Brian O. Casey</w:t>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President &amp; Chief Executive Officer</w:t>
      </w:r>
    </w:p>
    <w:p>
      <w:pPr>
        <w:sectPr>
          <w:pgSz w:w="11900" w:h="16838" w:orient="portrait"/>
          <w:cols w:equalWidth="0" w:num="1">
            <w:col w:w="11280"/>
          </w:cols>
          <w:pgMar w:left="300" w:top="127" w:right="319" w:bottom="1440" w:gutter="0" w:footer="0" w:header="0"/>
        </w:sectPr>
      </w:pPr>
    </w:p>
    <w:bookmarkStart w:id="75" w:name="page76"/>
    <w:bookmarkEnd w:id="75"/>
    <w:p>
      <w:pPr>
        <w:jc w:val="right"/>
        <w:spacing w:after="0"/>
        <w:rPr>
          <w:sz w:val="20"/>
          <w:szCs w:val="20"/>
          <w:color w:val="auto"/>
        </w:rPr>
      </w:pPr>
      <w:r>
        <w:rPr>
          <w:rFonts w:ascii="Arial" w:cs="Arial" w:eastAsia="Arial" w:hAnsi="Arial"/>
          <w:sz w:val="13"/>
          <w:szCs w:val="13"/>
          <w:b w:val="1"/>
          <w:bCs w:val="1"/>
          <w:color w:val="auto"/>
        </w:rPr>
        <w:t>Exhibit 31.2</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EXCHANGE ACT RULES 13A-14 AND 15D-14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I, Murray Forbes III, certify that:</w:t>
      </w:r>
    </w:p>
    <w:p>
      <w:pPr>
        <w:spacing w:after="0" w:line="262" w:lineRule="exact"/>
        <w:rPr>
          <w:sz w:val="20"/>
          <w:szCs w:val="20"/>
          <w:color w:val="auto"/>
        </w:rPr>
      </w:pPr>
    </w:p>
    <w:p>
      <w:pPr>
        <w:ind w:left="460" w:hanging="226"/>
        <w:spacing w:after="0"/>
        <w:tabs>
          <w:tab w:leader="none" w:pos="4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Westwood Holdings Group, Inc.;</w:t>
      </w:r>
    </w:p>
    <w:p>
      <w:pPr>
        <w:spacing w:after="0" w:line="46" w:lineRule="exact"/>
        <w:rPr>
          <w:rFonts w:ascii="Arial" w:cs="Arial" w:eastAsia="Arial" w:hAnsi="Arial"/>
          <w:sz w:val="13"/>
          <w:szCs w:val="13"/>
          <w:color w:val="auto"/>
        </w:rPr>
      </w:pPr>
    </w:p>
    <w:p>
      <w:pPr>
        <w:ind w:left="460" w:right="80" w:hanging="226"/>
        <w:spacing w:after="0" w:line="275" w:lineRule="auto"/>
        <w:tabs>
          <w:tab w:leader="none" w:pos="4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3"/>
          <w:szCs w:val="13"/>
          <w:color w:val="auto"/>
        </w:rPr>
      </w:pPr>
    </w:p>
    <w:p>
      <w:pPr>
        <w:ind w:left="460" w:right="100" w:hanging="226"/>
        <w:spacing w:after="0" w:line="275" w:lineRule="auto"/>
        <w:tabs>
          <w:tab w:leader="none" w:pos="4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3"/>
          <w:szCs w:val="13"/>
          <w:color w:val="auto"/>
        </w:rPr>
      </w:pPr>
    </w:p>
    <w:p>
      <w:pPr>
        <w:ind w:left="460" w:right="100" w:hanging="226"/>
        <w:spacing w:after="0" w:line="275" w:lineRule="auto"/>
        <w:tabs>
          <w:tab w:leader="none" w:pos="4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 w:lineRule="exact"/>
        <w:rPr>
          <w:rFonts w:ascii="Arial" w:cs="Arial" w:eastAsia="Arial" w:hAnsi="Arial"/>
          <w:sz w:val="13"/>
          <w:szCs w:val="13"/>
          <w:color w:val="auto"/>
        </w:rPr>
      </w:pPr>
    </w:p>
    <w:p>
      <w:pPr>
        <w:ind w:left="940" w:right="460" w:hanging="236"/>
        <w:spacing w:after="0" w:line="306" w:lineRule="auto"/>
        <w:tabs>
          <w:tab w:leader="none" w:pos="932"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40" w:right="120" w:hanging="236"/>
        <w:spacing w:after="0" w:line="306" w:lineRule="auto"/>
        <w:tabs>
          <w:tab w:leader="none" w:pos="940"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40" w:right="100" w:hanging="236"/>
        <w:spacing w:after="0" w:line="275" w:lineRule="auto"/>
        <w:tabs>
          <w:tab w:leader="none" w:pos="932" w:val="left"/>
        </w:tabs>
        <w:numPr>
          <w:ilvl w:val="1"/>
          <w:numId w:val="2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3"/>
          <w:szCs w:val="13"/>
          <w:color w:val="auto"/>
        </w:rPr>
      </w:pPr>
    </w:p>
    <w:p>
      <w:pPr>
        <w:ind w:left="940" w:right="160" w:hanging="236"/>
        <w:spacing w:after="0" w:line="275" w:lineRule="auto"/>
        <w:tabs>
          <w:tab w:leader="none" w:pos="94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Arial" w:cs="Arial" w:eastAsia="Arial" w:hAnsi="Arial"/>
          <w:sz w:val="13"/>
          <w:szCs w:val="13"/>
          <w:color w:val="auto"/>
        </w:rPr>
      </w:pPr>
    </w:p>
    <w:p>
      <w:pPr>
        <w:ind w:left="460" w:right="300" w:hanging="226"/>
        <w:spacing w:after="0" w:line="275" w:lineRule="auto"/>
        <w:tabs>
          <w:tab w:leader="none" w:pos="4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Arial" w:cs="Arial" w:eastAsia="Arial" w:hAnsi="Arial"/>
          <w:sz w:val="13"/>
          <w:szCs w:val="13"/>
          <w:color w:val="auto"/>
        </w:rPr>
      </w:pPr>
    </w:p>
    <w:p>
      <w:pPr>
        <w:ind w:left="940" w:right="240" w:hanging="236"/>
        <w:spacing w:after="0" w:line="275" w:lineRule="auto"/>
        <w:tabs>
          <w:tab w:leader="none" w:pos="932" w:val="left"/>
        </w:tabs>
        <w:numPr>
          <w:ilvl w:val="1"/>
          <w:numId w:val="2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3"/>
          <w:szCs w:val="13"/>
          <w:color w:val="auto"/>
        </w:rPr>
      </w:pPr>
    </w:p>
    <w:p>
      <w:pPr>
        <w:ind w:left="940" w:hanging="236"/>
        <w:spacing w:after="0"/>
        <w:tabs>
          <w:tab w:leader="none" w:pos="94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Dated: March 4, 2022</w:t>
      </w:r>
    </w:p>
    <w:p>
      <w:pPr>
        <w:spacing w:after="0" w:line="76"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wp:posOffset>
            </wp:positionV>
            <wp:extent cx="355981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3559810" cy="6350"/>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Murray Forbes III</w:t>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280"/>
          </w:cols>
          <w:pgMar w:left="300" w:top="127" w:right="319" w:bottom="1440" w:gutter="0" w:footer="0" w:header="0"/>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auto"/>
        </w:rPr>
        <w:t>Exhibit 32.1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00" w:lineRule="exact"/>
        <w:rPr>
          <w:sz w:val="20"/>
          <w:szCs w:val="20"/>
          <w:color w:val="auto"/>
        </w:rPr>
      </w:pPr>
    </w:p>
    <w:p>
      <w:pPr>
        <w:spacing w:after="0" w:line="231" w:lineRule="exact"/>
        <w:rPr>
          <w:sz w:val="20"/>
          <w:szCs w:val="20"/>
          <w:color w:val="auto"/>
        </w:rPr>
      </w:pPr>
    </w:p>
    <w:p>
      <w:pPr>
        <w:ind w:right="80"/>
        <w:spacing w:after="0" w:line="263" w:lineRule="auto"/>
        <w:rPr>
          <w:sz w:val="20"/>
          <w:szCs w:val="20"/>
          <w:color w:val="auto"/>
        </w:rPr>
      </w:pPr>
      <w:r>
        <w:rPr>
          <w:rFonts w:ascii="Arial" w:cs="Arial" w:eastAsia="Arial" w:hAnsi="Arial"/>
          <w:sz w:val="13"/>
          <w:szCs w:val="13"/>
          <w:color w:val="auto"/>
        </w:rPr>
        <w:t>In connection with the Annual Report of Westwood Holdings Group, Inc. (the “Company”) on Form 10-K for the year ended December 31, 2021,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40" w:hanging="271"/>
        <w:spacing w:after="0"/>
        <w:tabs>
          <w:tab w:leader="none" w:pos="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(15 U.S.C.78m or 78o(d)); and</w:t>
      </w:r>
    </w:p>
    <w:p>
      <w:pPr>
        <w:spacing w:after="0" w:line="85" w:lineRule="exact"/>
        <w:rPr>
          <w:rFonts w:ascii="Arial" w:cs="Arial" w:eastAsia="Arial" w:hAnsi="Arial"/>
          <w:sz w:val="13"/>
          <w:szCs w:val="13"/>
          <w:color w:val="auto"/>
        </w:rPr>
      </w:pPr>
    </w:p>
    <w:p>
      <w:pPr>
        <w:ind w:left="740" w:hanging="271"/>
        <w:spacing w:after="0"/>
        <w:tabs>
          <w:tab w:leader="none" w:pos="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Dated: March 4, 2022</w:t>
      </w:r>
    </w:p>
    <w:p>
      <w:pPr>
        <w:spacing w:after="0" w:line="3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wp:posOffset>
            </wp:positionV>
            <wp:extent cx="355981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3559810" cy="6350"/>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Brian O. Casey</w:t>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President &amp; Chief Executive Officer</w:t>
      </w:r>
    </w:p>
    <w:p>
      <w:pPr>
        <w:spacing w:after="0" w:line="262" w:lineRule="exact"/>
        <w:rPr>
          <w:sz w:val="20"/>
          <w:szCs w:val="20"/>
          <w:color w:val="auto"/>
        </w:rPr>
      </w:pPr>
    </w:p>
    <w:p>
      <w:pPr>
        <w:ind w:right="160"/>
        <w:spacing w:after="0" w:line="263" w:lineRule="auto"/>
        <w:rPr>
          <w:sz w:val="20"/>
          <w:szCs w:val="20"/>
          <w:color w:val="auto"/>
        </w:rPr>
      </w:pPr>
      <w:r>
        <w:rPr>
          <w:rFonts w:ascii="Arial" w:cs="Arial" w:eastAsia="Arial" w:hAnsi="Arial"/>
          <w:sz w:val="13"/>
          <w:szCs w:val="13"/>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27" w:right="31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auto"/>
        </w:rPr>
        <w:t>Exhibit 32.2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55" w:lineRule="exact"/>
        <w:rPr>
          <w:sz w:val="20"/>
          <w:szCs w:val="20"/>
          <w:color w:val="auto"/>
        </w:rPr>
      </w:pPr>
    </w:p>
    <w:p>
      <w:pPr>
        <w:ind w:right="160"/>
        <w:spacing w:after="0" w:line="263" w:lineRule="auto"/>
        <w:rPr>
          <w:sz w:val="20"/>
          <w:szCs w:val="20"/>
          <w:color w:val="auto"/>
        </w:rPr>
      </w:pPr>
      <w:r>
        <w:rPr>
          <w:rFonts w:ascii="Arial" w:cs="Arial" w:eastAsia="Arial" w:hAnsi="Arial"/>
          <w:sz w:val="13"/>
          <w:szCs w:val="13"/>
          <w:color w:val="auto"/>
        </w:rPr>
        <w:t>In connection with the Annual Report of Westwood Holdings Group, Inc. (the “Company”) on Form 10-K for the year ended December 31, 2021,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40" w:hanging="271"/>
        <w:spacing w:after="0"/>
        <w:tabs>
          <w:tab w:leader="none" w:pos="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(15 U.S.C.78m or 78o(d)); and</w:t>
      </w:r>
    </w:p>
    <w:p>
      <w:pPr>
        <w:spacing w:after="0" w:line="85" w:lineRule="exact"/>
        <w:rPr>
          <w:rFonts w:ascii="Arial" w:cs="Arial" w:eastAsia="Arial" w:hAnsi="Arial"/>
          <w:sz w:val="13"/>
          <w:szCs w:val="13"/>
          <w:color w:val="auto"/>
        </w:rPr>
      </w:pPr>
    </w:p>
    <w:p>
      <w:pPr>
        <w:ind w:right="2940" w:firstLine="469"/>
        <w:spacing w:after="0" w:line="401" w:lineRule="auto"/>
        <w:tabs>
          <w:tab w:leader="none" w:pos="751"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Dated: March 4, 2022</w:t>
      </w:r>
    </w:p>
    <w:p>
      <w:pPr>
        <w:ind w:left="5660"/>
        <w:spacing w:after="0"/>
        <w:rPr>
          <w:sz w:val="20"/>
          <w:szCs w:val="20"/>
          <w:color w:val="auto"/>
        </w:rPr>
      </w:pPr>
      <w:r>
        <w:rPr>
          <w:rFonts w:ascii="Arial" w:cs="Arial" w:eastAsia="Arial" w:hAnsi="Arial"/>
          <w:sz w:val="13"/>
          <w:szCs w:val="13"/>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wp:posOffset>
            </wp:positionV>
            <wp:extent cx="355981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3559810" cy="6350"/>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Murray Forbes III</w:t>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3"/>
          <w:szCs w:val="13"/>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lowerRoman"/>
      <w:start w:val="2"/>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7"/>
    </w:lvl>
  </w:abstractNum>
  <w:abstractNum w:abstractNumId="22">
    <w:nsid w:val="B03E0C6"/>
    <w:multiLevelType w:val="hybridMultilevel"/>
    <w:lvl w:ilvl="0">
      <w:lvlJc w:val="left"/>
      <w:lvlText w:val="%1."/>
      <w:numFmt w:val="decimal"/>
      <w:start w:val="10"/>
    </w:lvl>
  </w:abstractNum>
  <w:abstractNum w:abstractNumId="23">
    <w:nsid w:val="189A769B"/>
    <w:multiLevelType w:val="hybridMultilevel"/>
    <w:lvl w:ilvl="0">
      <w:lvlJc w:val="left"/>
      <w:lvlText w:val="%1."/>
      <w:numFmt w:val="decimal"/>
      <w:start w:val="12"/>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1"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56"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15" Type="http://schemas.openxmlformats.org/officeDocument/2006/relationships/hyperlink" Target="http://www.sec.gov/Archives/edgar/data/1165002/000119312513084081/d444159dex21.htm" TargetMode="External"/><Relationship Id="rId116" Type="http://schemas.openxmlformats.org/officeDocument/2006/relationships/hyperlink" Target="http://www.sec.gov/Archives/edgar/data/1165002/000119312515012458/d853486dex21.htm" TargetMode="External"/><Relationship Id="rId117" Type="http://schemas.openxmlformats.org/officeDocument/2006/relationships/hyperlink" Target="http://www.sec.gov/Archives/edgar/data/1165002/000093066102001393/dex31.txt" TargetMode="External"/><Relationship Id="rId118" Type="http://schemas.openxmlformats.org/officeDocument/2006/relationships/hyperlink" Target="http://www.sec.gov/Archives/edgar/data/1165002/000115752308003859/a5679024ex3_1.txt" TargetMode="External"/><Relationship Id="rId119" Type="http://schemas.openxmlformats.org/officeDocument/2006/relationships/hyperlink" Target="http://www.sec.gov/Archives/edgar/data/1165002/000116500217000037/definitiveproxy2017.htm" TargetMode="External"/><Relationship Id="rId120" Type="http://schemas.openxmlformats.org/officeDocument/2006/relationships/hyperlink" Target="http://www.sec.gov/Archives/edgar/data/1165002/000116500219000029/proxy2019.htm" TargetMode="External"/><Relationship Id="rId121" Type="http://schemas.openxmlformats.org/officeDocument/2006/relationships/hyperlink" Target="http://www.sec.gov/Archives/edgar/data/1165002/000119312512182024/d339295dex31.htm" TargetMode="External"/><Relationship Id="rId122" Type="http://schemas.openxmlformats.org/officeDocument/2006/relationships/hyperlink" Target="http://www.sec.gov/Archives/edgar/data/1165002/000093066102001393/dex41.txt" TargetMode="External"/><Relationship Id="rId123" Type="http://schemas.openxmlformats.org/officeDocument/2006/relationships/hyperlink" Target="http://www.sec.gov/Archives/edgar/data/0001165002/000116500221000029/proxy2021.htm" TargetMode="External"/><Relationship Id="rId124" Type="http://schemas.openxmlformats.org/officeDocument/2006/relationships/hyperlink" Target="http://www.sec.gov/Archives/edgar/data/1165002/000093066102001944/dex103.txt" TargetMode="External"/><Relationship Id="rId125" Type="http://schemas.openxmlformats.org/officeDocument/2006/relationships/hyperlink" Target="http://www.sec.gov/Archives/edgar/data/1165002/000093066102000359/dex1010.txt" TargetMode="External"/><Relationship Id="rId126" Type="http://schemas.openxmlformats.org/officeDocument/2006/relationships/hyperlink" Target="http://www.sec.gov/Archives/edgar/data/1165002/000119312504031244/dex106.htm" TargetMode="External"/><Relationship Id="rId127" Type="http://schemas.openxmlformats.org/officeDocument/2006/relationships/hyperlink" Target="http://www.sec.gov/Archives/edgar/data/1165002/000119312504031244/dex107.htm" TargetMode="External"/><Relationship Id="rId128" Type="http://schemas.openxmlformats.org/officeDocument/2006/relationships/hyperlink" Target="http://www.sec.gov/Archives/edgar/data/1165002/000119312511047683/dex107.htm" TargetMode="External"/><Relationship Id="rId129" Type="http://schemas.openxmlformats.org/officeDocument/2006/relationships/hyperlink" Target="http://www.sec.gov/Archives/edgar/data/1165002/000119312513084081/d444159dex108.htm" TargetMode="External"/><Relationship Id="rId130" Type="http://schemas.openxmlformats.org/officeDocument/2006/relationships/hyperlink" Target="http://www.sec.gov/Archives/edgar/data/1165002/000116500216000034/exhibit1035.htm" TargetMode="External"/><Relationship Id="rId132" Type="http://schemas.openxmlformats.org/officeDocument/2006/relationships/hyperlink" Target="http://www.sec.gov/Archives/edgar/data/1165002/000116500216000034/exhibit1036.htm" TargetMode="External"/><Relationship Id="rId137" Type="http://schemas.openxmlformats.org/officeDocument/2006/relationships/hyperlink" Target="http://www.sec.gov/Archives/edgar/data/1165002/000116500216000034/exhibit1037.htm" TargetMode="External"/><Relationship Id="rId138" Type="http://schemas.openxmlformats.org/officeDocument/2006/relationships/hyperlink" Target="http://www.sec.gov/Archives/edgar/data/1165002/000116500218000064/exhibit10crescentamendment.htm" TargetMode="External"/><Relationship Id="rId139" Type="http://schemas.openxmlformats.org/officeDocument/2006/relationships/hyperlink" Target="http://www.sec.gov/Archives/edgar/data/1165002/000093066102000359/dex1012.txt" TargetMode="External"/><Relationship Id="rId140" Type="http://schemas.openxmlformats.org/officeDocument/2006/relationships/hyperlink" Target="http://www.sec.gov/Archives/edgar/data/1165002/000119312513084081/d444159dex1011.htm" TargetMode="External"/><Relationship Id="rId141" Type="http://schemas.openxmlformats.org/officeDocument/2006/relationships/hyperlink" Target="http://www.sec.gov/Archives/edgar/data/1165002/000119312504031244/dex1011.htm" TargetMode="External"/><Relationship Id="rId142" Type="http://schemas.openxmlformats.org/officeDocument/2006/relationships/hyperlink" Target="http://www.sec.gov/Archives/edgar/data/1165002/000119312504031244/dex1012.htm" TargetMode="External"/><Relationship Id="rId143" Type="http://schemas.openxmlformats.org/officeDocument/2006/relationships/hyperlink" Target="http://www.sec.gov/Archives/edgar/data/1165002/000119312504031244/dex1013.htm" TargetMode="External"/><Relationship Id="rId144" Type="http://schemas.openxmlformats.org/officeDocument/2006/relationships/hyperlink" Target="http://www.sec.gov/Archives/edgar/data/1165002/000116500215000026/bocemploymentagreementfinal.htm" TargetMode="External"/><Relationship Id="rId145" Type="http://schemas.openxmlformats.org/officeDocument/2006/relationships/hyperlink" Target="http://www.sec.gov/Archives/edgar/data/1165002/000116500216000041/perfornanceshareagreement.htm" TargetMode="External"/><Relationship Id="rId146" Type="http://schemas.openxmlformats.org/officeDocument/2006/relationships/hyperlink" Target="http://www.sec.gov/Archives/edgar/data/1165002/000116500216000041/performanceshareagreementc.htm" TargetMode="External"/><Relationship Id="rId147" Type="http://schemas.openxmlformats.org/officeDocument/2006/relationships/hyperlink" Target="http://www.sec.gov/Archives/edgar/data/1165002/000116500217000027/exhibit101.htm" TargetMode="External"/><Relationship Id="rId148" Type="http://schemas.openxmlformats.org/officeDocument/2006/relationships/hyperlink" Target="http://www.sec.gov/Archives/edgar/data/1165002/000116500216000074/executiveemploymentagreeme.htm" TargetMode="External"/><Relationship Id="rId149" Type="http://schemas.openxmlformats.org/officeDocument/2006/relationships/hyperlink" Target="http://www.sec.gov/Archives/edgar/data/1165002/000116500217000040/formofmutualfundaward.htm" TargetMode="External"/><Relationship Id="rId150" Type="http://schemas.openxmlformats.org/officeDocument/2006/relationships/hyperlink" Target="http://www.sec.gov/Archives/edgar/data/1165002/000116500217000033/formofperfornanceshareagre.htm" TargetMode="External"/><Relationship Id="rId151" Type="http://schemas.openxmlformats.org/officeDocument/2006/relationships/hyperlink" Target="http://www.sec.gov/Archives/edgar/data/1165002/000116500217000033/performanceshareagreementf.htm" TargetMode="External"/><Relationship Id="rId152" Type="http://schemas.openxmlformats.org/officeDocument/2006/relationships/hyperlink" Target="http://www.sec.gov/Archives/edgar/data/1165002/000119312513161059/d525354dex44.htm" TargetMode="External"/><Relationship Id="rId153" Type="http://schemas.openxmlformats.org/officeDocument/2006/relationships/hyperlink" Target="http://www.sec.gov/Archives/edgar/data/1165002/000116500215000006/exhibit101.htm" TargetMode="External"/><Relationship Id="rId154" Type="http://schemas.openxmlformats.org/officeDocument/2006/relationships/hyperlink" Target="http://www.sec.gov/Archives/edgar/data/1165002/000116500218000006/final8kexhibitcoo.htm" TargetMode="External"/><Relationship Id="rId155" Type="http://schemas.openxmlformats.org/officeDocument/2006/relationships/hyperlink" Target="http://www.sec.gov/Archives/edgar/data/1165002/000116500218000049/exhibit101cioexitletter.htm" TargetMode="External"/><Relationship Id="rId157" Type="http://schemas.openxmlformats.org/officeDocument/2006/relationships/hyperlink" Target="http://www.sec.gov/Archives/edgar/data/1165002/000116500218000067/cfoconfidentialityandnon-c.htm" TargetMode="External"/><Relationship Id="rId158" Type="http://schemas.openxmlformats.org/officeDocument/2006/relationships/hyperlink" Target="http://www.sec.gov/Archives/edgar/data/1165002/000119312513084081/d4441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2022-03-04T16:31:24Z</dcterms:created>
  <dcterms:modified xsi:type="dcterms:W3CDTF">2022-03-04T16:31:24Z</dcterms:modified>
</cp:coreProperties>
</file>