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4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14, 2024</w:t>
      </w:r>
    </w:p>
    <w:p>
      <w:pPr>
        <w:spacing w:after="0" w:line="2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pacing w:after="0" w:line="21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WESTWOOD HOLDINGS GROUP, INC.</w:t>
      </w:r>
    </w:p>
    <w:p>
      <w:pPr>
        <w:spacing w:after="0" w:line="4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ectPr>
          <w:pgSz w:w="11900" w:h="16838" w:orient="portrait"/>
          <w:cols w:equalWidth="0" w:num="1">
            <w:col w:w="11040"/>
          </w:cols>
          <w:pgMar w:left="320" w:top="1051" w:right="539" w:bottom="1440" w:gutter="0" w:footer="0" w:header="0"/>
        </w:sectPr>
      </w:pPr>
    </w:p>
    <w:p>
      <w:pPr>
        <w:spacing w:after="0" w:line="27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001-31234</w:t>
      </w:r>
    </w:p>
    <w:p>
      <w:pPr>
        <w:spacing w:after="0" w:line="2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75-2969997</w:t>
      </w:r>
    </w:p>
    <w:p>
      <w:pPr>
        <w:spacing w:after="0" w:line="2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4" w:lineRule="exact"/>
        <w:rPr>
          <w:sz w:val="24"/>
          <w:szCs w:val="24"/>
          <w:color w:val="auto"/>
        </w:rPr>
      </w:pPr>
    </w:p>
    <w:p>
      <w:pPr>
        <w:sectPr>
          <w:pgSz w:w="11900" w:h="16838" w:orient="portrait"/>
          <w:cols w:equalWidth="0" w:num="3">
            <w:col w:w="3880" w:space="720"/>
            <w:col w:w="2820" w:space="720"/>
            <w:col w:w="2900"/>
          </w:cols>
          <w:pgMar w:left="320" w:top="1051" w:right="5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34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200 Crescent Court, Suite 1200</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(214) 756-6900</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040"/>
          </w:cols>
          <w:pgMar w:left="320" w:top="1051" w:right="539" w:bottom="1440" w:gutter="0" w:footer="0" w:header="0"/>
          <w:type w:val="continuous"/>
        </w:sectPr>
      </w:pPr>
    </w:p>
    <w:p>
      <w:pPr>
        <w:spacing w:after="0" w:line="259" w:lineRule="exact"/>
        <w:rPr>
          <w:sz w:val="24"/>
          <w:szCs w:val="24"/>
          <w:color w:val="auto"/>
        </w:rPr>
      </w:pPr>
    </w:p>
    <w:p>
      <w:pPr>
        <w:ind w:right="300" w:firstLine="180"/>
        <w:spacing w:after="0" w:line="29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203" w:lineRule="exact"/>
        <w:rPr>
          <w:sz w:val="24"/>
          <w:szCs w:val="24"/>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5" w:lineRule="exact"/>
        <w:rPr>
          <w:rFonts w:ascii="Wingdings" w:cs="Wingdings" w:eastAsia="Wingdings" w:hAnsi="Wingdings"/>
          <w:sz w:val="18"/>
          <w:szCs w:val="18"/>
          <w:b w:val="1"/>
          <w:bCs w:val="1"/>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65" w:lineRule="exact"/>
        <w:rPr>
          <w:rFonts w:ascii="Wingdings" w:cs="Wingdings" w:eastAsia="Wingdings" w:hAnsi="Wingdings"/>
          <w:sz w:val="18"/>
          <w:szCs w:val="18"/>
          <w:b w:val="1"/>
          <w:bCs w:val="1"/>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9" w:lineRule="exact"/>
        <w:rPr>
          <w:rFonts w:ascii="Wingdings" w:cs="Wingdings" w:eastAsia="Wingdings" w:hAnsi="Wingdings"/>
          <w:sz w:val="18"/>
          <w:szCs w:val="18"/>
          <w:b w:val="1"/>
          <w:bCs w:val="1"/>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73" w:lineRule="exact"/>
        <w:rPr>
          <w:sz w:val="24"/>
          <w:szCs w:val="24"/>
          <w:color w:val="auto"/>
        </w:rPr>
      </w:pPr>
    </w:p>
    <w:tbl>
      <w:tblPr>
        <w:tblLayout w:type="fixed"/>
        <w:tblInd w:w="560" w:type="dxa"/>
        <w:tblCellMar>
          <w:top w:w="0" w:type="dxa"/>
          <w:left w:w="0" w:type="dxa"/>
          <w:bottom w:w="0" w:type="dxa"/>
          <w:right w:w="0" w:type="dxa"/>
        </w:tblCellMar>
      </w:tblPr>
      <w:tr>
        <w:trPr>
          <w:trHeight w:val="210"/>
        </w:trPr>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180" w:type="dxa"/>
            <w:vAlign w:val="bottom"/>
            <w:gridSpan w:val="5"/>
          </w:tcPr>
          <w:p>
            <w:pPr>
              <w:jc w:val="center"/>
              <w:ind w:right="315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209"/>
        </w:trPr>
        <w:tc>
          <w:tcPr>
            <w:tcW w:w="8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6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60" w:type="dxa"/>
            <w:vAlign w:val="bottom"/>
          </w:tcPr>
          <w:p>
            <w:pPr>
              <w:spacing w:after="0"/>
              <w:rPr>
                <w:sz w:val="21"/>
                <w:szCs w:val="21"/>
                <w:color w:val="auto"/>
              </w:rPr>
            </w:pPr>
          </w:p>
        </w:tc>
        <w:tc>
          <w:tcPr>
            <w:tcW w:w="19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WHG</w:t>
            </w:r>
          </w:p>
        </w:tc>
        <w:tc>
          <w:tcPr>
            <w:tcW w:w="6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33" w:lineRule="exact"/>
        <w:rPr>
          <w:sz w:val="24"/>
          <w:szCs w:val="24"/>
          <w:color w:val="auto"/>
        </w:rPr>
      </w:pPr>
    </w:p>
    <w:p>
      <w:pPr>
        <w:ind w:right="360"/>
        <w:spacing w:after="0" w:line="297" w:lineRule="auto"/>
        <w:rPr>
          <w:sz w:val="20"/>
          <w:szCs w:val="20"/>
          <w:color w:val="auto"/>
        </w:rPr>
      </w:pPr>
      <w:r>
        <w:rPr>
          <w:rFonts w:ascii="Times New Roman" w:cs="Times New Roman" w:eastAsia="Times New Roman" w:hAnsi="Times New Roman"/>
          <w:sz w:val="18"/>
          <w:szCs w:val="18"/>
          <w:color w:val="auto"/>
        </w:rPr>
        <w:t>Indicate by checkmark whether the registrant is an emerging growth company as defined in Rule 405 of the Securities Act of 1933 (§230.405 of this chapter) or Rule 12b-2 of the Securities Exchange Act of 1934 (§240.12b-2 of this chapter).</w:t>
      </w:r>
    </w:p>
    <w:p>
      <w:pPr>
        <w:spacing w:after="0" w:line="7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26" w:lineRule="exact"/>
        <w:rPr>
          <w:sz w:val="24"/>
          <w:szCs w:val="24"/>
          <w:color w:val="auto"/>
        </w:rPr>
      </w:pPr>
    </w:p>
    <w:p>
      <w:pPr>
        <w:spacing w:after="0" w:line="24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checkmark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51" w:right="5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2.02:</w:t>
      </w:r>
      <w:r>
        <w:rPr>
          <w:sz w:val="20"/>
          <w:szCs w:val="20"/>
          <w:color w:val="auto"/>
        </w:rPr>
        <w:tab/>
      </w:r>
      <w:r>
        <w:rPr>
          <w:rFonts w:ascii="Times New Roman" w:cs="Times New Roman" w:eastAsia="Times New Roman" w:hAnsi="Times New Roman"/>
          <w:sz w:val="19"/>
          <w:szCs w:val="19"/>
          <w:color w:val="auto"/>
        </w:rPr>
        <w:t>RESULTS OF OPERATIONS AND FINANCIAL CONDITION</w:t>
      </w:r>
    </w:p>
    <w:p>
      <w:pPr>
        <w:spacing w:after="0" w:line="256"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On February 14, 2024, Westwood Holdings Group, Inc. (“Westwood”) announced its financial results for the quarter ended December 31, 2023, a copy of which is furnished with this Current Report on Form 8-K as Exhibit 99.1.</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spacing w:after="0" w:line="6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7.01:</w:t>
      </w:r>
      <w:r>
        <w:rPr>
          <w:sz w:val="20"/>
          <w:szCs w:val="20"/>
          <w:color w:val="auto"/>
        </w:rPr>
        <w:tab/>
      </w:r>
      <w:r>
        <w:rPr>
          <w:rFonts w:ascii="Times New Roman" w:cs="Times New Roman" w:eastAsia="Times New Roman" w:hAnsi="Times New Roman"/>
          <w:sz w:val="19"/>
          <w:szCs w:val="19"/>
          <w:color w:val="auto"/>
        </w:rPr>
        <w:t>REGULATION FD DISCLOSURE</w:t>
      </w:r>
    </w:p>
    <w:p>
      <w:pPr>
        <w:spacing w:after="0" w:line="121"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Westwood announced today that its Board of Directors has approved the payment of a quarterly cash dividend of $0.15 per common share, payable on April 3, 2024 to stockholders of record on March 1, 2024.</w:t>
      </w:r>
    </w:p>
    <w:p>
      <w:pPr>
        <w:spacing w:after="0" w:line="20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9.01:</w:t>
      </w:r>
      <w:r>
        <w:rPr>
          <w:sz w:val="20"/>
          <w:szCs w:val="20"/>
          <w:color w:val="auto"/>
        </w:rPr>
        <w:tab/>
      </w:r>
      <w:r>
        <w:rPr>
          <w:rFonts w:ascii="Times New Roman" w:cs="Times New Roman" w:eastAsia="Times New Roman" w:hAnsi="Times New Roman"/>
          <w:sz w:val="19"/>
          <w:szCs w:val="19"/>
          <w:color w:val="auto"/>
        </w:rPr>
        <w:t>FINANCIAL STATEMENTS AND EXHIBITS</w:t>
      </w:r>
    </w:p>
    <w:p>
      <w:pPr>
        <w:spacing w:after="0" w:line="25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 The following exhibit is furnished with this report:</w:t>
      </w:r>
    </w:p>
    <w:p>
      <w:pPr>
        <w:spacing w:after="0" w:line="243" w:lineRule="exact"/>
        <w:rPr>
          <w:sz w:val="20"/>
          <w:szCs w:val="20"/>
          <w:color w:val="auto"/>
        </w:rPr>
      </w:pPr>
    </w:p>
    <w:p>
      <w:pPr>
        <w:spacing w:after="0"/>
        <w:tabs>
          <w:tab w:leader="none" w:pos="2260" w:val="left"/>
        </w:tabs>
        <w:rPr>
          <w:sz w:val="20"/>
          <w:szCs w:val="20"/>
          <w:color w:val="auto"/>
        </w:rPr>
      </w:pPr>
      <w:r>
        <w:rPr>
          <w:rFonts w:ascii="Times New Roman" w:cs="Times New Roman" w:eastAsia="Times New Roman" w:hAnsi="Times New Roman"/>
          <w:sz w:val="20"/>
          <w:szCs w:val="20"/>
          <w:color w:val="auto"/>
        </w:rPr>
        <w:t>Exhibit Number</w:t>
      </w:r>
      <w:r>
        <w:rPr>
          <w:sz w:val="20"/>
          <w:szCs w:val="20"/>
          <w:color w:val="auto"/>
        </w:rPr>
        <w:tab/>
      </w:r>
      <w:r>
        <w:rPr>
          <w:rFonts w:ascii="Times New Roman" w:cs="Times New Roman" w:eastAsia="Times New Roman" w:hAnsi="Times New Roman"/>
          <w:sz w:val="19"/>
          <w:szCs w:val="19"/>
          <w:color w:val="auto"/>
        </w:rPr>
        <w:t>Description</w:t>
      </w:r>
    </w:p>
    <w:p>
      <w:pPr>
        <w:spacing w:after="0" w:line="25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99.1</w:t>
      </w:r>
      <w:r>
        <w:rPr>
          <w:sz w:val="20"/>
          <w:szCs w:val="20"/>
          <w:color w:val="auto"/>
        </w:rPr>
        <w:tab/>
      </w:r>
      <w:r>
        <w:rPr>
          <w:rFonts w:ascii="Times New Roman" w:cs="Times New Roman" w:eastAsia="Times New Roman" w:hAnsi="Times New Roman"/>
          <w:sz w:val="19"/>
          <w:szCs w:val="19"/>
          <w:u w:val="single" w:color="auto"/>
          <w:color w:val="0000FF"/>
        </w:rPr>
        <w:t>Press Release Dated February 14, 2024</w:t>
      </w:r>
    </w:p>
    <w:p>
      <w:pPr>
        <w:spacing w:after="0" w:line="2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19"/>
          <w:szCs w:val="19"/>
          <w:color w:val="auto"/>
        </w:rPr>
        <w:t>Cover Page Interactive Date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1478915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6" w:right="4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0"/>
          <w:szCs w:val="20"/>
          <w:color w:val="auto"/>
        </w:rPr>
        <w:t>SIGNATURES</w:t>
      </w:r>
    </w:p>
    <w:p>
      <w:pPr>
        <w:spacing w:after="0" w:line="256" w:lineRule="exact"/>
        <w:rPr>
          <w:sz w:val="20"/>
          <w:szCs w:val="20"/>
          <w:color w:val="auto"/>
        </w:rPr>
      </w:pPr>
    </w:p>
    <w:p>
      <w:pPr>
        <w:ind w:firstLine="19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14, 2024</w:t>
      </w:r>
    </w:p>
    <w:p>
      <w:pPr>
        <w:spacing w:after="0" w:line="200" w:lineRule="exact"/>
        <w:rPr>
          <w:sz w:val="20"/>
          <w:szCs w:val="20"/>
          <w:color w:val="auto"/>
        </w:rPr>
      </w:pPr>
    </w:p>
    <w:p>
      <w:pPr>
        <w:spacing w:after="0" w:line="331"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WESTWOOD HOLDINGS GROUP, INC.</w:t>
      </w:r>
    </w:p>
    <w:p>
      <w:pPr>
        <w:spacing w:after="0" w:line="200" w:lineRule="exact"/>
        <w:rPr>
          <w:sz w:val="20"/>
          <w:szCs w:val="20"/>
          <w:color w:val="auto"/>
        </w:rPr>
      </w:pPr>
    </w:p>
    <w:p>
      <w:pPr>
        <w:spacing w:after="0" w:line="363"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Murray Forbes III</w:t>
      </w:r>
    </w:p>
    <w:p>
      <w:pPr>
        <w:spacing w:after="0" w:line="2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Murray Forbes III</w:t>
      </w:r>
    </w:p>
    <w:p>
      <w:pPr>
        <w:spacing w:after="0" w:line="23"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1220"/>
          </w:cols>
          <w:pgMar w:left="320" w:top="886"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2642870</wp:posOffset>
            </wp:positionH>
            <wp:positionV relativeFrom="page">
              <wp:posOffset>732155</wp:posOffset>
            </wp:positionV>
            <wp:extent cx="2271395"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27139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Westwood Holdings Group Reports Fourth Quarter and Full Year 2023 Results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Westwood Salient Select Income posted top decile performance last quarter</w:t>
      </w:r>
    </w:p>
    <w:p>
      <w:pPr>
        <w:jc w:val="center"/>
        <w:spacing w:after="0"/>
        <w:rPr>
          <w:sz w:val="20"/>
          <w:szCs w:val="20"/>
          <w:color w:val="auto"/>
        </w:rPr>
      </w:pPr>
      <w:r>
        <w:rPr>
          <w:rFonts w:ascii="Times New Roman" w:cs="Times New Roman" w:eastAsia="Times New Roman" w:hAnsi="Times New Roman"/>
          <w:sz w:val="20"/>
          <w:szCs w:val="20"/>
          <w:color w:val="auto"/>
        </w:rPr>
        <w:t>Many of our Multi-Asset Strategies posted top quartile performance last quarter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Institutional wins for SmidCap Value expected to fund in the first half of this year</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Managed Investment Solutions joined the Westwood Family</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February 14, 2024 – Westwood Holdings Group, Inc. (NYSE: WHG) today reported fourth quarter earnings.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Significant items include:</w:t>
      </w:r>
    </w:p>
    <w:p>
      <w:pPr>
        <w:spacing w:after="0" w:line="182" w:lineRule="exact"/>
        <w:rPr>
          <w:sz w:val="20"/>
          <w:szCs w:val="20"/>
          <w:color w:val="auto"/>
        </w:rPr>
      </w:pPr>
    </w:p>
    <w:p>
      <w:pPr>
        <w:ind w:left="660" w:hanging="328"/>
        <w:spacing w:after="0" w:line="271"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SmallCap Value, Select Equity, High Alpha, Dividend Select, Enhanced Balanced, Total Return, Alternative Income and Select Income strategies all beat their primary benchmarks.</w:t>
      </w:r>
    </w:p>
    <w:p>
      <w:pPr>
        <w:spacing w:after="0" w:line="103" w:lineRule="exact"/>
        <w:rPr>
          <w:rFonts w:ascii="Times New Roman" w:cs="Times New Roman" w:eastAsia="Times New Roman" w:hAnsi="Times New Roman"/>
          <w:sz w:val="22"/>
          <w:szCs w:val="22"/>
          <w:color w:val="auto"/>
        </w:rPr>
      </w:pPr>
    </w:p>
    <w:p>
      <w:pPr>
        <w:ind w:left="660" w:right="180" w:hanging="328"/>
        <w:spacing w:after="0" w:line="284"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Strong investment performance came from Income Opportunity, Alternative Income, SmallCap Value, High Income and Total Return all posting top quartile rankings, and Westwood Salient Select Income posted a top decile ranking.</w:t>
      </w:r>
    </w:p>
    <w:p>
      <w:pPr>
        <w:spacing w:after="0" w:line="35" w:lineRule="exact"/>
        <w:rPr>
          <w:rFonts w:ascii="Times New Roman" w:cs="Times New Roman" w:eastAsia="Times New Roman" w:hAnsi="Times New Roman"/>
          <w:sz w:val="22"/>
          <w:szCs w:val="22"/>
          <w:color w:val="auto"/>
        </w:rPr>
      </w:pPr>
    </w:p>
    <w:p>
      <w:pPr>
        <w:jc w:val="both"/>
        <w:ind w:left="660" w:hanging="328"/>
        <w:spacing w:after="0" w:line="257" w:lineRule="auto"/>
        <w:tabs>
          <w:tab w:leader="none" w:pos="71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Quarterly revenues totaled $23.2 million versus the third quarter's $21.9 million and $20.5 million a year ago. Comprehensive income of $2.6 million compared with $3.4 million in the third quarter and a net loss of $3.1 million in the fourth quarter of 2022.</w:t>
      </w:r>
    </w:p>
    <w:p>
      <w:pPr>
        <w:spacing w:after="0" w:line="118" w:lineRule="exact"/>
        <w:rPr>
          <w:rFonts w:ascii="Times New Roman" w:cs="Times New Roman" w:eastAsia="Times New Roman" w:hAnsi="Times New Roman"/>
          <w:sz w:val="22"/>
          <w:szCs w:val="22"/>
          <w:color w:val="auto"/>
        </w:rPr>
      </w:pPr>
    </w:p>
    <w:p>
      <w:pPr>
        <w:ind w:left="660" w:hanging="328"/>
        <w:spacing w:after="0" w:line="284"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Non-GAAP Economic Earnings of $5.2 million for the quarter compared with $6.3 million in the third quarter and a loss of $0.7 million in the fourth quarter of 2022.</w:t>
      </w:r>
    </w:p>
    <w:p>
      <w:pPr>
        <w:spacing w:after="0" w:line="89" w:lineRule="exact"/>
        <w:rPr>
          <w:rFonts w:ascii="Times New Roman" w:cs="Times New Roman" w:eastAsia="Times New Roman" w:hAnsi="Times New Roman"/>
          <w:sz w:val="22"/>
          <w:szCs w:val="22"/>
          <w:color w:val="auto"/>
        </w:rPr>
      </w:pPr>
    </w:p>
    <w:p>
      <w:pPr>
        <w:jc w:val="both"/>
        <w:ind w:left="660" w:hanging="328"/>
        <w:spacing w:after="0" w:line="257" w:lineRule="auto"/>
        <w:tabs>
          <w:tab w:leader="none" w:pos="683"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Our annual comprehensive income totaled $9.5 million versus a net loss of $4.6 million for the previous year, and included $5.3 million after taxes of life insurance proceeds and contingent consideration fair value adjustments, both for Salient.</w:t>
      </w:r>
    </w:p>
    <w:p>
      <w:pPr>
        <w:spacing w:after="0" w:line="118" w:lineRule="exact"/>
        <w:rPr>
          <w:rFonts w:ascii="Times New Roman" w:cs="Times New Roman" w:eastAsia="Times New Roman" w:hAnsi="Times New Roman"/>
          <w:sz w:val="22"/>
          <w:szCs w:val="22"/>
          <w:b w:val="1"/>
          <w:bCs w:val="1"/>
          <w:color w:val="auto"/>
        </w:rPr>
      </w:pPr>
    </w:p>
    <w:p>
      <w:pPr>
        <w:ind w:left="660" w:hanging="328"/>
        <w:spacing w:after="0" w:line="309" w:lineRule="auto"/>
        <w:tabs>
          <w:tab w:leader="none" w:pos="656"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Westwood held $53.1 million in cash and short-term investments at December 31, 2023, up $4.6 million from September 30, 2023. Stockholders' equity totaled $120.4 million as of December 31, 2023 and we continue to have no debt.</w:t>
      </w:r>
    </w:p>
    <w:p>
      <w:pPr>
        <w:spacing w:after="0" w:line="66" w:lineRule="exact"/>
        <w:rPr>
          <w:rFonts w:ascii="Times New Roman" w:cs="Times New Roman" w:eastAsia="Times New Roman" w:hAnsi="Times New Roman"/>
          <w:sz w:val="21"/>
          <w:szCs w:val="21"/>
          <w:b w:val="1"/>
          <w:bCs w:val="1"/>
          <w:color w:val="auto"/>
        </w:rPr>
      </w:pPr>
    </w:p>
    <w:p>
      <w:pPr>
        <w:ind w:left="660" w:hanging="328"/>
        <w:spacing w:after="0" w:line="271"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declared a cash dividend of $0.15 per common share, payable on April 3, 2024 to stockholders of record on March 1, 2024.</w:t>
      </w:r>
    </w:p>
    <w:p>
      <w:pPr>
        <w:spacing w:after="0" w:line="104"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22"/>
          <w:szCs w:val="22"/>
          <w:color w:val="auto"/>
        </w:rPr>
        <w:t>Brian Casey, Westwood’s CEO, commented, "Several of our strategies produced excellent results for our clients in the fourth quarter by delivering top quartile performance. Several SmidCap Value wins in the fourth quarter will be funded shortly and our new business pipeline is growing nicely. Advisors in the intermediary space are definitely taking more meetings and they had a very busy January. Our wealth business has made several key hires and is showing continuous progress in improving efficiency and generating better margins. We are excited for the year ahead and look forward to offering clients a new set of capabilities, combining active asset allocation with passive investment solutions, delivered by the creative and highly experienced Managed Investment Solutions team that has just joined Westwood."</w:t>
      </w:r>
    </w:p>
    <w:p>
      <w:pPr>
        <w:spacing w:after="0" w:line="7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Revenues of $23.2 million increased $2.8 million from 2022's fourth quarter thanks to higher average assets under management ("AUM") following the acquisition of Salient Partners' asset management</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71" w:lineRule="auto"/>
        <w:rPr>
          <w:sz w:val="20"/>
          <w:szCs w:val="20"/>
          <w:color w:val="auto"/>
        </w:rPr>
      </w:pPr>
      <w:r>
        <w:rPr>
          <w:rFonts w:ascii="Times New Roman" w:cs="Times New Roman" w:eastAsia="Times New Roman" w:hAnsi="Times New Roman"/>
          <w:sz w:val="22"/>
          <w:szCs w:val="22"/>
          <w:color w:val="auto"/>
        </w:rPr>
        <w:t>business in November 2022 and the acquisition of Broadmark Asset Management in early 2023. Revenues rose $1.3 million versus the third quarter on higher performance fees.</w:t>
      </w:r>
    </w:p>
    <w:p>
      <w:pPr>
        <w:spacing w:after="0" w:line="50"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22"/>
          <w:szCs w:val="22"/>
          <w:color w:val="auto"/>
        </w:rPr>
        <w:t>Firmwide assets under management and advisement totaled $16.6 billion at year end, consisting of AUM of $15.5 billion and assets under advisement ("AUA") of $1.1 billion.</w:t>
      </w:r>
    </w:p>
    <w:p>
      <w:pPr>
        <w:spacing w:after="0" w:line="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Fourth quarter net income of $2.6 million compared to $4.4 million in the third quarter reflecting receipt of life insurance proceeds in the third quarter and higher income taxes in the fourth quarter, partially offset by higher revenues. Diluted EPS of $0.32 compared to $0.41 per share for the third quarter. Non-GAAP Economic Earnings were $5.2 million, or $0.63 per share, compared to the third quarter's $6.3 million, or $0.77 per share.</w:t>
      </w:r>
    </w:p>
    <w:p>
      <w:pPr>
        <w:spacing w:after="0" w:line="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Fourth quarter net income of $2.6 million compared to last year's fourth quarter net loss of $3.1 million due to higher revenues and lower acquisition expenses, partially offset by higher employee expenses and income taxes. Diluted EPS of $0.32 compared with $(0.40) per share for 2022's fourth quarter. Non-GAAP Economic Earnings (Loss) of $5.2 million, or $0.63 per share, compared to $(0.7) million, or $(0.09) per share, in the fourth quarter of 2022.</w:t>
      </w:r>
    </w:p>
    <w:p>
      <w:pPr>
        <w:spacing w:after="0" w:line="1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2023 net income of $10.6 million compared to 2022's net loss of $4.6 million thanks to higher revenues, life insurance proceeds, changes in the fair value of contingent consideration and lower acquisition expenses, partially offset by higher costs for employee compensation, information technology, and general and administrative activities following the acquisition of Salient Partners' asset management business in late 2022. Diluted EPS was $1.17 per share compared with $(0.59) per share for 2022. Economic EPS of $2.55 compared with $0.45 in 2022.</w:t>
      </w:r>
    </w:p>
    <w:p>
      <w:pPr>
        <w:spacing w:after="0" w:line="1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Economic Earnings (Loss) and Economic EPS are non-GAAP performance measures that are explained and reconciled with the most comparable GAAP numbers in the attached tables.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Westwood will host a conference call to discuss fourth quarter and fiscal year 2023 results and other business matters at 4:30 p.m.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Eastern time today. To join the conference call, please register here: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https://edge.media-server.com/mmc/p/rbn4eokh</w:t>
      </w:r>
    </w:p>
    <w:p>
      <w:pPr>
        <w:spacing w:after="0" w:line="112" w:lineRule="exact"/>
        <w:rPr>
          <w:sz w:val="20"/>
          <w:szCs w:val="20"/>
          <w:color w:val="auto"/>
        </w:rPr>
      </w:pPr>
    </w:p>
    <w:p>
      <w:pPr>
        <w:ind w:right="3160"/>
        <w:spacing w:after="0" w:line="360" w:lineRule="auto"/>
        <w:rPr>
          <w:sz w:val="20"/>
          <w:szCs w:val="20"/>
          <w:color w:val="auto"/>
        </w:rPr>
      </w:pPr>
      <w:r>
        <w:rPr>
          <w:rFonts w:ascii="Times New Roman" w:cs="Times New Roman" w:eastAsia="Times New Roman" w:hAnsi="Times New Roman"/>
          <w:sz w:val="21"/>
          <w:szCs w:val="21"/>
          <w:color w:val="auto"/>
        </w:rPr>
        <w:t>After registering, you will be provided with a dial-in number containing a personalized PIN. Webcast Link: : https://register.vevent.com/register/BI67285b888a794244b24e58e42389eca5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WESTWOOD HOLDINGS GROUP</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Westwood Holdings Group, Inc. is an investment management boutique and wealth management firm.</w:t>
      </w:r>
    </w:p>
    <w:p>
      <w:pPr>
        <w:spacing w:after="0" w:line="125"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Westwood offers a broad array of investment solutions to institutional investors, private wealth clients and financial intermediaries. The firm specializes in several distinct investment capabilities including U.S. Value Equity, Multi-Asset, Tactical Absolute Return, Energy &amp; Real Assets and Income Alternatives. In addition, the firm has recently begun to add capabilities in Managed Investment Solutions and Exchange Traded Funds (ETFs). Westwood’s strategies are made available through separate accounts, the Westwood Funds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family of mutual funds and other pooled vehicles. Westwood benefits from significant, broad-based employee ownership and trades on the New York Stock Exchange under the symbol “WHG.” Based in Dallas, Westwood also maintains offices in Chicago, Houston and San Francisco.</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on Westwood, please visit westwoodgroup.com.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Statements in this press release that are not purely historical facts, including, without limitation, statements about our expected future financial position, results of operations or cash flows, as well as other statements including without limitation, words such as “anticipate,” “believe,” “expect,” “could,”</w:t>
      </w:r>
    </w:p>
    <w:p>
      <w:pPr>
        <w:sectPr>
          <w:pgSz w:w="11900" w:h="16838" w:orient="portrait"/>
          <w:cols w:equalWidth="0" w:num="1">
            <w:col w:w="11240"/>
          </w:cols>
          <w:pgMar w:left="320" w:top="1003" w:right="339" w:bottom="1440" w:gutter="0" w:footer="0" w:header="0"/>
        </w:sectPr>
      </w:pPr>
    </w:p>
    <w:bookmarkStart w:id="5" w:name="page6"/>
    <w:bookmarkEnd w:id="5"/>
    <w:p>
      <w:pPr>
        <w:jc w:val="both"/>
        <w:spacing w:after="0" w:line="259" w:lineRule="auto"/>
        <w:rPr>
          <w:sz w:val="20"/>
          <w:szCs w:val="20"/>
          <w:color w:val="auto"/>
        </w:rPr>
      </w:pPr>
      <w:r>
        <w:rPr>
          <w:rFonts w:ascii="Times New Roman" w:cs="Times New Roman" w:eastAsia="Times New Roman" w:hAnsi="Times New Roman"/>
          <w:sz w:val="21"/>
          <w:szCs w:val="21"/>
          <w:color w:val="auto"/>
        </w:rPr>
        <w:t>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composition and market value of our AUM; our ability to maintain our fee structure in light of competitive fee pressures; our stockholder rights agreement may make it more difficult for others to obtain control over us, even if it would be beneficial to our stockholders; risks associated with actions of activist stockholders; distributions to our common stockholders have included and may in the future include a return of capital; inclusion of foreign company investments in our AUM; regulations adversely affecting the financial services industry; our ability to maintain effective cyber security; litigation risks; our ability to develop and market new investment strategies successfully; our reputation and our relationships with current and potential customers; our ability to attract and retain qualified personnel; our ability to perform operational tasks; our ability to select and oversee third-party vendors; our dependence on the operations and funds of our subsidiaries; our ability to maintain effective information systems; our ability to prevent misuse of assets and information in the possession of our employees and third-party vendors, which could damage our reputation and result in costly litigation and liability for our clients and us; our stock is thinly traded and may be subject to volatility; in addition to our stockholder rights agreement, our organizational documents contain provisions that may prevent or deter another group from paying a premium over the market price to our stockholders to acquire our stock; competition in the investment management industry; our ability to avoid termination of client agreements and the related investment redemptions; the significant concentration of our revenues in a small number of customers; our relationships with investment consulting firms; the impact of the COVID-19 pandemic; our ability to identify and execute on our strategic initiatives; our ability to declare and pay dividends; our ability to fund future capital requirements on favorable terms; our ability to properly address conflicts of interest; our ability to maintain adequate insurance coverage; our ability to maintain an effective system of internal controls; and the other risks detailed from time to time in Westwood’s SEC filings, including, but not limited to, its annual report on Form 10-K for the year ended December 31, 2022 and its quarterly report on Form 10-Q for the quarters ended March 31, 2023, June 30, 2023 and September 30, 2023.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Westwood Holdings Group, Inc.</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(WHG-G)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Westwood Holdings Group, Inc.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Terry Forbes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(214) 756-6900</w:t>
      </w:r>
    </w:p>
    <w:p>
      <w:pPr>
        <w:sectPr>
          <w:pgSz w:w="11900" w:h="16838" w:orient="portrait"/>
          <w:cols w:equalWidth="0" w:num="1">
            <w:col w:w="11240"/>
          </w:cols>
          <w:pgMar w:left="320" w:top="100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and share amounts)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80" w:type="dxa"/>
            <w:vAlign w:val="bottom"/>
          </w:tcPr>
          <w:p>
            <w:pPr>
              <w:spacing w:after="0"/>
              <w:rPr>
                <w:sz w:val="16"/>
                <w:szCs w:val="16"/>
                <w:color w:val="auto"/>
              </w:rPr>
            </w:pPr>
          </w:p>
        </w:tc>
        <w:tc>
          <w:tcPr>
            <w:tcW w:w="15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89"/>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Advisory fees:</w:t>
            </w: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Asset-based</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16,902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13,441</w:t>
            </w:r>
          </w:p>
        </w:tc>
        <w:tc>
          <w:tcPr>
            <w:tcW w:w="0" w:type="dxa"/>
            <w:vAlign w:val="bottom"/>
          </w:tcPr>
          <w:p>
            <w:pPr>
              <w:spacing w:after="0"/>
              <w:rPr>
                <w:sz w:val="1"/>
                <w:szCs w:val="1"/>
                <w:color w:val="auto"/>
              </w:rPr>
            </w:pPr>
          </w:p>
        </w:tc>
      </w:tr>
      <w:tr>
        <w:trPr>
          <w:trHeight w:val="195"/>
        </w:trPr>
        <w:tc>
          <w:tcPr>
            <w:tcW w:w="58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Performance-based</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Trust fees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5,429</w:t>
            </w:r>
          </w:p>
        </w:tc>
        <w:tc>
          <w:tcPr>
            <w:tcW w:w="0" w:type="dxa"/>
            <w:vAlign w:val="bottom"/>
          </w:tcPr>
          <w:p>
            <w:pPr>
              <w:spacing w:after="0"/>
              <w:rPr>
                <w:sz w:val="1"/>
                <w:szCs w:val="1"/>
                <w:color w:val="auto"/>
              </w:rPr>
            </w:pPr>
          </w:p>
        </w:tc>
      </w:tr>
      <w:tr>
        <w:trPr>
          <w:trHeight w:val="195"/>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Trust performance-based</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net</w:t>
            </w: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0" w:type="dxa"/>
            <w:vAlign w:val="bottom"/>
          </w:tcPr>
          <w:p>
            <w:pPr>
              <w:spacing w:after="0"/>
              <w:rPr>
                <w:sz w:val="1"/>
                <w:szCs w:val="1"/>
                <w:color w:val="auto"/>
              </w:rPr>
            </w:pPr>
          </w:p>
        </w:tc>
      </w:tr>
      <w:tr>
        <w:trPr>
          <w:trHeight w:val="189"/>
        </w:trPr>
        <w:tc>
          <w:tcPr>
            <w:tcW w:w="58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revenues</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21,880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20,456</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11,131</w:t>
            </w:r>
          </w:p>
        </w:tc>
        <w:tc>
          <w:tcPr>
            <w:tcW w:w="0" w:type="dxa"/>
            <w:vAlign w:val="bottom"/>
          </w:tcPr>
          <w:p>
            <w:pPr>
              <w:spacing w:after="0"/>
              <w:rPr>
                <w:sz w:val="1"/>
                <w:szCs w:val="1"/>
                <w:color w:val="auto"/>
              </w:rPr>
            </w:pPr>
          </w:p>
        </w:tc>
      </w:tr>
      <w:tr>
        <w:trPr>
          <w:trHeight w:val="195"/>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Sales and marketing</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Westwood mutual funds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0" w:type="dxa"/>
            <w:vAlign w:val="bottom"/>
          </w:tcPr>
          <w:p>
            <w:pPr>
              <w:spacing w:after="0"/>
              <w:rPr>
                <w:sz w:val="1"/>
                <w:szCs w:val="1"/>
                <w:color w:val="auto"/>
              </w:rPr>
            </w:pPr>
          </w:p>
        </w:tc>
      </w:tr>
      <w:tr>
        <w:trPr>
          <w:trHeight w:val="195"/>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Information technology</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2,104</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Professional services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w:t>
            </w:r>
          </w:p>
        </w:tc>
        <w:tc>
          <w:tcPr>
            <w:tcW w:w="0" w:type="dxa"/>
            <w:vAlign w:val="bottom"/>
          </w:tcPr>
          <w:p>
            <w:pPr>
              <w:spacing w:after="0"/>
              <w:rPr>
                <w:sz w:val="1"/>
                <w:szCs w:val="1"/>
                <w:color w:val="auto"/>
              </w:rPr>
            </w:pPr>
          </w:p>
        </w:tc>
      </w:tr>
      <w:tr>
        <w:trPr>
          <w:trHeight w:val="195"/>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2,488</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(Gain) loss from change in fair value of contingent consideration</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Acquisition expenses</w:t>
            </w:r>
          </w:p>
        </w:tc>
        <w:tc>
          <w:tcPr>
            <w:tcW w:w="160" w:type="dxa"/>
            <w:vAlign w:val="bottom"/>
          </w:tcPr>
          <w:p>
            <w:pPr>
              <w:spacing w:after="0"/>
              <w:rPr>
                <w:sz w:val="17"/>
                <w:szCs w:val="17"/>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5,505</w:t>
            </w:r>
          </w:p>
        </w:tc>
        <w:tc>
          <w:tcPr>
            <w:tcW w:w="0" w:type="dxa"/>
            <w:vAlign w:val="bottom"/>
          </w:tcPr>
          <w:p>
            <w:pPr>
              <w:spacing w:after="0"/>
              <w:rPr>
                <w:sz w:val="1"/>
                <w:szCs w:val="1"/>
                <w:color w:val="auto"/>
              </w:rPr>
            </w:pPr>
          </w:p>
        </w:tc>
      </w:tr>
      <w:tr>
        <w:trPr>
          <w:trHeight w:val="203"/>
        </w:trPr>
        <w:tc>
          <w:tcPr>
            <w:tcW w:w="58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expenses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6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23,333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24,264</w:t>
            </w:r>
          </w:p>
        </w:tc>
        <w:tc>
          <w:tcPr>
            <w:tcW w:w="0" w:type="dxa"/>
            <w:vAlign w:val="bottom"/>
          </w:tcPr>
          <w:p>
            <w:pPr>
              <w:spacing w:after="0"/>
              <w:rPr>
                <w:sz w:val="1"/>
                <w:szCs w:val="1"/>
                <w:color w:val="auto"/>
              </w:rPr>
            </w:pPr>
          </w:p>
        </w:tc>
      </w:tr>
      <w:tr>
        <w:trPr>
          <w:trHeight w:val="189"/>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operating income (loss)</w:t>
            </w: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(3,808)</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change in unrealized appreciation (depreciation) on private investments</w:t>
            </w: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0" w:type="dxa"/>
            <w:vAlign w:val="bottom"/>
          </w:tcPr>
          <w:p>
            <w:pPr>
              <w:spacing w:after="0"/>
              <w:rPr>
                <w:sz w:val="1"/>
                <w:szCs w:val="1"/>
                <w:color w:val="auto"/>
              </w:rPr>
            </w:pPr>
          </w:p>
        </w:tc>
      </w:tr>
      <w:tr>
        <w:trPr>
          <w:trHeight w:val="195"/>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Investment income</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income</w:t>
            </w: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5,265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0" w:type="dxa"/>
            <w:vAlign w:val="bottom"/>
          </w:tcPr>
          <w:p>
            <w:pPr>
              <w:spacing w:after="0"/>
              <w:rPr>
                <w:sz w:val="1"/>
                <w:szCs w:val="1"/>
                <w:color w:val="auto"/>
              </w:rPr>
            </w:pPr>
          </w:p>
        </w:tc>
      </w:tr>
      <w:tr>
        <w:trPr>
          <w:trHeight w:val="189"/>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(4,310)</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0" w:type="dxa"/>
            <w:vAlign w:val="bottom"/>
          </w:tcPr>
          <w:p>
            <w:pPr>
              <w:spacing w:after="0"/>
              <w:rPr>
                <w:sz w:val="1"/>
                <w:szCs w:val="1"/>
                <w:color w:val="auto"/>
              </w:rPr>
            </w:pPr>
          </w:p>
        </w:tc>
      </w:tr>
      <w:tr>
        <w:trPr>
          <w:trHeight w:val="169"/>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2,583</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4,375</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(3,125)</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4,375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Less: Comprehensive income (loss) attributable to noncontrolling interest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6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1,019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 attributable to Westwood Holdings Group, Inc.</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3,356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(loss) per share:</w:t>
            </w: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0.42</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shares outstanding:</w:t>
            </w: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8,007,896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8,002,537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7,775,545</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8,184,736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8,116,747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7,775,545</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Economic Earnings (Loss)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6,263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0" w:type="dxa"/>
            <w:vAlign w:val="bottom"/>
          </w:tcPr>
          <w:p>
            <w:pPr>
              <w:spacing w:after="0"/>
              <w:rPr>
                <w:sz w:val="1"/>
                <w:szCs w:val="1"/>
                <w:color w:val="auto"/>
              </w:rPr>
            </w:pPr>
          </w:p>
        </w:tc>
      </w:tr>
      <w:tr>
        <w:trPr>
          <w:trHeight w:val="195"/>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Economic EPS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0.77</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declared per share</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and share amounts)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81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2660" w:type="dxa"/>
            <w:vAlign w:val="bottom"/>
            <w:tcBorders>
              <w:bottom w:val="single" w:sz="8" w:color="auto"/>
            </w:tcBorders>
            <w:gridSpan w:val="4"/>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Advisory fees: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Asset-based</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67,391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46,685</w:t>
            </w:r>
          </w:p>
        </w:tc>
        <w:tc>
          <w:tcPr>
            <w:tcW w:w="0" w:type="dxa"/>
            <w:vAlign w:val="bottom"/>
          </w:tcPr>
          <w:p>
            <w:pPr>
              <w:spacing w:after="0"/>
              <w:rPr>
                <w:sz w:val="1"/>
                <w:szCs w:val="1"/>
                <w:color w:val="auto"/>
              </w:rPr>
            </w:pPr>
          </w:p>
        </w:tc>
      </w:tr>
      <w:tr>
        <w:trPr>
          <w:trHeight w:val="195"/>
        </w:trPr>
        <w:tc>
          <w:tcPr>
            <w:tcW w:w="81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Performance-based</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1,265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Trust fees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20,242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21,686</w:t>
            </w:r>
          </w:p>
        </w:tc>
        <w:tc>
          <w:tcPr>
            <w:tcW w:w="0" w:type="dxa"/>
            <w:vAlign w:val="bottom"/>
          </w:tcPr>
          <w:p>
            <w:pPr>
              <w:spacing w:after="0"/>
              <w:rPr>
                <w:sz w:val="1"/>
                <w:szCs w:val="1"/>
                <w:color w:val="auto"/>
              </w:rPr>
            </w:pPr>
          </w:p>
        </w:tc>
      </w:tr>
      <w:tr>
        <w:trPr>
          <w:trHeight w:val="195"/>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Trust performance-based</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net</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Total revenues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89,781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68,681</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52,918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40,124</w:t>
            </w:r>
          </w:p>
        </w:tc>
        <w:tc>
          <w:tcPr>
            <w:tcW w:w="0" w:type="dxa"/>
            <w:vAlign w:val="bottom"/>
          </w:tcPr>
          <w:p>
            <w:pPr>
              <w:spacing w:after="0"/>
              <w:rPr>
                <w:sz w:val="1"/>
                <w:szCs w:val="1"/>
                <w:color w:val="auto"/>
              </w:rPr>
            </w:pPr>
          </w:p>
        </w:tc>
      </w:tr>
      <w:tr>
        <w:trPr>
          <w:trHeight w:val="195"/>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Sales and marketing</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2,990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Westwood mutual funds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2,201</w:t>
            </w:r>
          </w:p>
        </w:tc>
        <w:tc>
          <w:tcPr>
            <w:tcW w:w="0" w:type="dxa"/>
            <w:vAlign w:val="bottom"/>
          </w:tcPr>
          <w:p>
            <w:pPr>
              <w:spacing w:after="0"/>
              <w:rPr>
                <w:sz w:val="1"/>
                <w:szCs w:val="1"/>
                <w:color w:val="auto"/>
              </w:rPr>
            </w:pPr>
          </w:p>
        </w:tc>
      </w:tr>
      <w:tr>
        <w:trPr>
          <w:trHeight w:val="195"/>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Information technology</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9,650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7,719</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Professional services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5,357</w:t>
            </w:r>
          </w:p>
        </w:tc>
        <w:tc>
          <w:tcPr>
            <w:tcW w:w="0" w:type="dxa"/>
            <w:vAlign w:val="bottom"/>
          </w:tcPr>
          <w:p>
            <w:pPr>
              <w:spacing w:after="0"/>
              <w:rPr>
                <w:sz w:val="1"/>
                <w:szCs w:val="1"/>
                <w:color w:val="auto"/>
              </w:rPr>
            </w:pPr>
          </w:p>
        </w:tc>
      </w:tr>
      <w:tr>
        <w:trPr>
          <w:trHeight w:val="195"/>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12,512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9,057</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(Gain) loss from change in fair value of contingent consideration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Acquisition expenses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7,093</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expenses</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83,776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73,554</w:t>
            </w: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Net operating income (loss)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6,005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(4,873)</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change in unrealized appreciation (depreciation) on private investments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0" w:type="dxa"/>
            <w:vAlign w:val="bottom"/>
          </w:tcPr>
          <w:p>
            <w:pPr>
              <w:spacing w:after="0"/>
              <w:rPr>
                <w:sz w:val="1"/>
                <w:szCs w:val="1"/>
                <w:color w:val="auto"/>
              </w:rPr>
            </w:pPr>
          </w:p>
        </w:tc>
      </w:tr>
      <w:tr>
        <w:trPr>
          <w:trHeight w:val="195"/>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investment income (loss)</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income</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6,241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0" w:type="dxa"/>
            <w:vAlign w:val="bottom"/>
          </w:tcPr>
          <w:p>
            <w:pPr>
              <w:spacing w:after="0"/>
              <w:rPr>
                <w:sz w:val="1"/>
                <w:szCs w:val="1"/>
                <w:color w:val="auto"/>
              </w:rPr>
            </w:pPr>
          </w:p>
        </w:tc>
      </w:tr>
      <w:tr>
        <w:trPr>
          <w:trHeight w:val="189"/>
        </w:trPr>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13,443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(5,195)</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Income tax provision</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2,872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0" w:type="dxa"/>
            <w:vAlign w:val="bottom"/>
          </w:tcPr>
          <w:p>
            <w:pPr>
              <w:spacing w:after="0"/>
              <w:rPr>
                <w:sz w:val="1"/>
                <w:szCs w:val="1"/>
                <w:color w:val="auto"/>
              </w:rPr>
            </w:pPr>
          </w:p>
        </w:tc>
      </w:tr>
      <w:tr>
        <w:trPr>
          <w:trHeight w:val="169"/>
        </w:trPr>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10,571</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(4,628)</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10,571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Less: Comprehensive income (loss) attributable to noncontrolling interest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8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1,051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Comprehensive income (loss) attributable to Westwood Holdings Group, Inc.</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9,520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Earnings (loss) per share:</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Weighted average shares outstanding:</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7,964,423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7,844,363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8,112,139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7,844,363</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Economic Earnings</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20,717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3,564</w:t>
            </w:r>
          </w:p>
        </w:tc>
        <w:tc>
          <w:tcPr>
            <w:tcW w:w="0" w:type="dxa"/>
            <w:vAlign w:val="bottom"/>
          </w:tcPr>
          <w:p>
            <w:pPr>
              <w:spacing w:after="0"/>
              <w:rPr>
                <w:sz w:val="1"/>
                <w:szCs w:val="1"/>
                <w:color w:val="auto"/>
              </w:rPr>
            </w:pPr>
          </w:p>
        </w:tc>
      </w:tr>
      <w:tr>
        <w:trPr>
          <w:trHeight w:val="195"/>
        </w:trPr>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Economic EPS</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Dividends declared per share</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0.60</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0.60</w:t>
            </w:r>
          </w:p>
        </w:tc>
        <w:tc>
          <w:tcPr>
            <w:tcW w:w="0" w:type="dxa"/>
            <w:vAlign w:val="bottom"/>
          </w:tcPr>
          <w:p>
            <w:pPr>
              <w:spacing w:after="0"/>
              <w:rPr>
                <w:sz w:val="1"/>
                <w:szCs w:val="1"/>
                <w:color w:val="auto"/>
              </w:rPr>
            </w:pPr>
          </w:p>
        </w:tc>
      </w:tr>
    </w:tbl>
    <w:p>
      <w:pPr>
        <w:sectPr>
          <w:pgSz w:w="11900" w:h="16838" w:orient="portrait"/>
          <w:cols w:equalWidth="0" w:num="1">
            <w:col w:w="11220"/>
          </w:cols>
          <w:pgMar w:left="320" w:top="887" w:right="359" w:bottom="1440" w:gutter="0" w:footer="0" w:header="0"/>
        </w:sectPr>
      </w:pPr>
    </w:p>
    <w:bookmarkStart w:id="8" w:name="page9"/>
    <w:bookmarkEnd w:id="8"/>
    <w:p>
      <w:pPr>
        <w:ind w:right="5160"/>
        <w:spacing w:after="0" w:line="263" w:lineRule="auto"/>
        <w:rPr>
          <w:sz w:val="20"/>
          <w:szCs w:val="20"/>
          <w:color w:val="auto"/>
        </w:rPr>
      </w:pPr>
      <w:r>
        <w:rPr>
          <w:rFonts w:ascii="Times New Roman" w:cs="Times New Roman" w:eastAsia="Times New Roman" w:hAnsi="Times New Roman"/>
          <w:sz w:val="21"/>
          <w:szCs w:val="21"/>
          <w:b w:val="1"/>
          <w:bCs w:val="1"/>
          <w:color w:val="auto"/>
        </w:rPr>
        <w:t>WESTWOOD HOLDINGS GROUP, INC. AND SUBSIDIARIES CONDENSED CONSOLIDATED BALANCE SHEETS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except par value and share amounts)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34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8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23,859</w:t>
            </w:r>
          </w:p>
        </w:tc>
        <w:tc>
          <w:tcPr>
            <w:tcW w:w="0" w:type="dxa"/>
            <w:vAlign w:val="bottom"/>
          </w:tcPr>
          <w:p>
            <w:pPr>
              <w:spacing w:after="0"/>
              <w:rPr>
                <w:sz w:val="1"/>
                <w:szCs w:val="1"/>
                <w:color w:val="auto"/>
              </w:rPr>
            </w:pPr>
          </w:p>
        </w:tc>
      </w:tr>
      <w:tr>
        <w:trPr>
          <w:trHeight w:val="200"/>
        </w:trPr>
        <w:tc>
          <w:tcPr>
            <w:tcW w:w="81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Accounts receivable</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13,900</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Investments, at fair value</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32,674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15,342</w:t>
            </w:r>
          </w:p>
        </w:tc>
        <w:tc>
          <w:tcPr>
            <w:tcW w:w="0" w:type="dxa"/>
            <w:vAlign w:val="bottom"/>
          </w:tcPr>
          <w:p>
            <w:pPr>
              <w:spacing w:after="0"/>
              <w:rPr>
                <w:sz w:val="1"/>
                <w:szCs w:val="1"/>
                <w:color w:val="auto"/>
              </w:rPr>
            </w:pPr>
          </w:p>
        </w:tc>
      </w:tr>
      <w:tr>
        <w:trPr>
          <w:trHeight w:val="200"/>
        </w:trPr>
        <w:tc>
          <w:tcPr>
            <w:tcW w:w="81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Income taxes receivable</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446</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Other current assets</w:t>
            </w: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4,543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4,645</w:t>
            </w:r>
          </w:p>
        </w:tc>
        <w:tc>
          <w:tcPr>
            <w:tcW w:w="0" w:type="dxa"/>
            <w:vAlign w:val="bottom"/>
          </w:tcPr>
          <w:p>
            <w:pPr>
              <w:spacing w:after="0"/>
              <w:rPr>
                <w:sz w:val="1"/>
                <w:szCs w:val="1"/>
                <w:color w:val="auto"/>
              </w:rPr>
            </w:pPr>
          </w:p>
        </w:tc>
      </w:tr>
      <w:tr>
        <w:trPr>
          <w:trHeight w:val="194"/>
        </w:trPr>
        <w:tc>
          <w:tcPr>
            <w:tcW w:w="81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Total current assets</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72,238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58,192</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Investments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4,455</w:t>
            </w:r>
          </w:p>
        </w:tc>
        <w:tc>
          <w:tcPr>
            <w:tcW w:w="0" w:type="dxa"/>
            <w:vAlign w:val="bottom"/>
          </w:tcPr>
          <w:p>
            <w:pPr>
              <w:spacing w:after="0"/>
              <w:rPr>
                <w:sz w:val="1"/>
                <w:szCs w:val="1"/>
                <w:color w:val="auto"/>
              </w:rPr>
            </w:pPr>
          </w:p>
        </w:tc>
      </w:tr>
      <w:tr>
        <w:trPr>
          <w:trHeight w:val="200"/>
        </w:trPr>
        <w:tc>
          <w:tcPr>
            <w:tcW w:w="8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Equity method investments</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6,574</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Noncurrent investments at fair value</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3,027</w:t>
            </w:r>
          </w:p>
        </w:tc>
        <w:tc>
          <w:tcPr>
            <w:tcW w:w="0" w:type="dxa"/>
            <w:vAlign w:val="bottom"/>
          </w:tcPr>
          <w:p>
            <w:pPr>
              <w:spacing w:after="0"/>
              <w:rPr>
                <w:sz w:val="1"/>
                <w:szCs w:val="1"/>
                <w:color w:val="auto"/>
              </w:rPr>
            </w:pPr>
          </w:p>
        </w:tc>
      </w:tr>
      <w:tr>
        <w:trPr>
          <w:trHeight w:val="200"/>
        </w:trPr>
        <w:tc>
          <w:tcPr>
            <w:tcW w:w="8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35,732</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income taxes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1,762</w:t>
            </w:r>
          </w:p>
        </w:tc>
        <w:tc>
          <w:tcPr>
            <w:tcW w:w="0" w:type="dxa"/>
            <w:vAlign w:val="bottom"/>
          </w:tcPr>
          <w:p>
            <w:pPr>
              <w:spacing w:after="0"/>
              <w:rPr>
                <w:sz w:val="1"/>
                <w:szCs w:val="1"/>
                <w:color w:val="auto"/>
              </w:rPr>
            </w:pPr>
          </w:p>
        </w:tc>
      </w:tr>
      <w:tr>
        <w:trPr>
          <w:trHeight w:val="200"/>
        </w:trPr>
        <w:tc>
          <w:tcPr>
            <w:tcW w:w="8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4,976</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Intangible assets, net</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24,803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28,952</w:t>
            </w:r>
          </w:p>
        </w:tc>
        <w:tc>
          <w:tcPr>
            <w:tcW w:w="0" w:type="dxa"/>
            <w:vAlign w:val="bottom"/>
          </w:tcPr>
          <w:p>
            <w:pPr>
              <w:spacing w:after="0"/>
              <w:rPr>
                <w:sz w:val="1"/>
                <w:szCs w:val="1"/>
                <w:color w:val="auto"/>
              </w:rPr>
            </w:pPr>
          </w:p>
        </w:tc>
      </w:tr>
      <w:tr>
        <w:trPr>
          <w:trHeight w:val="200"/>
        </w:trPr>
        <w:tc>
          <w:tcPr>
            <w:tcW w:w="81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Property and equipment, net of accumulated depreciation of $10,078 and $9,277</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1,828</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long-term assets</w:t>
            </w: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929</w:t>
            </w:r>
          </w:p>
        </w:tc>
        <w:tc>
          <w:tcPr>
            <w:tcW w:w="0" w:type="dxa"/>
            <w:vAlign w:val="bottom"/>
          </w:tcPr>
          <w:p>
            <w:pPr>
              <w:spacing w:after="0"/>
              <w:rPr>
                <w:sz w:val="1"/>
                <w:szCs w:val="1"/>
                <w:color w:val="auto"/>
              </w:rPr>
            </w:pPr>
          </w:p>
        </w:tc>
      </w:tr>
      <w:tr>
        <w:trPr>
          <w:trHeight w:val="194"/>
        </w:trPr>
        <w:tc>
          <w:tcPr>
            <w:tcW w:w="81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5"/>
                <w:szCs w:val="15"/>
                <w:color w:val="auto"/>
              </w:rPr>
              <w:t>Total long-term assets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82,929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88,235</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155,167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146,427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1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6,130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5,678</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Dividends payable</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1,745</w:t>
            </w:r>
          </w:p>
        </w:tc>
        <w:tc>
          <w:tcPr>
            <w:tcW w:w="0" w:type="dxa"/>
            <w:vAlign w:val="bottom"/>
          </w:tcPr>
          <w:p>
            <w:pPr>
              <w:spacing w:after="0"/>
              <w:rPr>
                <w:sz w:val="1"/>
                <w:szCs w:val="1"/>
                <w:color w:val="auto"/>
              </w:rPr>
            </w:pPr>
          </w:p>
        </w:tc>
      </w:tr>
      <w:tr>
        <w:trPr>
          <w:trHeight w:val="200"/>
        </w:trPr>
        <w:tc>
          <w:tcPr>
            <w:tcW w:w="81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Compensation and benefits payable</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8,689</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1,502</w:t>
            </w:r>
          </w:p>
        </w:tc>
        <w:tc>
          <w:tcPr>
            <w:tcW w:w="0" w:type="dxa"/>
            <w:vAlign w:val="bottom"/>
          </w:tcPr>
          <w:p>
            <w:pPr>
              <w:spacing w:after="0"/>
              <w:rPr>
                <w:sz w:val="1"/>
                <w:szCs w:val="1"/>
                <w:color w:val="auto"/>
              </w:rPr>
            </w:pPr>
          </w:p>
        </w:tc>
      </w:tr>
      <w:tr>
        <w:trPr>
          <w:trHeight w:val="194"/>
        </w:trPr>
        <w:tc>
          <w:tcPr>
            <w:tcW w:w="81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17,614</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dividends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701</w:t>
            </w:r>
          </w:p>
        </w:tc>
        <w:tc>
          <w:tcPr>
            <w:tcW w:w="0" w:type="dxa"/>
            <w:vAlign w:val="bottom"/>
          </w:tcPr>
          <w:p>
            <w:pPr>
              <w:spacing w:after="0"/>
              <w:rPr>
                <w:sz w:val="1"/>
                <w:szCs w:val="1"/>
                <w:color w:val="auto"/>
              </w:rPr>
            </w:pPr>
          </w:p>
        </w:tc>
      </w:tr>
      <w:tr>
        <w:trPr>
          <w:trHeight w:val="200"/>
        </w:trPr>
        <w:tc>
          <w:tcPr>
            <w:tcW w:w="8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12,901</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Noncurrent operating lease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4,563</w:t>
            </w:r>
          </w:p>
        </w:tc>
        <w:tc>
          <w:tcPr>
            <w:tcW w:w="0" w:type="dxa"/>
            <w:vAlign w:val="bottom"/>
          </w:tcPr>
          <w:p>
            <w:pPr>
              <w:spacing w:after="0"/>
              <w:rPr>
                <w:sz w:val="1"/>
                <w:szCs w:val="1"/>
                <w:color w:val="auto"/>
              </w:rPr>
            </w:pPr>
          </w:p>
        </w:tc>
      </w:tr>
      <w:tr>
        <w:trPr>
          <w:trHeight w:val="194"/>
        </w:trPr>
        <w:tc>
          <w:tcPr>
            <w:tcW w:w="81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5"/>
                <w:szCs w:val="15"/>
                <w:color w:val="auto"/>
              </w:rPr>
              <w:t>Total long-term liabilities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14,074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18,165</w:t>
            </w:r>
          </w:p>
        </w:tc>
        <w:tc>
          <w:tcPr>
            <w:tcW w:w="0" w:type="dxa"/>
            <w:vAlign w:val="bottom"/>
          </w:tcPr>
          <w:p>
            <w:pPr>
              <w:spacing w:after="0"/>
              <w:rPr>
                <w:sz w:val="1"/>
                <w:szCs w:val="1"/>
                <w:color w:val="auto"/>
              </w:rPr>
            </w:pPr>
          </w:p>
        </w:tc>
      </w:tr>
      <w:tr>
        <w:trPr>
          <w:trHeight w:val="198"/>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32,721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35,779</w:t>
            </w:r>
          </w:p>
        </w:tc>
        <w:tc>
          <w:tcPr>
            <w:tcW w:w="0" w:type="dxa"/>
            <w:vAlign w:val="bottom"/>
          </w:tcPr>
          <w:p>
            <w:pPr>
              <w:spacing w:after="0"/>
              <w:rPr>
                <w:sz w:val="1"/>
                <w:szCs w:val="1"/>
                <w:color w:val="auto"/>
              </w:rPr>
            </w:pP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Stockholders’ Equity:</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8140" w:type="dxa"/>
            <w:vAlign w:val="bottom"/>
            <w:shd w:val="clear" w:color="auto" w:fill="CCEEFF"/>
          </w:tcPr>
          <w:p>
            <w:pPr>
              <w:ind w:left="360"/>
              <w:spacing w:after="0" w:line="151" w:lineRule="exact"/>
              <w:rPr>
                <w:sz w:val="20"/>
                <w:szCs w:val="20"/>
                <w:color w:val="auto"/>
              </w:rPr>
            </w:pPr>
            <w:r>
              <w:rPr>
                <w:rFonts w:ascii="Times New Roman" w:cs="Times New Roman" w:eastAsia="Times New Roman" w:hAnsi="Times New Roman"/>
                <w:sz w:val="15"/>
                <w:szCs w:val="15"/>
                <w:color w:val="auto"/>
              </w:rPr>
              <w:t>Common stock, $0.01 par value, authorized 25,000,000 shares, issued 11,856,737 and outstanding 9,140,760 shares at</w:t>
            </w: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December 31, 2023; issued 11,527,544 and outstanding 8,881,831 shares at December 31, 2022</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0" w:type="dxa"/>
            <w:vAlign w:val="bottom"/>
          </w:tcPr>
          <w:p>
            <w:pPr>
              <w:spacing w:after="0"/>
              <w:rPr>
                <w:sz w:val="1"/>
                <w:szCs w:val="1"/>
                <w:color w:val="auto"/>
              </w:rPr>
            </w:pPr>
          </w:p>
        </w:tc>
      </w:tr>
      <w:tr>
        <w:trPr>
          <w:trHeight w:val="200"/>
        </w:trPr>
        <w:tc>
          <w:tcPr>
            <w:tcW w:w="81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201,622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199,914</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Treasury stock, at cost – 2,715,977 shares at December 31, 2023; 2,645,713 shares at December 31, 2022</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(85,990)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(85,128)</w:t>
            </w:r>
          </w:p>
        </w:tc>
        <w:tc>
          <w:tcPr>
            <w:tcW w:w="0" w:type="dxa"/>
            <w:vAlign w:val="bottom"/>
          </w:tcPr>
          <w:p>
            <w:pPr>
              <w:spacing w:after="0"/>
              <w:rPr>
                <w:sz w:val="1"/>
                <w:szCs w:val="1"/>
                <w:color w:val="auto"/>
              </w:rPr>
            </w:pPr>
          </w:p>
        </w:tc>
      </w:tr>
      <w:tr>
        <w:trPr>
          <w:trHeight w:val="20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Retained earnings (accumulated deficit)</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4,650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(4,253)</w:t>
            </w:r>
          </w:p>
        </w:tc>
        <w:tc>
          <w:tcPr>
            <w:tcW w:w="0" w:type="dxa"/>
            <w:vAlign w:val="bottom"/>
          </w:tcPr>
          <w:p>
            <w:pPr>
              <w:spacing w:after="0"/>
              <w:rPr>
                <w:sz w:val="1"/>
                <w:szCs w:val="1"/>
                <w:color w:val="auto"/>
              </w:rPr>
            </w:pPr>
          </w:p>
        </w:tc>
      </w:tr>
      <w:tr>
        <w:trPr>
          <w:trHeight w:val="198"/>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Westwood Holdings Group, Inc. stockholders' equity</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120,401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110,648</w:t>
            </w:r>
          </w:p>
        </w:tc>
        <w:tc>
          <w:tcPr>
            <w:tcW w:w="0" w:type="dxa"/>
            <w:vAlign w:val="bottom"/>
          </w:tcPr>
          <w:p>
            <w:pPr>
              <w:spacing w:after="0"/>
              <w:rPr>
                <w:sz w:val="1"/>
                <w:szCs w:val="1"/>
                <w:color w:val="auto"/>
              </w:rPr>
            </w:pPr>
          </w:p>
        </w:tc>
      </w:tr>
      <w:tr>
        <w:trPr>
          <w:trHeight w:val="202"/>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Noncontrolling interest in consolidated subsidiary</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2,045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4"/>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equity</w:t>
            </w:r>
          </w:p>
        </w:tc>
        <w:tc>
          <w:tcPr>
            <w:tcW w:w="14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122,446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110,648</w:t>
            </w:r>
          </w:p>
        </w:tc>
        <w:tc>
          <w:tcPr>
            <w:tcW w:w="0" w:type="dxa"/>
            <w:vAlign w:val="bottom"/>
          </w:tcPr>
          <w:p>
            <w:pPr>
              <w:spacing w:after="0"/>
              <w:rPr>
                <w:sz w:val="1"/>
                <w:szCs w:val="1"/>
                <w:color w:val="auto"/>
              </w:rPr>
            </w:pPr>
          </w:p>
        </w:tc>
      </w:tr>
      <w:tr>
        <w:trPr>
          <w:trHeight w:val="198"/>
        </w:trPr>
        <w:tc>
          <w:tcPr>
            <w:tcW w:w="8140" w:type="dxa"/>
            <w:vAlign w:val="bottom"/>
          </w:tcPr>
          <w:p>
            <w:pPr>
              <w:ind w:left="680"/>
              <w:spacing w:after="0"/>
              <w:rPr>
                <w:sz w:val="20"/>
                <w:szCs w:val="20"/>
                <w:color w:val="auto"/>
              </w:rPr>
            </w:pPr>
            <w:r>
              <w:rPr>
                <w:rFonts w:ascii="Times New Roman" w:cs="Times New Roman" w:eastAsia="Times New Roman" w:hAnsi="Times New Roman"/>
                <w:sz w:val="15"/>
                <w:szCs w:val="15"/>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155,167</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146,427</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1134" w:right="379" w:bottom="1440" w:gutter="0" w:footer="0" w:header="0"/>
        </w:sectPr>
      </w:pPr>
    </w:p>
    <w:bookmarkStart w:id="9" w:name="page10"/>
    <w:bookmarkEnd w:id="9"/>
    <w:p>
      <w:pPr>
        <w:ind w:right="4720"/>
        <w:spacing w:after="0" w:line="242" w:lineRule="auto"/>
        <w:rPr>
          <w:sz w:val="20"/>
          <w:szCs w:val="20"/>
          <w:color w:val="auto"/>
        </w:rPr>
      </w:pPr>
      <w:r>
        <w:rPr>
          <w:rFonts w:ascii="Times New Roman" w:cs="Times New Roman" w:eastAsia="Times New Roman" w:hAnsi="Times New Roman"/>
          <w:sz w:val="22"/>
          <w:szCs w:val="22"/>
          <w:b w:val="1"/>
          <w:bCs w:val="1"/>
          <w:color w:val="auto"/>
        </w:rPr>
        <w:t xml:space="preserve">WESTWOOD HOLDINGS GROUP, INC. AND SUBSIDIARIES CONDENSED CONSOLIDATED STATEMENTS OF CASH FLOWS </w:t>
      </w:r>
      <w:r>
        <w:rPr>
          <w:rFonts w:ascii="Times New Roman" w:cs="Times New Roman" w:eastAsia="Times New Roman" w:hAnsi="Times New Roman"/>
          <w:sz w:val="19"/>
          <w:szCs w:val="19"/>
          <w:b w:val="1"/>
          <w:bCs w:val="1"/>
          <w:color w:val="auto"/>
        </w:rPr>
        <w:t>(in thousands)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46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r>
      <w:tr>
        <w:trPr>
          <w:trHeight w:val="18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95"/>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 (loss)</w:t>
            </w:r>
          </w:p>
        </w:tc>
        <w:tc>
          <w:tcPr>
            <w:tcW w:w="9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10,571</w:t>
            </w:r>
          </w:p>
        </w:tc>
        <w:tc>
          <w:tcPr>
            <w:tcW w:w="100" w:type="dxa"/>
            <w:vAlign w:val="bottom"/>
          </w:tcPr>
          <w:p>
            <w:pPr>
              <w:spacing w:after="0"/>
              <w:rPr>
                <w:sz w:val="16"/>
                <w:szCs w:val="16"/>
                <w:color w:val="auto"/>
              </w:rPr>
            </w:pP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(4,628)</w:t>
            </w:r>
          </w:p>
        </w:tc>
      </w:tr>
      <w:tr>
        <w:trPr>
          <w:trHeight w:val="21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195"/>
        </w:trPr>
        <w:tc>
          <w:tcPr>
            <w:tcW w:w="81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Depreciation</w:t>
            </w:r>
          </w:p>
        </w:tc>
        <w:tc>
          <w:tcPr>
            <w:tcW w:w="90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670</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w:t>
            </w:r>
          </w:p>
        </w:tc>
      </w:tr>
      <w:tr>
        <w:trPr>
          <w:trHeight w:val="210"/>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4,149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1,889</w:t>
            </w:r>
          </w:p>
        </w:tc>
      </w:tr>
      <w:tr>
        <w:trPr>
          <w:trHeight w:val="195"/>
        </w:trPr>
        <w:tc>
          <w:tcPr>
            <w:tcW w:w="81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Net change in unrealized (appreciation) depreciation on investments</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2,136</w:t>
            </w:r>
          </w:p>
        </w:tc>
      </w:tr>
      <w:tr>
        <w:trPr>
          <w:trHeight w:val="210"/>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6,518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6,001</w:t>
            </w:r>
          </w:p>
        </w:tc>
      </w:tr>
      <w:tr>
        <w:trPr>
          <w:trHeight w:val="195"/>
        </w:trPr>
        <w:tc>
          <w:tcPr>
            <w:tcW w:w="81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Deferred income taxes</w:t>
            </w:r>
          </w:p>
        </w:tc>
        <w:tc>
          <w:tcPr>
            <w:tcW w:w="90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1,036</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w:t>
            </w:r>
          </w:p>
        </w:tc>
      </w:tr>
      <w:tr>
        <w:trPr>
          <w:trHeight w:val="210"/>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Non-cash lease expense</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r>
      <w:tr>
        <w:trPr>
          <w:trHeight w:val="195"/>
        </w:trPr>
        <w:tc>
          <w:tcPr>
            <w:tcW w:w="81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Loss on asset disposition</w:t>
            </w:r>
          </w:p>
        </w:tc>
        <w:tc>
          <w:tcPr>
            <w:tcW w:w="90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Gain on remeasurement of lease liabilities</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Fair value change of contingent consideration</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(2,768)</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Gain on insurance settlement</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0"/>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Net (purchases) sales of investments – trading securities</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48,977</w:t>
            </w:r>
          </w:p>
        </w:tc>
      </w:tr>
      <w:tr>
        <w:trPr>
          <w:trHeight w:val="195"/>
        </w:trPr>
        <w:tc>
          <w:tcPr>
            <w:tcW w:w="81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Accounts receivable</w:t>
            </w:r>
          </w:p>
        </w:tc>
        <w:tc>
          <w:tcPr>
            <w:tcW w:w="90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r>
      <w:tr>
        <w:trPr>
          <w:trHeight w:val="210"/>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Other current assets</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(1,842)</w:t>
            </w:r>
          </w:p>
        </w:tc>
      </w:tr>
      <w:tr>
        <w:trPr>
          <w:trHeight w:val="195"/>
        </w:trPr>
        <w:tc>
          <w:tcPr>
            <w:tcW w:w="81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w:t>
            </w:r>
          </w:p>
        </w:tc>
      </w:tr>
      <w:tr>
        <w:trPr>
          <w:trHeight w:val="210"/>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Compensation and benefits payable</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w:t>
            </w:r>
          </w:p>
        </w:tc>
      </w:tr>
      <w:tr>
        <w:trPr>
          <w:trHeight w:val="195"/>
        </w:trPr>
        <w:tc>
          <w:tcPr>
            <w:tcW w:w="81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Income taxes payable</w:t>
            </w:r>
          </w:p>
        </w:tc>
        <w:tc>
          <w:tcPr>
            <w:tcW w:w="90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w:t>
            </w:r>
          </w:p>
        </w:tc>
      </w:tr>
      <w:tr>
        <w:trPr>
          <w:trHeight w:val="210"/>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Other liabilities</w:t>
            </w:r>
          </w:p>
        </w:tc>
        <w:tc>
          <w:tcPr>
            <w:tcW w:w="9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w:t>
            </w:r>
          </w:p>
        </w:tc>
      </w:tr>
      <w:tr>
        <w:trPr>
          <w:trHeight w:val="189"/>
        </w:trPr>
        <w:tc>
          <w:tcPr>
            <w:tcW w:w="818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9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51,490</w:t>
            </w:r>
          </w:p>
        </w:tc>
      </w:tr>
      <w:tr>
        <w:trPr>
          <w:trHeight w:val="18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95"/>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Acquisitions, net of cash acquired</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(33,419)</w:t>
            </w:r>
          </w:p>
        </w:tc>
      </w:tr>
      <w:tr>
        <w:trPr>
          <w:trHeight w:val="21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Insurance settlement proceeds</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w:t>
            </w:r>
          </w:p>
        </w:tc>
      </w:tr>
      <w:tr>
        <w:trPr>
          <w:trHeight w:val="203"/>
        </w:trPr>
        <w:tc>
          <w:tcPr>
            <w:tcW w:w="8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9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4,112</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(33,739)</w:t>
            </w:r>
          </w:p>
        </w:tc>
      </w:tr>
      <w:tr>
        <w:trPr>
          <w:trHeight w:val="176"/>
        </w:trPr>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09"/>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w:t>
            </w:r>
          </w:p>
        </w:tc>
      </w:tr>
      <w:tr>
        <w:trPr>
          <w:trHeight w:val="195"/>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Restricted stock returned for payment of taxes</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w:t>
            </w:r>
          </w:p>
        </w:tc>
      </w:tr>
      <w:tr>
        <w:trPr>
          <w:trHeight w:val="21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dividends</w:t>
            </w:r>
          </w:p>
        </w:tc>
        <w:tc>
          <w:tcPr>
            <w:tcW w:w="9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(5,474)</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(5,625)</w:t>
            </w:r>
          </w:p>
        </w:tc>
      </w:tr>
      <w:tr>
        <w:trPr>
          <w:trHeight w:val="190"/>
        </w:trPr>
        <w:tc>
          <w:tcPr>
            <w:tcW w:w="818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9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(6,337)</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(9,103)</w:t>
            </w:r>
          </w:p>
        </w:tc>
      </w:tr>
      <w:tr>
        <w:trPr>
          <w:trHeight w:val="203"/>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Effect of currency rate changes on cash</w:t>
            </w:r>
          </w:p>
        </w:tc>
        <w:tc>
          <w:tcPr>
            <w:tcW w:w="9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9"/>
        </w:trPr>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(3,437)</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8,653</w:t>
            </w:r>
          </w:p>
        </w:tc>
      </w:tr>
      <w:tr>
        <w:trPr>
          <w:trHeight w:val="210"/>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beginning of period</w:t>
            </w:r>
          </w:p>
        </w:tc>
        <w:tc>
          <w:tcPr>
            <w:tcW w:w="9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23,859</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15,206</w:t>
            </w:r>
          </w:p>
        </w:tc>
      </w:tr>
      <w:tr>
        <w:trPr>
          <w:trHeight w:val="190"/>
        </w:trPr>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90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20,422</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23,859</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68"/>
        </w:trPr>
        <w:tc>
          <w:tcPr>
            <w:tcW w:w="81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r>
      <w:tr>
        <w:trPr>
          <w:trHeight w:val="195"/>
        </w:trPr>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Supplemental cash flow information:</w:t>
            </w: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paid during the period for income taxes</w:t>
            </w:r>
          </w:p>
        </w:tc>
        <w:tc>
          <w:tcPr>
            <w:tcW w:w="90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1,594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w:t>
            </w:r>
          </w:p>
        </w:tc>
      </w:tr>
      <w:tr>
        <w:trPr>
          <w:trHeight w:val="195"/>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Right-of-use assets obtained in exchange for operating lease liabilities</w:t>
            </w:r>
          </w:p>
        </w:tc>
        <w:tc>
          <w:tcPr>
            <w:tcW w:w="9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6"/>
                <w:szCs w:val="16"/>
                <w:color w:val="auto"/>
              </w:rPr>
            </w:pP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w:t>
            </w:r>
          </w:p>
        </w:tc>
      </w:tr>
      <w:tr>
        <w:trPr>
          <w:trHeight w:val="21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dividends</w:t>
            </w:r>
          </w:p>
        </w:tc>
        <w:tc>
          <w:tcPr>
            <w:tcW w:w="90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2,368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w:t>
            </w:r>
          </w:p>
        </w:tc>
      </w:tr>
      <w:tr>
        <w:trPr>
          <w:trHeight w:val="188"/>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Acquired contingent consideration</w:t>
            </w:r>
          </w:p>
        </w:tc>
        <w:tc>
          <w:tcPr>
            <w:tcW w:w="9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12,901</w:t>
            </w:r>
          </w:p>
        </w:tc>
      </w:tr>
    </w:tbl>
    <w:p>
      <w:pPr>
        <w:sectPr>
          <w:pgSz w:w="11900" w:h="16838" w:orient="portrait"/>
          <w:cols w:equalWidth="0" w:num="1">
            <w:col w:w="11220"/>
          </w:cols>
          <w:pgMar w:left="320" w:top="89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WESTWOOD HOLDINGS GROUP, INC.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Comprehensive Income (Loss) Attributable to Westwood Holdings Group, Inc. to Economic Earnings (Loss)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per share and share amounts)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supplemental information, we are providing non-GAAP performance measures that we refer to as Economic Earnings (Loss) and Economic EPS. We provide these measures in addition to, not as a substitute for, Comprehensive income (loss) attributable to Westwood Holdings Group, Inc. and earnings (loss) per share, which are reported on a GAAP basis. Our management and Board of Directors review Economic Earnings (Loss) and Economic EPS to evaluate our ongoing performance, allocate resources, and review our dividend policy. We believe that these non-GAAP performance measures, while not substitutes for GAAP Comprehensive income (loss) attributable to Westwood Holdings Group, Inc. or earnings (loss)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define Economic Earnings (Loss) as Comprehensive income (loss) attributable to Westwood Holdings Group, Inc. plus non-cash equity-based compensation expense, amortization of intangible assets and deferred taxes related to goodwill. Although depreciation on fixed assets is a non-cash expense, we do not add it back when calculating Economic Earnings (Loss) because depreciation charges represent an allocation of the decline in the value of the related assets that will ultimately require replacement. Although gains and losses from changes in the fair value of contingent consideration are non-cash, we do not add or subtract those back when calculating Economic Earnings (Loss) because gains and losses on changes in the fair value of contingent consideration are considered regular following an acquisition. In addition, we do not adjust Economic Earnings (Loss) for tax deductions related to restricted stock expense or amortization of intangible assets. Economic EPS represents Economic Earnings (Loss) divided by diluted weighted average shares outstanding.</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3"/>
                <w:szCs w:val="13"/>
                <w:color w:val="auto"/>
              </w:rPr>
            </w:pPr>
          </w:p>
        </w:tc>
        <w:tc>
          <w:tcPr>
            <w:tcW w:w="152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3"/>
                <w:szCs w:val="13"/>
                <w:color w:val="auto"/>
              </w:rPr>
            </w:pPr>
          </w:p>
        </w:tc>
        <w:tc>
          <w:tcPr>
            <w:tcW w:w="1420" w:type="dxa"/>
            <w:vAlign w:val="bottom"/>
          </w:tcPr>
          <w:p>
            <w:pPr>
              <w:jc w:val="right"/>
              <w:ind w:right="25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6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 attributable to Westwood Holdings Group, Inc.</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(3,125)</w:t>
            </w:r>
          </w:p>
        </w:tc>
        <w:tc>
          <w:tcPr>
            <w:tcW w:w="0" w:type="dxa"/>
            <w:vAlign w:val="bottom"/>
          </w:tcPr>
          <w:p>
            <w:pPr>
              <w:spacing w:after="0"/>
              <w:rPr>
                <w:sz w:val="1"/>
                <w:szCs w:val="1"/>
                <w:color w:val="auto"/>
              </w:rPr>
            </w:pPr>
          </w:p>
        </w:tc>
      </w:tr>
      <w:tr>
        <w:trPr>
          <w:trHeight w:val="213"/>
        </w:trPr>
        <w:tc>
          <w:tcPr>
            <w:tcW w:w="6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0" w:type="dxa"/>
            <w:vAlign w:val="bottom"/>
          </w:tcPr>
          <w:p>
            <w:pPr>
              <w:spacing w:after="0"/>
              <w:rPr>
                <w:sz w:val="1"/>
                <w:szCs w:val="1"/>
                <w:color w:val="auto"/>
              </w:rPr>
            </w:pPr>
          </w:p>
        </w:tc>
      </w:tr>
      <w:tr>
        <w:trPr>
          <w:trHeight w:val="219"/>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amortization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0" w:type="dxa"/>
            <w:vAlign w:val="bottom"/>
          </w:tcPr>
          <w:p>
            <w:pPr>
              <w:spacing w:after="0"/>
              <w:rPr>
                <w:sz w:val="1"/>
                <w:szCs w:val="1"/>
                <w:color w:val="auto"/>
              </w:rPr>
            </w:pPr>
          </w:p>
        </w:tc>
      </w:tr>
      <w:tr>
        <w:trPr>
          <w:trHeight w:val="213"/>
        </w:trPr>
        <w:tc>
          <w:tcPr>
            <w:tcW w:w="6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Tax benefit from goodwill amortization</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10"/>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Economic Earnings (Loss)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(loss)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120" w:type="dxa"/>
            <w:vAlign w:val="bottom"/>
            <w:vMerge w:val="continue"/>
          </w:tcPr>
          <w:p>
            <w:pPr>
              <w:spacing w:after="0"/>
              <w:rPr>
                <w:sz w:val="16"/>
                <w:szCs w:val="16"/>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0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0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0" w:type="dxa"/>
            <w:vAlign w:val="bottom"/>
          </w:tcPr>
          <w:p>
            <w:pPr>
              <w:spacing w:after="0"/>
              <w:rPr>
                <w:sz w:val="1"/>
                <w:szCs w:val="1"/>
                <w:color w:val="auto"/>
              </w:rPr>
            </w:pPr>
          </w:p>
        </w:tc>
      </w:tr>
      <w:tr>
        <w:trPr>
          <w:trHeight w:val="219"/>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0" w:type="dxa"/>
            <w:vAlign w:val="bottom"/>
          </w:tcPr>
          <w:p>
            <w:pPr>
              <w:spacing w:after="0"/>
              <w:rPr>
                <w:sz w:val="1"/>
                <w:szCs w:val="1"/>
                <w:color w:val="auto"/>
              </w:rPr>
            </w:pPr>
          </w:p>
        </w:tc>
      </w:tr>
      <w:tr>
        <w:trPr>
          <w:trHeight w:val="213"/>
        </w:trPr>
        <w:tc>
          <w:tcPr>
            <w:tcW w:w="6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amortization</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benefit from goodwill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2"/>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Economic EPS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shares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8,184,736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8,116,747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7,775,545</w:t>
            </w:r>
          </w:p>
        </w:tc>
        <w:tc>
          <w:tcPr>
            <w:tcW w:w="0" w:type="dxa"/>
            <w:vAlign w:val="bottom"/>
          </w:tcPr>
          <w:p>
            <w:pPr>
              <w:spacing w:after="0"/>
              <w:rPr>
                <w:sz w:val="1"/>
                <w:szCs w:val="1"/>
                <w:color w:val="auto"/>
              </w:rPr>
            </w:pPr>
          </w:p>
        </w:tc>
      </w:tr>
    </w:tbl>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11"/>
        </w:trPr>
        <w:tc>
          <w:tcPr>
            <w:tcW w:w="78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 attributable to Westwood Holdings Group, Inc.</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(4,628)</w:t>
            </w:r>
          </w:p>
        </w:tc>
        <w:tc>
          <w:tcPr>
            <w:tcW w:w="0" w:type="dxa"/>
            <w:vAlign w:val="bottom"/>
          </w:tcPr>
          <w:p>
            <w:pPr>
              <w:spacing w:after="0"/>
              <w:rPr>
                <w:sz w:val="1"/>
                <w:szCs w:val="1"/>
                <w:color w:val="auto"/>
              </w:rPr>
            </w:pPr>
          </w:p>
        </w:tc>
      </w:tr>
      <w:tr>
        <w:trPr>
          <w:trHeight w:val="213"/>
        </w:trPr>
        <w:tc>
          <w:tcPr>
            <w:tcW w:w="7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6,001</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Intangible amortization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1,889</w:t>
            </w:r>
          </w:p>
        </w:tc>
        <w:tc>
          <w:tcPr>
            <w:tcW w:w="0" w:type="dxa"/>
            <w:vAlign w:val="bottom"/>
          </w:tcPr>
          <w:p>
            <w:pPr>
              <w:spacing w:after="0"/>
              <w:rPr>
                <w:sz w:val="1"/>
                <w:szCs w:val="1"/>
                <w:color w:val="auto"/>
              </w:rPr>
            </w:pPr>
          </w:p>
        </w:tc>
      </w:tr>
      <w:tr>
        <w:trPr>
          <w:trHeight w:val="213"/>
        </w:trPr>
        <w:tc>
          <w:tcPr>
            <w:tcW w:w="7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Tax benefit from goodwill amortization</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21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Economic Earnings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20,717</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3,564</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(loss) per share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800" w:type="dxa"/>
            <w:vAlign w:val="bottom"/>
            <w:vMerge w:val="continue"/>
          </w:tcPr>
          <w:p>
            <w:pPr>
              <w:spacing w:after="0"/>
              <w:rPr>
                <w:sz w:val="16"/>
                <w:szCs w:val="16"/>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6"/>
                <w:szCs w:val="16"/>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0" w:type="dxa"/>
            <w:vAlign w:val="bottom"/>
          </w:tcPr>
          <w:p>
            <w:pPr>
              <w:spacing w:after="0"/>
              <w:rPr>
                <w:sz w:val="1"/>
                <w:szCs w:val="1"/>
                <w:color w:val="auto"/>
              </w:rPr>
            </w:pPr>
          </w:p>
        </w:tc>
      </w:tr>
      <w:tr>
        <w:trPr>
          <w:trHeight w:val="213"/>
        </w:trPr>
        <w:tc>
          <w:tcPr>
            <w:tcW w:w="7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amortization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Tax benefit from goodwill amortization</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12"/>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Economic EPS</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shares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8,112,139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7,844,363</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2024-02-14T15:42:38Z</dcterms:created>
  <dcterms:modified xsi:type="dcterms:W3CDTF">2024-02-14T15:42:38Z</dcterms:modified>
</cp:coreProperties>
</file>