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1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16" w:lineRule="exact"/>
        <w:rPr>
          <w:sz w:val="24"/>
          <w:szCs w:val="24"/>
          <w:color w:val="auto"/>
        </w:rPr>
      </w:pPr>
    </w:p>
    <w:p>
      <w:pPr>
        <w:ind w:left="480" w:hanging="344"/>
        <w:spacing w:after="0"/>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480" w:hanging="330"/>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92" w:lineRule="exact"/>
        <w:rPr>
          <w:sz w:val="24"/>
          <w:szCs w:val="24"/>
          <w:color w:val="auto"/>
        </w:rPr>
      </w:pPr>
    </w:p>
    <w:tbl>
      <w:tblPr>
        <w:tblLayout w:type="fixed"/>
        <w:tblInd w:w="376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w:t>
            </w:r>
          </w:p>
        </w:tc>
      </w:tr>
      <w:tr>
        <w:trPr>
          <w:trHeight w:val="345"/>
        </w:trPr>
        <w:tc>
          <w:tcPr>
            <w:tcW w:w="314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Commission file number 1-31234</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1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6"/>
          <w:szCs w:val="36"/>
          <w:b w:val="1"/>
          <w:bCs w:val="1"/>
          <w:color w:val="auto"/>
        </w:rPr>
        <w:t>WESTWOOD HOLDINGS GROUP, INC.</w:t>
      </w:r>
    </w:p>
    <w:p>
      <w:pPr>
        <w:spacing w:after="0" w:line="5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27" w:lineRule="exact"/>
        <w:rPr>
          <w:sz w:val="24"/>
          <w:szCs w:val="24"/>
          <w:color w:val="auto"/>
        </w:rPr>
      </w:pPr>
    </w:p>
    <w:tbl>
      <w:tblPr>
        <w:tblLayout w:type="fixed"/>
        <w:tblInd w:w="420" w:type="dxa"/>
        <w:tblCellMar>
          <w:top w:w="0" w:type="dxa"/>
          <w:left w:w="0" w:type="dxa"/>
          <w:bottom w:w="0" w:type="dxa"/>
          <w:right w:w="0" w:type="dxa"/>
        </w:tblCellMar>
      </w:tblPr>
      <w:tr>
        <w:trPr>
          <w:trHeight w:val="229"/>
        </w:trPr>
        <w:tc>
          <w:tcPr>
            <w:tcW w:w="3560" w:type="dxa"/>
            <w:vAlign w:val="bottom"/>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10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75-2969997</w:t>
            </w:r>
          </w:p>
        </w:tc>
      </w:tr>
      <w:tr>
        <w:trPr>
          <w:trHeight w:val="188"/>
        </w:trPr>
        <w:tc>
          <w:tcPr>
            <w:tcW w:w="35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6100" w:type="dxa"/>
            <w:vAlign w:val="bottom"/>
          </w:tcPr>
          <w:p>
            <w:pPr>
              <w:jc w:val="center"/>
              <w:ind w:left="401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47"/>
        </w:trPr>
        <w:tc>
          <w:tcPr>
            <w:tcW w:w="3560" w:type="dxa"/>
            <w:vAlign w:val="bottom"/>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w w:val="99"/>
              </w:rPr>
              <w:t>200 CRESCENT COURT, SUITE 1200</w:t>
            </w:r>
          </w:p>
        </w:tc>
        <w:tc>
          <w:tcPr>
            <w:tcW w:w="6100" w:type="dxa"/>
            <w:vAlign w:val="bottom"/>
          </w:tcPr>
          <w:p>
            <w:pPr>
              <w:spacing w:after="0"/>
              <w:rPr>
                <w:sz w:val="24"/>
                <w:szCs w:val="24"/>
                <w:color w:val="auto"/>
              </w:rPr>
            </w:pPr>
          </w:p>
        </w:tc>
      </w:tr>
      <w:tr>
        <w:trPr>
          <w:trHeight w:val="229"/>
        </w:trPr>
        <w:tc>
          <w:tcPr>
            <w:tcW w:w="356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DALLAS, Texas</w:t>
            </w:r>
          </w:p>
        </w:tc>
        <w:tc>
          <w:tcPr>
            <w:tcW w:w="6100" w:type="dxa"/>
            <w:vAlign w:val="bottom"/>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88"/>
        </w:trPr>
        <w:tc>
          <w:tcPr>
            <w:tcW w:w="3560" w:type="dxa"/>
            <w:vAlign w:val="bottom"/>
          </w:tcPr>
          <w:p>
            <w:pPr>
              <w:jc w:val="center"/>
              <w:ind w:right="17"/>
              <w:spacing w:after="0"/>
              <w:rPr>
                <w:sz w:val="20"/>
                <w:szCs w:val="20"/>
                <w:color w:val="auto"/>
              </w:rPr>
            </w:pPr>
            <w:r>
              <w:rPr>
                <w:rFonts w:ascii="Times New Roman" w:cs="Times New Roman" w:eastAsia="Times New Roman" w:hAnsi="Times New Roman"/>
                <w:sz w:val="14"/>
                <w:szCs w:val="14"/>
                <w:color w:val="auto"/>
              </w:rPr>
              <w:t>(Address of principal executive office)</w:t>
            </w:r>
          </w:p>
        </w:tc>
        <w:tc>
          <w:tcPr>
            <w:tcW w:w="6100" w:type="dxa"/>
            <w:vAlign w:val="bottom"/>
          </w:tcPr>
          <w:p>
            <w:pPr>
              <w:jc w:val="center"/>
              <w:ind w:left="4019"/>
              <w:spacing w:after="0"/>
              <w:rPr>
                <w:sz w:val="20"/>
                <w:szCs w:val="20"/>
                <w:color w:val="auto"/>
              </w:rPr>
            </w:pPr>
            <w:r>
              <w:rPr>
                <w:rFonts w:ascii="Times New Roman" w:cs="Times New Roman" w:eastAsia="Times New Roman" w:hAnsi="Times New Roman"/>
                <w:sz w:val="14"/>
                <w:szCs w:val="14"/>
                <w:color w:val="auto"/>
              </w:rPr>
              <w:t>(Zip Code)</w:t>
            </w:r>
          </w:p>
        </w:tc>
      </w:tr>
      <w:tr>
        <w:trPr>
          <w:trHeight w:val="365"/>
        </w:trPr>
        <w:tc>
          <w:tcPr>
            <w:tcW w:w="3560" w:type="dxa"/>
            <w:vAlign w:val="bottom"/>
          </w:tcPr>
          <w:p>
            <w:pPr>
              <w:spacing w:after="0"/>
              <w:rPr>
                <w:sz w:val="24"/>
                <w:szCs w:val="24"/>
                <w:color w:val="auto"/>
              </w:rPr>
            </w:pPr>
          </w:p>
        </w:tc>
        <w:tc>
          <w:tcPr>
            <w:tcW w:w="6100" w:type="dxa"/>
            <w:vAlign w:val="bottom"/>
          </w:tcPr>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(214) 756-6900</w:t>
            </w:r>
          </w:p>
        </w:tc>
      </w:tr>
      <w:tr>
        <w:trPr>
          <w:trHeight w:val="188"/>
        </w:trPr>
        <w:tc>
          <w:tcPr>
            <w:tcW w:w="3560" w:type="dxa"/>
            <w:vAlign w:val="bottom"/>
          </w:tcPr>
          <w:p>
            <w:pPr>
              <w:spacing w:after="0"/>
              <w:rPr>
                <w:sz w:val="16"/>
                <w:szCs w:val="16"/>
                <w:color w:val="auto"/>
              </w:rPr>
            </w:pPr>
          </w:p>
        </w:tc>
        <w:tc>
          <w:tcPr>
            <w:tcW w:w="6100" w:type="dxa"/>
            <w:vAlign w:val="bottom"/>
          </w:tcPr>
          <w:p>
            <w:pPr>
              <w:jc w:val="center"/>
              <w:ind w:right="27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57" w:lineRule="exact"/>
        <w:rPr>
          <w:sz w:val="24"/>
          <w:szCs w:val="24"/>
          <w:color w:val="auto"/>
        </w:rPr>
      </w:pPr>
    </w:p>
    <w:tbl>
      <w:tblPr>
        <w:tblLayout w:type="fixed"/>
        <w:tblInd w:w="860" w:type="dxa"/>
        <w:tblCellMar>
          <w:top w:w="0" w:type="dxa"/>
          <w:left w:w="0" w:type="dxa"/>
          <w:bottom w:w="0" w:type="dxa"/>
          <w:right w:w="0" w:type="dxa"/>
        </w:tblCellMar>
      </w:tblPr>
      <w:tr>
        <w:trPr>
          <w:trHeight w:val="188"/>
        </w:trPr>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85"/>
        </w:trPr>
        <w:tc>
          <w:tcPr>
            <w:tcW w:w="6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3"/>
        </w:trPr>
        <w:tc>
          <w:tcPr>
            <w:tcW w:w="27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520" w:type="dxa"/>
            <w:vAlign w:val="bottom"/>
          </w:tcPr>
          <w:p>
            <w:pPr>
              <w:spacing w:after="0"/>
              <w:rPr>
                <w:sz w:val="18"/>
                <w:szCs w:val="18"/>
                <w:color w:val="auto"/>
              </w:rPr>
            </w:pPr>
          </w:p>
        </w:tc>
        <w:tc>
          <w:tcPr>
            <w:tcW w:w="24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WHG</w:t>
            </w:r>
          </w:p>
        </w:tc>
        <w:tc>
          <w:tcPr>
            <w:tcW w:w="2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49" w:lineRule="exact"/>
        <w:rPr>
          <w:sz w:val="24"/>
          <w:szCs w:val="24"/>
          <w:color w:val="auto"/>
        </w:rPr>
      </w:pPr>
    </w:p>
    <w:p>
      <w:pPr>
        <w:ind w:right="1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2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6"/>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2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18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9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0" w:lineRule="exact"/>
        <w:rPr>
          <w:sz w:val="24"/>
          <w:szCs w:val="24"/>
          <w:color w:val="auto"/>
        </w:rPr>
      </w:pPr>
    </w:p>
    <w:p>
      <w:pPr>
        <w:ind w:right="42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ind w:right="3620"/>
        <w:spacing w:after="0" w:line="22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Shares of common stock, par value $0.01 per share, outstanding as of April 24, 2024: 9,313,223.</w:t>
      </w:r>
    </w:p>
    <w:p>
      <w:pPr>
        <w:spacing w:after="0" w:line="1"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802640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58" w:right="4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PART I</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FINANCIAL INFORMATION</w:t>
            </w:r>
          </w:p>
        </w:tc>
        <w:tc>
          <w:tcPr>
            <w:tcW w:w="24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PAGE</w:t>
            </w:r>
          </w:p>
        </w:tc>
      </w:tr>
      <w:tr>
        <w:trPr>
          <w:trHeight w:val="324"/>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1.</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Financial Statements</w:t>
            </w:r>
          </w:p>
        </w:tc>
        <w:tc>
          <w:tcPr>
            <w:tcW w:w="2460" w:type="dxa"/>
            <w:vAlign w:val="bottom"/>
          </w:tcPr>
          <w:p>
            <w:pPr>
              <w:spacing w:after="0"/>
              <w:rPr>
                <w:sz w:val="24"/>
                <w:szCs w:val="24"/>
                <w:color w:val="auto"/>
              </w:rPr>
            </w:pPr>
          </w:p>
        </w:tc>
      </w:tr>
      <w:tr>
        <w:trPr>
          <w:trHeight w:val="289"/>
        </w:trPr>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Condensed Consolidated Balance Sheets</w:t>
            </w:r>
          </w:p>
        </w:tc>
        <w:tc>
          <w:tcPr>
            <w:tcW w:w="5000" w:type="dxa"/>
            <w:vAlign w:val="bottom"/>
            <w:gridSpan w:val="8"/>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w:t>
            </w:r>
          </w:p>
        </w:tc>
      </w:tr>
      <w:tr>
        <w:trPr>
          <w:trHeight w:val="250"/>
        </w:trPr>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1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Condensed Consolidated Statements of Comprehensive Income</w:t>
            </w:r>
          </w:p>
        </w:tc>
        <w:tc>
          <w:tcPr>
            <w:tcW w:w="3520" w:type="dxa"/>
            <w:vAlign w:val="bottom"/>
            <w:gridSpan w:val="2"/>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w:t>
            </w:r>
          </w:p>
        </w:tc>
      </w:tr>
      <w:tr>
        <w:trPr>
          <w:trHeight w:val="250"/>
        </w:trPr>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Condensed Consolidated Statements of Stockholders’ Equity</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w:t>
            </w:r>
          </w:p>
        </w:tc>
      </w:tr>
      <w:tr>
        <w:trPr>
          <w:trHeight w:val="250"/>
        </w:trPr>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w:t>
            </w:r>
          </w:p>
        </w:tc>
        <w:tc>
          <w:tcPr>
            <w:tcW w:w="600" w:type="dxa"/>
            <w:vAlign w:val="bottom"/>
            <w:tcBorders>
              <w:top w:val="single" w:sz="8" w:color="0000FF"/>
            </w:tcBorders>
            <w:gridSpan w:val="4"/>
          </w:tcPr>
          <w:p>
            <w:pPr>
              <w:spacing w:after="0"/>
              <w:rPr>
                <w:sz w:val="21"/>
                <w:szCs w:val="21"/>
                <w:color w:val="auto"/>
              </w:rPr>
            </w:pPr>
          </w:p>
        </w:tc>
        <w:tc>
          <w:tcPr>
            <w:tcW w:w="3700" w:type="dxa"/>
            <w:vAlign w:val="bottom"/>
            <w:gridSpan w:val="3"/>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r>
      <w:tr>
        <w:trPr>
          <w:trHeight w:val="250"/>
        </w:trPr>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Notes to Condensed Consolidated Financial Statements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w:t>
            </w:r>
          </w:p>
        </w:tc>
      </w:tr>
      <w:tr>
        <w:trPr>
          <w:trHeight w:val="20"/>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2.</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3.</w:t>
            </w:r>
          </w:p>
        </w:tc>
        <w:tc>
          <w:tcPr>
            <w:tcW w:w="39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880" w:type="dxa"/>
            <w:vAlign w:val="bottom"/>
            <w:tcBorders>
              <w:top w:val="single" w:sz="8" w:color="0000FF"/>
            </w:tcBorders>
            <w:gridSpan w:val="3"/>
          </w:tcPr>
          <w:p>
            <w:pPr>
              <w:spacing w:after="0"/>
              <w:rPr>
                <w:sz w:val="21"/>
                <w:szCs w:val="21"/>
                <w:color w:val="auto"/>
              </w:rPr>
            </w:pPr>
          </w:p>
        </w:tc>
        <w:tc>
          <w:tcPr>
            <w:tcW w:w="184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4.</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w:t>
            </w:r>
          </w:p>
        </w:tc>
      </w:tr>
      <w:tr>
        <w:trPr>
          <w:trHeight w:val="20"/>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PART II</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1.</w:t>
            </w:r>
          </w:p>
        </w:tc>
        <w:tc>
          <w:tcPr>
            <w:tcW w:w="12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Legal Proceedings</w:t>
            </w:r>
          </w:p>
        </w:tc>
        <w:tc>
          <w:tcPr>
            <w:tcW w:w="480" w:type="dxa"/>
            <w:vAlign w:val="bottom"/>
            <w:tcBorders>
              <w:top w:val="single" w:sz="8" w:color="0000FF"/>
            </w:tcBorders>
            <w:gridSpan w:val="2"/>
          </w:tcPr>
          <w:p>
            <w:pPr>
              <w:spacing w:after="0"/>
              <w:rPr>
                <w:sz w:val="21"/>
                <w:szCs w:val="21"/>
                <w:color w:val="auto"/>
              </w:rPr>
            </w:pPr>
          </w:p>
        </w:tc>
        <w:tc>
          <w:tcPr>
            <w:tcW w:w="5960" w:type="dxa"/>
            <w:vAlign w:val="bottom"/>
            <w:gridSpan w:val="9"/>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1A.</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w:t>
            </w:r>
          </w:p>
        </w:tc>
      </w:tr>
      <w:tr>
        <w:trPr>
          <w:trHeight w:val="20"/>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2.</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6.</w:t>
            </w:r>
          </w:p>
        </w:tc>
        <w:tc>
          <w:tcPr>
            <w:tcW w:w="39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Exhibits</w:t>
            </w:r>
          </w:p>
        </w:tc>
        <w:tc>
          <w:tcPr>
            <w:tcW w:w="3740" w:type="dxa"/>
            <w:vAlign w:val="bottom"/>
            <w:gridSpan w:val="5"/>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Signatures</w:t>
            </w:r>
          </w:p>
        </w:tc>
        <w:tc>
          <w:tcPr>
            <w:tcW w:w="540" w:type="dxa"/>
            <w:vAlign w:val="bottom"/>
            <w:tcBorders>
              <w:top w:val="single" w:sz="8" w:color="0000FF"/>
            </w:tcBorders>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w:t>
            </w:r>
          </w:p>
        </w:tc>
      </w:tr>
      <w:tr>
        <w:trPr>
          <w:trHeight w:val="2943"/>
        </w:trPr>
        <w:tc>
          <w:tcPr>
            <w:tcW w:w="60" w:type="dxa"/>
            <w:vAlign w:val="bottom"/>
            <w:tcBorders>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240" w:type="dxa"/>
            <w:vAlign w:val="bottom"/>
          </w:tcPr>
          <w:p>
            <w:pPr>
              <w:spacing w:after="0"/>
              <w:rPr>
                <w:sz w:val="17"/>
                <w:szCs w:val="17"/>
                <w:color w:val="auto"/>
              </w:rPr>
            </w:pPr>
          </w:p>
        </w:tc>
        <w:tc>
          <w:tcPr>
            <w:tcW w:w="174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187"/>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25,888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20,422</w:t>
            </w:r>
          </w:p>
        </w:tc>
        <w:tc>
          <w:tcPr>
            <w:tcW w:w="0" w:type="dxa"/>
            <w:vAlign w:val="bottom"/>
          </w:tcPr>
          <w:p>
            <w:pPr>
              <w:spacing w:after="0"/>
              <w:rPr>
                <w:sz w:val="1"/>
                <w:szCs w:val="1"/>
                <w:color w:val="auto"/>
              </w:rPr>
            </w:pPr>
          </w:p>
        </w:tc>
      </w:tr>
      <w:tr>
        <w:trPr>
          <w:trHeight w:val="200"/>
        </w:trPr>
        <w:tc>
          <w:tcPr>
            <w:tcW w:w="694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Accounts receivable</w:t>
            </w: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14,394</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Investments, at fair value</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32,674</w:t>
            </w:r>
          </w:p>
        </w:tc>
        <w:tc>
          <w:tcPr>
            <w:tcW w:w="0" w:type="dxa"/>
            <w:vAlign w:val="bottom"/>
          </w:tcPr>
          <w:p>
            <w:pPr>
              <w:spacing w:after="0"/>
              <w:rPr>
                <w:sz w:val="1"/>
                <w:szCs w:val="1"/>
                <w:color w:val="auto"/>
              </w:rPr>
            </w:pPr>
          </w:p>
        </w:tc>
      </w:tr>
      <w:tr>
        <w:trPr>
          <w:trHeight w:val="200"/>
        </w:trPr>
        <w:tc>
          <w:tcPr>
            <w:tcW w:w="694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Prepaid income taxes</w:t>
            </w:r>
          </w:p>
        </w:tc>
        <w:tc>
          <w:tcPr>
            <w:tcW w:w="300" w:type="dxa"/>
            <w:vAlign w:val="bottom"/>
          </w:tcPr>
          <w:p>
            <w:pPr>
              <w:spacing w:after="0"/>
              <w:rPr>
                <w:sz w:val="17"/>
                <w:szCs w:val="17"/>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Other current assets</w:t>
            </w:r>
          </w:p>
        </w:tc>
        <w:tc>
          <w:tcPr>
            <w:tcW w:w="3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4,543</w:t>
            </w:r>
          </w:p>
        </w:tc>
        <w:tc>
          <w:tcPr>
            <w:tcW w:w="0" w:type="dxa"/>
            <w:vAlign w:val="bottom"/>
          </w:tcPr>
          <w:p>
            <w:pPr>
              <w:spacing w:after="0"/>
              <w:rPr>
                <w:sz w:val="1"/>
                <w:szCs w:val="1"/>
                <w:color w:val="auto"/>
              </w:rPr>
            </w:pPr>
          </w:p>
        </w:tc>
      </w:tr>
      <w:tr>
        <w:trPr>
          <w:trHeight w:val="194"/>
        </w:trPr>
        <w:tc>
          <w:tcPr>
            <w:tcW w:w="69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Total current assets</w:t>
            </w:r>
          </w:p>
        </w:tc>
        <w:tc>
          <w:tcPr>
            <w:tcW w:w="3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66,483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72,238</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Investments</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7,247</w:t>
            </w:r>
          </w:p>
        </w:tc>
        <w:tc>
          <w:tcPr>
            <w:tcW w:w="0" w:type="dxa"/>
            <w:vAlign w:val="bottom"/>
          </w:tcPr>
          <w:p>
            <w:pPr>
              <w:spacing w:after="0"/>
              <w:rPr>
                <w:sz w:val="1"/>
                <w:szCs w:val="1"/>
                <w:color w:val="auto"/>
              </w:rPr>
            </w:pPr>
          </w:p>
        </w:tc>
      </w:tr>
      <w:tr>
        <w:trPr>
          <w:trHeight w:val="200"/>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method investments</w:t>
            </w: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4,284</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Noncurrent investments at fair value</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0" w:type="dxa"/>
            <w:vAlign w:val="bottom"/>
          </w:tcPr>
          <w:p>
            <w:pPr>
              <w:spacing w:after="0"/>
              <w:rPr>
                <w:sz w:val="1"/>
                <w:szCs w:val="1"/>
                <w:color w:val="auto"/>
              </w:rPr>
            </w:pPr>
          </w:p>
        </w:tc>
      </w:tr>
      <w:tr>
        <w:trPr>
          <w:trHeight w:val="200"/>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39,501</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726</w:t>
            </w:r>
          </w:p>
        </w:tc>
        <w:tc>
          <w:tcPr>
            <w:tcW w:w="0" w:type="dxa"/>
            <w:vAlign w:val="bottom"/>
          </w:tcPr>
          <w:p>
            <w:pPr>
              <w:spacing w:after="0"/>
              <w:rPr>
                <w:sz w:val="1"/>
                <w:szCs w:val="1"/>
                <w:color w:val="auto"/>
              </w:rPr>
            </w:pPr>
          </w:p>
        </w:tc>
      </w:tr>
      <w:tr>
        <w:trPr>
          <w:trHeight w:val="200"/>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3,673</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24,803</w:t>
            </w:r>
          </w:p>
        </w:tc>
        <w:tc>
          <w:tcPr>
            <w:tcW w:w="0" w:type="dxa"/>
            <w:vAlign w:val="bottom"/>
          </w:tcPr>
          <w:p>
            <w:pPr>
              <w:spacing w:after="0"/>
              <w:rPr>
                <w:sz w:val="1"/>
                <w:szCs w:val="1"/>
                <w:color w:val="auto"/>
              </w:rPr>
            </w:pPr>
          </w:p>
        </w:tc>
      </w:tr>
      <w:tr>
        <w:trPr>
          <w:trHeight w:val="200"/>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and equipment, net of accumulated depreciation of $9,421 and $10,078</w:t>
            </w: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1,444</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assets</w:t>
            </w:r>
          </w:p>
        </w:tc>
        <w:tc>
          <w:tcPr>
            <w:tcW w:w="3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1,010</w:t>
            </w:r>
          </w:p>
        </w:tc>
        <w:tc>
          <w:tcPr>
            <w:tcW w:w="0" w:type="dxa"/>
            <w:vAlign w:val="bottom"/>
          </w:tcPr>
          <w:p>
            <w:pPr>
              <w:spacing w:after="0"/>
              <w:rPr>
                <w:sz w:val="1"/>
                <w:szCs w:val="1"/>
                <w:color w:val="auto"/>
              </w:rPr>
            </w:pPr>
          </w:p>
        </w:tc>
      </w:tr>
      <w:tr>
        <w:trPr>
          <w:trHeight w:val="194"/>
        </w:trPr>
        <w:tc>
          <w:tcPr>
            <w:tcW w:w="6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5"/>
                <w:szCs w:val="15"/>
                <w:color w:val="auto"/>
              </w:rPr>
              <w:t>Total long-term assets</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82,559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82,929</w:t>
            </w:r>
          </w:p>
        </w:tc>
        <w:tc>
          <w:tcPr>
            <w:tcW w:w="0" w:type="dxa"/>
            <w:vAlign w:val="bottom"/>
          </w:tcPr>
          <w:p>
            <w:pPr>
              <w:spacing w:after="0"/>
              <w:rPr>
                <w:sz w:val="1"/>
                <w:szCs w:val="1"/>
                <w:color w:val="auto"/>
              </w:rPr>
            </w:pPr>
          </w:p>
        </w:tc>
      </w:tr>
      <w:tr>
        <w:trPr>
          <w:trHeight w:val="221"/>
        </w:trPr>
        <w:tc>
          <w:tcPr>
            <w:tcW w:w="6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149,042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155,167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9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4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6,846</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6,130</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Dividends payable</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1,692</w:t>
            </w:r>
          </w:p>
        </w:tc>
        <w:tc>
          <w:tcPr>
            <w:tcW w:w="0" w:type="dxa"/>
            <w:vAlign w:val="bottom"/>
          </w:tcPr>
          <w:p>
            <w:pPr>
              <w:spacing w:after="0"/>
              <w:rPr>
                <w:sz w:val="1"/>
                <w:szCs w:val="1"/>
                <w:color w:val="auto"/>
              </w:rPr>
            </w:pPr>
          </w:p>
        </w:tc>
      </w:tr>
      <w:tr>
        <w:trPr>
          <w:trHeight w:val="200"/>
        </w:trPr>
        <w:tc>
          <w:tcPr>
            <w:tcW w:w="694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Compensation and benefits payable</w:t>
            </w: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9,539</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1,286</w:t>
            </w:r>
          </w:p>
        </w:tc>
        <w:tc>
          <w:tcPr>
            <w:tcW w:w="0" w:type="dxa"/>
            <w:vAlign w:val="bottom"/>
          </w:tcPr>
          <w:p>
            <w:pPr>
              <w:spacing w:after="0"/>
              <w:rPr>
                <w:sz w:val="1"/>
                <w:szCs w:val="1"/>
                <w:color w:val="auto"/>
              </w:rPr>
            </w:pPr>
          </w:p>
        </w:tc>
      </w:tr>
      <w:tr>
        <w:trPr>
          <w:trHeight w:val="200"/>
        </w:trPr>
        <w:tc>
          <w:tcPr>
            <w:tcW w:w="69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5"/>
                <w:szCs w:val="15"/>
                <w:color w:val="auto"/>
              </w:rPr>
              <w:t>Income taxes payable</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2,035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18,647</w:t>
            </w:r>
          </w:p>
        </w:tc>
        <w:tc>
          <w:tcPr>
            <w:tcW w:w="0" w:type="dxa"/>
            <w:vAlign w:val="bottom"/>
          </w:tcPr>
          <w:p>
            <w:pPr>
              <w:spacing w:after="0"/>
              <w:rPr>
                <w:sz w:val="1"/>
                <w:szCs w:val="1"/>
                <w:color w:val="auto"/>
              </w:rPr>
            </w:pPr>
          </w:p>
        </w:tc>
      </w:tr>
      <w:tr>
        <w:trPr>
          <w:trHeight w:val="200"/>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dividends</w:t>
            </w: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675</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10,133</w:t>
            </w:r>
          </w:p>
        </w:tc>
        <w:tc>
          <w:tcPr>
            <w:tcW w:w="0" w:type="dxa"/>
            <w:vAlign w:val="bottom"/>
          </w:tcPr>
          <w:p>
            <w:pPr>
              <w:spacing w:after="0"/>
              <w:rPr>
                <w:sz w:val="1"/>
                <w:szCs w:val="1"/>
                <w:color w:val="auto"/>
              </w:rPr>
            </w:pPr>
          </w:p>
        </w:tc>
      </w:tr>
      <w:tr>
        <w:trPr>
          <w:trHeight w:val="20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Noncurrent operating lease liabilities</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3,266</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Total long-term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10,667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14,074</w:t>
            </w:r>
          </w:p>
        </w:tc>
        <w:tc>
          <w:tcPr>
            <w:tcW w:w="0" w:type="dxa"/>
            <w:vAlign w:val="bottom"/>
          </w:tcPr>
          <w:p>
            <w:pPr>
              <w:spacing w:after="0"/>
              <w:rPr>
                <w:sz w:val="1"/>
                <w:szCs w:val="1"/>
                <w:color w:val="auto"/>
              </w:rPr>
            </w:pPr>
          </w:p>
        </w:tc>
      </w:tr>
      <w:tr>
        <w:trPr>
          <w:trHeight w:val="194"/>
        </w:trPr>
        <w:tc>
          <w:tcPr>
            <w:tcW w:w="6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25,287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32,721</w:t>
            </w:r>
          </w:p>
        </w:tc>
        <w:tc>
          <w:tcPr>
            <w:tcW w:w="0" w:type="dxa"/>
            <w:vAlign w:val="bottom"/>
          </w:tcPr>
          <w:p>
            <w:pPr>
              <w:spacing w:after="0"/>
              <w:rPr>
                <w:sz w:val="1"/>
                <w:szCs w:val="1"/>
                <w:color w:val="auto"/>
              </w:rPr>
            </w:pPr>
          </w:p>
        </w:tc>
      </w:tr>
      <w:tr>
        <w:trPr>
          <w:trHeight w:val="18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11)</w:t>
            </w:r>
          </w:p>
        </w:tc>
        <w:tc>
          <w:tcPr>
            <w:tcW w:w="3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940" w:type="dxa"/>
            <w:vAlign w:val="bottom"/>
            <w:shd w:val="clear" w:color="auto" w:fill="CCEEFF"/>
          </w:tcPr>
          <w:p>
            <w:pPr>
              <w:ind w:left="480"/>
              <w:spacing w:after="0" w:line="149" w:lineRule="exact"/>
              <w:rPr>
                <w:sz w:val="20"/>
                <w:szCs w:val="20"/>
                <w:color w:val="auto"/>
              </w:rPr>
            </w:pPr>
            <w:r>
              <w:rPr>
                <w:rFonts w:ascii="Times New Roman" w:cs="Times New Roman" w:eastAsia="Times New Roman" w:hAnsi="Times New Roman"/>
                <w:sz w:val="15"/>
                <w:szCs w:val="15"/>
                <w:color w:val="auto"/>
              </w:rPr>
              <w:t>Common stock, $0.01 par value, authorized 25,000,000 shares, issued 12,125,042 and 11,856,737,</w:t>
            </w:r>
          </w:p>
        </w:tc>
        <w:tc>
          <w:tcPr>
            <w:tcW w:w="3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respectively and outstanding 9,330,762 and 9,140,760, respectively</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0" w:type="dxa"/>
            <w:vAlign w:val="bottom"/>
          </w:tcPr>
          <w:p>
            <w:pPr>
              <w:spacing w:after="0"/>
              <w:rPr>
                <w:sz w:val="1"/>
                <w:szCs w:val="1"/>
                <w:color w:val="auto"/>
              </w:rPr>
            </w:pPr>
          </w:p>
        </w:tc>
      </w:tr>
      <w:tr>
        <w:trPr>
          <w:trHeight w:val="200"/>
        </w:trPr>
        <w:tc>
          <w:tcPr>
            <w:tcW w:w="694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201,899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201,622</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Treasury stock, at cost – 2,794,280 and 2,715,977, respectively</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(86,930)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(85,990)</w:t>
            </w:r>
          </w:p>
        </w:tc>
        <w:tc>
          <w:tcPr>
            <w:tcW w:w="0" w:type="dxa"/>
            <w:vAlign w:val="bottom"/>
          </w:tcPr>
          <w:p>
            <w:pPr>
              <w:spacing w:after="0"/>
              <w:rPr>
                <w:sz w:val="1"/>
                <w:szCs w:val="1"/>
                <w:color w:val="auto"/>
              </w:rPr>
            </w:pPr>
          </w:p>
        </w:tc>
      </w:tr>
      <w:tr>
        <w:trPr>
          <w:trHeight w:val="200"/>
        </w:trPr>
        <w:tc>
          <w:tcPr>
            <w:tcW w:w="69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5"/>
                <w:szCs w:val="15"/>
                <w:color w:val="auto"/>
              </w:rPr>
              <w:t>Retained earnings</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6,749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4,650</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Westwood Holdings Group, Inc. stockholders’ equity</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121,840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120,401</w:t>
            </w:r>
          </w:p>
        </w:tc>
        <w:tc>
          <w:tcPr>
            <w:tcW w:w="0" w:type="dxa"/>
            <w:vAlign w:val="bottom"/>
          </w:tcPr>
          <w:p>
            <w:pPr>
              <w:spacing w:after="0"/>
              <w:rPr>
                <w:sz w:val="1"/>
                <w:szCs w:val="1"/>
                <w:color w:val="auto"/>
              </w:rPr>
            </w:pPr>
          </w:p>
        </w:tc>
      </w:tr>
      <w:tr>
        <w:trPr>
          <w:trHeight w:val="202"/>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Noncontrolling interest in consolidated subsidiary</w:t>
            </w: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2,045</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3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123,755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122,446</w:t>
            </w:r>
          </w:p>
        </w:tc>
        <w:tc>
          <w:tcPr>
            <w:tcW w:w="0" w:type="dxa"/>
            <w:vAlign w:val="bottom"/>
          </w:tcPr>
          <w:p>
            <w:pPr>
              <w:spacing w:after="0"/>
              <w:rPr>
                <w:sz w:val="1"/>
                <w:szCs w:val="1"/>
                <w:color w:val="auto"/>
              </w:rPr>
            </w:pPr>
          </w:p>
        </w:tc>
      </w:tr>
      <w:tr>
        <w:trPr>
          <w:trHeight w:val="194"/>
        </w:trPr>
        <w:tc>
          <w:tcPr>
            <w:tcW w:w="694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149,042</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155,167</w:t>
            </w:r>
          </w:p>
        </w:tc>
        <w:tc>
          <w:tcPr>
            <w:tcW w:w="0" w:type="dxa"/>
            <w:vAlign w:val="bottom"/>
          </w:tcPr>
          <w:p>
            <w:pPr>
              <w:spacing w:after="0"/>
              <w:rPr>
                <w:sz w:val="1"/>
                <w:szCs w:val="1"/>
                <w:color w:val="auto"/>
              </w:rPr>
            </w:pPr>
          </w:p>
        </w:tc>
      </w:tr>
      <w:tr>
        <w:trPr>
          <w:trHeight w:val="23"/>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008" w:right="459" w:bottom="1440" w:gutter="0" w:footer="0" w:header="0"/>
        </w:sectPr>
      </w:pPr>
    </w:p>
    <w:bookmarkStart w:id="3" w:name="page4"/>
    <w:bookmarkEnd w:id="3"/>
    <w:p>
      <w:pPr>
        <w:jc w:val="center"/>
        <w:ind w:left="360" w:right="2280"/>
        <w:spacing w:after="0" w:line="265"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CONDENSED CONSOLIDATED STATEMENTS OF COMPREHENSIVE INCOME (In thousands, except per share data and share amounts) (Unaudited)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Advisory fees: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Asset-based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17,033</w:t>
            </w:r>
          </w:p>
        </w:tc>
        <w:tc>
          <w:tcPr>
            <w:tcW w:w="0" w:type="dxa"/>
            <w:vAlign w:val="bottom"/>
          </w:tcPr>
          <w:p>
            <w:pPr>
              <w:spacing w:after="0"/>
              <w:rPr>
                <w:sz w:val="1"/>
                <w:szCs w:val="1"/>
                <w:color w:val="auto"/>
              </w:rPr>
            </w:pPr>
          </w:p>
        </w:tc>
      </w:tr>
      <w:tr>
        <w:trPr>
          <w:trHeight w:val="213"/>
        </w:trPr>
        <w:tc>
          <w:tcPr>
            <w:tcW w:w="83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Performance-based</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Trust fees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w:t>
            </w:r>
          </w:p>
        </w:tc>
        <w:tc>
          <w:tcPr>
            <w:tcW w:w="0" w:type="dxa"/>
            <w:vAlign w:val="bottom"/>
          </w:tcPr>
          <w:p>
            <w:pPr>
              <w:spacing w:after="0"/>
              <w:rPr>
                <w:sz w:val="1"/>
                <w:szCs w:val="1"/>
                <w:color w:val="auto"/>
              </w:rPr>
            </w:pPr>
          </w:p>
        </w:tc>
      </w:tr>
      <w:tr>
        <w:trPr>
          <w:trHeight w:val="213"/>
        </w:trPr>
        <w:tc>
          <w:tcPr>
            <w:tcW w:w="8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2"/>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22,727</w:t>
            </w:r>
          </w:p>
        </w:tc>
        <w:tc>
          <w:tcPr>
            <w:tcW w:w="0" w:type="dxa"/>
            <w:vAlign w:val="bottom"/>
          </w:tcPr>
          <w:p>
            <w:pPr>
              <w:spacing w:after="0"/>
              <w:rPr>
                <w:sz w:val="1"/>
                <w:szCs w:val="1"/>
                <w:color w:val="auto"/>
              </w:rPr>
            </w:pPr>
          </w:p>
        </w:tc>
      </w:tr>
      <w:tr>
        <w:trPr>
          <w:trHeight w:val="194"/>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14,202</w:t>
            </w:r>
          </w:p>
        </w:tc>
        <w:tc>
          <w:tcPr>
            <w:tcW w:w="0" w:type="dxa"/>
            <w:vAlign w:val="bottom"/>
          </w:tcPr>
          <w:p>
            <w:pPr>
              <w:spacing w:after="0"/>
              <w:rPr>
                <w:sz w:val="1"/>
                <w:szCs w:val="1"/>
                <w:color w:val="auto"/>
              </w:rPr>
            </w:pPr>
          </w:p>
        </w:tc>
      </w:tr>
      <w:tr>
        <w:trPr>
          <w:trHeight w:val="213"/>
        </w:trPr>
        <w:tc>
          <w:tcPr>
            <w:tcW w:w="8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Westwood mutual funds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0" w:type="dxa"/>
            <w:vAlign w:val="bottom"/>
          </w:tcPr>
          <w:p>
            <w:pPr>
              <w:spacing w:after="0"/>
              <w:rPr>
                <w:sz w:val="1"/>
                <w:szCs w:val="1"/>
                <w:color w:val="auto"/>
              </w:rPr>
            </w:pPr>
          </w:p>
        </w:tc>
      </w:tr>
      <w:tr>
        <w:trPr>
          <w:trHeight w:val="213"/>
        </w:trPr>
        <w:tc>
          <w:tcPr>
            <w:tcW w:w="8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Information technology</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Professional services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0" w:type="dxa"/>
            <w:vAlign w:val="bottom"/>
          </w:tcPr>
          <w:p>
            <w:pPr>
              <w:spacing w:after="0"/>
              <w:rPr>
                <w:sz w:val="1"/>
                <w:szCs w:val="1"/>
                <w:color w:val="auto"/>
              </w:rPr>
            </w:pPr>
          </w:p>
        </w:tc>
      </w:tr>
      <w:tr>
        <w:trPr>
          <w:trHeight w:val="213"/>
        </w:trPr>
        <w:tc>
          <w:tcPr>
            <w:tcW w:w="8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loss from change in fair value of contingent consideration</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0" w:type="dxa"/>
            <w:vAlign w:val="bottom"/>
          </w:tcPr>
          <w:p>
            <w:pPr>
              <w:spacing w:after="0"/>
              <w:rPr>
                <w:sz w:val="1"/>
                <w:szCs w:val="1"/>
                <w:color w:val="auto"/>
              </w:rPr>
            </w:pPr>
          </w:p>
        </w:tc>
      </w:tr>
      <w:tr>
        <w:trPr>
          <w:trHeight w:val="213"/>
        </w:trPr>
        <w:tc>
          <w:tcPr>
            <w:tcW w:w="8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expenses</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12"/>
        </w:trPr>
        <w:tc>
          <w:tcPr>
            <w:tcW w:w="8360" w:type="dxa"/>
            <w:vAlign w:val="bottom"/>
            <w:tcBorders>
              <w:top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Total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21,781</w:t>
            </w:r>
          </w:p>
        </w:tc>
        <w:tc>
          <w:tcPr>
            <w:tcW w:w="0" w:type="dxa"/>
            <w:vAlign w:val="bottom"/>
          </w:tcPr>
          <w:p>
            <w:pPr>
              <w:spacing w:after="0"/>
              <w:rPr>
                <w:sz w:val="1"/>
                <w:szCs w:val="1"/>
                <w:color w:val="auto"/>
              </w:rPr>
            </w:pPr>
          </w:p>
        </w:tc>
      </w:tr>
      <w:tr>
        <w:trPr>
          <w:trHeight w:val="207"/>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operating income</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0" w:type="dxa"/>
            <w:vAlign w:val="bottom"/>
          </w:tcPr>
          <w:p>
            <w:pPr>
              <w:spacing w:after="0"/>
              <w:rPr>
                <w:sz w:val="1"/>
                <w:szCs w:val="1"/>
                <w:color w:val="auto"/>
              </w:rPr>
            </w:pPr>
          </w:p>
        </w:tc>
      </w:tr>
      <w:tr>
        <w:trPr>
          <w:trHeight w:val="212"/>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investment income (loss)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3"/>
        </w:trPr>
        <w:tc>
          <w:tcPr>
            <w:tcW w:w="8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income</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0" w:type="dxa"/>
            <w:vAlign w:val="bottom"/>
          </w:tcPr>
          <w:p>
            <w:pPr>
              <w:spacing w:after="0"/>
              <w:rPr>
                <w:sz w:val="1"/>
                <w:szCs w:val="1"/>
                <w:color w:val="auto"/>
              </w:rPr>
            </w:pPr>
          </w:p>
        </w:tc>
      </w:tr>
      <w:tr>
        <w:trPr>
          <w:trHeight w:val="21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0" w:type="dxa"/>
            <w:vAlign w:val="bottom"/>
          </w:tcPr>
          <w:p>
            <w:pPr>
              <w:spacing w:after="0"/>
              <w:rPr>
                <w:sz w:val="1"/>
                <w:szCs w:val="1"/>
                <w:color w:val="auto"/>
              </w:rPr>
            </w:pPr>
          </w:p>
        </w:tc>
      </w:tr>
      <w:tr>
        <w:trPr>
          <w:trHeight w:val="207"/>
        </w:trPr>
        <w:tc>
          <w:tcPr>
            <w:tcW w:w="8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tax provision</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36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7"/>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Westwood Holdings Group, Inc.</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14"/>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8,099,028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7,853,921</w:t>
            </w:r>
          </w:p>
        </w:tc>
        <w:tc>
          <w:tcPr>
            <w:tcW w:w="0" w:type="dxa"/>
            <w:vAlign w:val="bottom"/>
          </w:tcPr>
          <w:p>
            <w:pPr>
              <w:spacing w:after="0"/>
              <w:rPr>
                <w:sz w:val="1"/>
                <w:szCs w:val="1"/>
                <w:color w:val="auto"/>
              </w:rPr>
            </w:pPr>
          </w:p>
        </w:tc>
      </w:tr>
      <w:tr>
        <w:trPr>
          <w:trHeight w:val="210"/>
        </w:trPr>
        <w:tc>
          <w:tcPr>
            <w:tcW w:w="8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8,392,496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7,968,504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tcPr>
          <w:p>
            <w:pPr>
              <w:spacing w:after="0"/>
              <w:rPr>
                <w:sz w:val="15"/>
                <w:szCs w:val="15"/>
                <w:color w:val="auto"/>
              </w:rPr>
            </w:pPr>
          </w:p>
        </w:tc>
        <w:tc>
          <w:tcPr>
            <w:tcW w:w="2160" w:type="dxa"/>
            <w:vAlign w:val="bottom"/>
            <w:gridSpan w:val="5"/>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140" w:type="dxa"/>
            <w:vAlign w:val="bottom"/>
          </w:tcPr>
          <w:p>
            <w:pPr>
              <w:spacing w:after="0"/>
              <w:rPr>
                <w:sz w:val="15"/>
                <w:szCs w:val="15"/>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5"/>
                <w:szCs w:val="15"/>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Treasury</w:t>
            </w: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160" w:type="dxa"/>
            <w:vAlign w:val="bottom"/>
          </w:tcPr>
          <w:p>
            <w:pPr>
              <w:spacing w:after="0"/>
              <w:rPr>
                <w:sz w:val="15"/>
                <w:szCs w:val="15"/>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21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16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7"/>
                <w:szCs w:val="17"/>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8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6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Interest</w:t>
            </w:r>
          </w:p>
        </w:tc>
        <w:tc>
          <w:tcPr>
            <w:tcW w:w="220" w:type="dxa"/>
            <w:vAlign w:val="bottom"/>
          </w:tcPr>
          <w:p>
            <w:pPr>
              <w:spacing w:after="0"/>
              <w:rPr>
                <w:sz w:val="17"/>
                <w:szCs w:val="17"/>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9,140,760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(85,990)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122,446</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0" w:type="dxa"/>
            <w:vAlign w:val="bottom"/>
          </w:tcPr>
          <w:p>
            <w:pPr>
              <w:spacing w:after="0"/>
              <w:rPr>
                <w:sz w:val="1"/>
                <w:szCs w:val="1"/>
                <w:color w:val="auto"/>
              </w:rPr>
            </w:pPr>
          </w:p>
        </w:tc>
      </w:tr>
      <w:tr>
        <w:trPr>
          <w:trHeight w:val="165"/>
        </w:trPr>
        <w:tc>
          <w:tcPr>
            <w:tcW w:w="28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restricted stock, net of</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268,305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forfeitures</w:t>
            </w: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($0.15 per share)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 returned for payment of</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(78,303)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0" w:type="dxa"/>
            <w:vAlign w:val="bottom"/>
          </w:tcPr>
          <w:p>
            <w:pPr>
              <w:spacing w:after="0"/>
              <w:rPr>
                <w:sz w:val="1"/>
                <w:szCs w:val="1"/>
                <w:color w:val="auto"/>
              </w:rPr>
            </w:pPr>
          </w:p>
        </w:tc>
      </w:tr>
      <w:tr>
        <w:trPr>
          <w:trHeight w:val="213"/>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taxes</w:t>
            </w: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2024</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9,330,762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123,755</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5"/>
        </w:trPr>
        <w:tc>
          <w:tcPr>
            <w:tcW w:w="2880" w:type="dxa"/>
            <w:vAlign w:val="bottom"/>
          </w:tcPr>
          <w:p>
            <w:pPr>
              <w:spacing w:after="0"/>
              <w:rPr>
                <w:sz w:val="24"/>
                <w:szCs w:val="24"/>
                <w:color w:val="auto"/>
              </w:rPr>
            </w:pPr>
          </w:p>
        </w:tc>
        <w:tc>
          <w:tcPr>
            <w:tcW w:w="2160" w:type="dxa"/>
            <w:vAlign w:val="bottom"/>
            <w:gridSpan w:val="5"/>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880" w:type="dxa"/>
            <w:vAlign w:val="bottom"/>
          </w:tcPr>
          <w:p>
            <w:pPr>
              <w:spacing w:after="0"/>
              <w:rPr>
                <w:sz w:val="9"/>
                <w:szCs w:val="9"/>
                <w:color w:val="auto"/>
              </w:rPr>
            </w:pPr>
          </w:p>
        </w:tc>
        <w:tc>
          <w:tcPr>
            <w:tcW w:w="216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9"/>
                <w:szCs w:val="9"/>
                <w:color w:val="auto"/>
              </w:rPr>
            </w:pPr>
          </w:p>
        </w:tc>
        <w:tc>
          <w:tcPr>
            <w:tcW w:w="9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5"/>
                <w:szCs w:val="15"/>
                <w:b w:val="1"/>
                <w:bCs w:val="1"/>
                <w:color w:val="auto"/>
              </w:rPr>
              <w:t>Treasury</w:t>
            </w:r>
          </w:p>
        </w:tc>
        <w:tc>
          <w:tcPr>
            <w:tcW w:w="180" w:type="dxa"/>
            <w:vAlign w:val="bottom"/>
          </w:tcPr>
          <w:p>
            <w:pPr>
              <w:spacing w:after="0"/>
              <w:rPr>
                <w:sz w:val="9"/>
                <w:szCs w:val="9"/>
                <w:color w:val="auto"/>
              </w:rPr>
            </w:pPr>
          </w:p>
        </w:tc>
        <w:tc>
          <w:tcPr>
            <w:tcW w:w="13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Pr>
          <w:p>
            <w:pPr>
              <w:spacing w:after="0"/>
              <w:rPr>
                <w:sz w:val="9"/>
                <w:szCs w:val="9"/>
                <w:color w:val="auto"/>
              </w:rPr>
            </w:pPr>
          </w:p>
        </w:tc>
        <w:tc>
          <w:tcPr>
            <w:tcW w:w="13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5"/>
                <w:szCs w:val="15"/>
                <w:b w:val="1"/>
                <w:bCs w:val="1"/>
                <w:color w:val="auto"/>
              </w:rPr>
              <w:t>Noncontrolling</w:t>
            </w: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8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88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1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8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Interest</w:t>
            </w:r>
          </w:p>
        </w:tc>
        <w:tc>
          <w:tcPr>
            <w:tcW w:w="220" w:type="dxa"/>
            <w:vAlign w:val="bottom"/>
          </w:tcPr>
          <w:p>
            <w:pPr>
              <w:spacing w:after="0"/>
              <w:rPr>
                <w:sz w:val="18"/>
                <w:szCs w:val="18"/>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4"/>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8,881,831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199,914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(85,128)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110,648</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restricted stock, net of</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398,302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forfeitures</w:t>
            </w: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($0.15 per share)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0" w:type="dxa"/>
            <w:vAlign w:val="bottom"/>
          </w:tcPr>
          <w:p>
            <w:pPr>
              <w:spacing w:after="0"/>
              <w:rPr>
                <w:sz w:val="1"/>
                <w:szCs w:val="1"/>
                <w:color w:val="auto"/>
              </w:rPr>
            </w:pPr>
          </w:p>
        </w:tc>
      </w:tr>
      <w:tr>
        <w:trPr>
          <w:trHeight w:val="165"/>
        </w:trPr>
        <w:tc>
          <w:tcPr>
            <w:tcW w:w="28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stock returned for payment of</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(67,743)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taxes</w:t>
            </w: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2023</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9,212,390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200,453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(85,965)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(3,752)</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111,870</w:t>
            </w: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720" w:type="dxa"/>
            <w:vAlign w:val="bottom"/>
            <w:gridSpan w:val="4"/>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00" w:type="dxa"/>
            <w:vAlign w:val="bottom"/>
          </w:tcPr>
          <w:p>
            <w:pPr>
              <w:spacing w:after="0"/>
              <w:rPr>
                <w:sz w:val="18"/>
                <w:szCs w:val="18"/>
                <w:color w:val="auto"/>
              </w:rPr>
            </w:pP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0" w:type="dxa"/>
            <w:vAlign w:val="bottom"/>
          </w:tcPr>
          <w:p>
            <w:pPr>
              <w:spacing w:after="0"/>
              <w:rPr>
                <w:sz w:val="1"/>
                <w:szCs w:val="1"/>
                <w:color w:val="auto"/>
              </w:rPr>
            </w:pPr>
          </w:p>
        </w:tc>
      </w:tr>
      <w:tr>
        <w:trPr>
          <w:trHeight w:val="213"/>
        </w:trPr>
        <w:tc>
          <w:tcPr>
            <w:tcW w:w="7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change in unrealized (appreciation) depreciation on investments</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0" w:type="dxa"/>
            <w:vAlign w:val="bottom"/>
          </w:tcPr>
          <w:p>
            <w:pPr>
              <w:spacing w:after="0"/>
              <w:rPr>
                <w:sz w:val="1"/>
                <w:szCs w:val="1"/>
                <w:color w:val="auto"/>
              </w:rPr>
            </w:pPr>
          </w:p>
        </w:tc>
      </w:tr>
      <w:tr>
        <w:trPr>
          <w:trHeight w:val="213"/>
        </w:trPr>
        <w:tc>
          <w:tcPr>
            <w:tcW w:w="7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Non-cash lease expense</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13"/>
        </w:trPr>
        <w:tc>
          <w:tcPr>
            <w:tcW w:w="7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Loss on asset disposition</w:t>
            </w:r>
          </w:p>
        </w:tc>
        <w:tc>
          <w:tcPr>
            <w:tcW w:w="10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Fair value change of contingent consideration</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(purchases) sales of trading securities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7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current assets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7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Compensation and benefits payable</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w:t>
            </w:r>
          </w:p>
        </w:tc>
        <w:tc>
          <w:tcPr>
            <w:tcW w:w="0" w:type="dxa"/>
            <w:vAlign w:val="bottom"/>
          </w:tcPr>
          <w:p>
            <w:pPr>
              <w:spacing w:after="0"/>
              <w:rPr>
                <w:sz w:val="1"/>
                <w:szCs w:val="1"/>
                <w:color w:val="auto"/>
              </w:rPr>
            </w:pPr>
          </w:p>
        </w:tc>
      </w:tr>
      <w:tr>
        <w:trPr>
          <w:trHeight w:val="213"/>
        </w:trPr>
        <w:tc>
          <w:tcPr>
            <w:tcW w:w="7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Income taxes payable</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liabilities</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8,133</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0" w:type="dxa"/>
            <w:vAlign w:val="bottom"/>
          </w:tcPr>
          <w:p>
            <w:pPr>
              <w:spacing w:after="0"/>
              <w:rPr>
                <w:sz w:val="1"/>
                <w:szCs w:val="1"/>
                <w:color w:val="auto"/>
              </w:rPr>
            </w:pPr>
          </w:p>
        </w:tc>
      </w:tr>
      <w:tr>
        <w:trPr>
          <w:trHeight w:val="19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net of cash acquired</w:t>
            </w:r>
          </w:p>
        </w:tc>
        <w:tc>
          <w:tcPr>
            <w:tcW w:w="10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0" w:type="dxa"/>
            <w:vAlign w:val="bottom"/>
          </w:tcPr>
          <w:p>
            <w:pPr>
              <w:spacing w:after="0"/>
              <w:rPr>
                <w:sz w:val="1"/>
                <w:szCs w:val="1"/>
                <w:color w:val="auto"/>
              </w:rPr>
            </w:pPr>
          </w:p>
        </w:tc>
      </w:tr>
      <w:tr>
        <w:trPr>
          <w:trHeight w:val="19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Restricted stock returned for payment of taxes</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dividends paid</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5,466</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(7,108)</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20,422</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23,859</w:t>
            </w:r>
          </w:p>
        </w:tc>
        <w:tc>
          <w:tcPr>
            <w:tcW w:w="0" w:type="dxa"/>
            <w:vAlign w:val="bottom"/>
          </w:tcPr>
          <w:p>
            <w:pPr>
              <w:spacing w:after="0"/>
              <w:rPr>
                <w:sz w:val="1"/>
                <w:szCs w:val="1"/>
                <w:color w:val="auto"/>
              </w:rPr>
            </w:pPr>
          </w:p>
        </w:tc>
      </w:tr>
      <w:tr>
        <w:trPr>
          <w:trHeight w:val="21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25,888</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16,751</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94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paid during the period for income taxes</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dividends</w:t>
            </w: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100" w:type="dxa"/>
            <w:vAlign w:val="bottom"/>
          </w:tcPr>
          <w:p>
            <w:pPr>
              <w:spacing w:after="0"/>
              <w:rPr>
                <w:sz w:val="18"/>
                <w:szCs w:val="18"/>
                <w:color w:val="auto"/>
              </w:rPr>
            </w:pP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operating lease right-of-use assets</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 w:name="page7"/>
    <w:bookmarkEnd w:id="6"/>
    <w:p>
      <w:pPr>
        <w:jc w:val="center"/>
        <w:ind w:left="360" w:right="2640"/>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(Unaudited)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Westwood Holdings Group, Inc. (“Westwood”, “the Company”, “we”, “us” or “our”) was incorporated under the laws of the State of Delaware on December 12, 2001. Westwood manages investment assets and provides services for its clients through its wholly-owned subsidiaries, Westwood Management Corp., Westwood Advisors, L.L.C. and Salient Advisors, L.P. (referred to hereinafter together as “Westwood Management”), and Westwood Trust.</w:t>
      </w:r>
    </w:p>
    <w:p>
      <w:pPr>
        <w:spacing w:after="0" w:line="7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Westwood Management provides investment advisory services to institutional clients, a family of mutual funds called the Westwood Funds®, other mutual funds, individual investors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and fluctuations in financial markets and in the composition of AUM impact our revenues and results of operations.</w:t>
      </w:r>
    </w:p>
    <w:p>
      <w:pPr>
        <w:spacing w:after="0" w:line="72"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Westwood Management is registered with the Securities and Exchange Commission ("SEC") as an investment adviser under the Investment Advisers Act of 1940. Westwood Trust is chartered and regulated by the Texas Department of Banking.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Broadmark Asset Management LLC</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acquired a 48% interest in Broadmark Asset Management LLC ("Broadmark") as a result of our 2022 acquisition of the asset management business of Salient Partners, L.P. (the "Salient Acquisition"). In January 2023 we acquired an additional 32% interest in Broadmark for $1.2 million (net of cash acquired), increasing our ownership of Broadmark to approximately 80%, which represents a controlling interest for financial statement consolidation purposes (the "Broadmark Acquisition"). Broadmark is a San Francisco-based registered investment adviser ("RIA") managing and/or sub-advising mutual funds, retail and institutional separately-managed accounts.</w:t>
      </w:r>
    </w:p>
    <w:p>
      <w:pPr>
        <w:spacing w:after="0" w:line="71" w:lineRule="exact"/>
        <w:rPr>
          <w:sz w:val="20"/>
          <w:szCs w:val="20"/>
          <w:color w:val="auto"/>
        </w:rPr>
      </w:pPr>
    </w:p>
    <w:p>
      <w:pPr>
        <w:ind w:left="40" w:right="6320" w:hanging="32"/>
        <w:spacing w:after="0" w:line="377" w:lineRule="auto"/>
        <w:tabs>
          <w:tab w:leader="none" w:pos="18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w:t>
      </w:r>
    </w:p>
    <w:p>
      <w:pPr>
        <w:spacing w:after="0" w:line="79" w:lineRule="exact"/>
        <w:rPr>
          <w:sz w:val="20"/>
          <w:szCs w:val="20"/>
          <w:color w:val="auto"/>
        </w:rPr>
      </w:pPr>
    </w:p>
    <w:p>
      <w:pPr>
        <w:ind w:right="300" w:firstLine="486"/>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our Consolidated Financial Statements, and notes thereto, included in our Annual Report on Form 10-K for the year ended December 31, 2023.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Reporting</w:t>
      </w:r>
    </w:p>
    <w:p>
      <w:pPr>
        <w:spacing w:after="0" w:line="11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which requires an entity to disclose significant segment expenses and other segment items on an annual and interim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provide in interim periods all disclosures about a reportable segment’s profit or loss and assets that are currently required annually. Additionally, it requires an entity to disclose the title and position of the Chief Operating Decision Maker. This ASU does not change how an entity identifies its operating segments, aggregates them, or applies the quantitative thresholds to determine its reportable segments. The new standard is effective for fiscal years beginning after December 15, 2023, and interim periods within fiscal years beginning after December 15, 2024, with early adoption permitted. An entity should apply the amendments in this ASU retrospectively to all prior periods presented in the financial statements. We expect this ASU to impact our disclosures, with no impact to our results of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7" w:name="page8"/>
    <w:bookmarkEnd w:id="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1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focuses on the income tax rate reconciliation and income taxes paid. ASU 2023-09 requires an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entities are required to disclose income taxes paid, net of refunds received disaggregated by federal, state/local, and foreign, and by jurisdiction if the amount is at least 5% of total income tax payments, net of refunds received.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We expect this ASU to impact our disclosures, with no impact to our results of operations, cash flows, or financial condition.</w:t>
      </w:r>
    </w:p>
    <w:p>
      <w:pPr>
        <w:spacing w:after="0" w:line="78" w:lineRule="exact"/>
        <w:rPr>
          <w:sz w:val="20"/>
          <w:szCs w:val="20"/>
          <w:color w:val="auto"/>
        </w:rPr>
      </w:pPr>
    </w:p>
    <w:p>
      <w:pPr>
        <w:ind w:right="8700" w:firstLine="8"/>
        <w:spacing w:after="0" w:line="378"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Broadmark</w:t>
      </w: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Westwood completed the Broadmark Acquisition in January 2023, increasing our investment by approximately 32%, to 80%, giving Westwood a controlling interest and requiring an allocation of the Broadmark Acquisition purchase price. The total consideration recorded for accounting purposes consisted of $1.2 million in cash (net of cash acquired).</w:t>
      </w:r>
    </w:p>
    <w:p>
      <w:pPr>
        <w:spacing w:after="0" w:line="68"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Prior to the Broadmark Acquisition, Westwood had a $2.4 million equity method investment in Broadmark, the fair value of which was estimated using recent market transactions. Westwood's equity method investment was derecognized without gain or loss following the Broadmark Acquisition, however there was a corresponding increase to goodwill.</w:t>
      </w:r>
    </w:p>
    <w:p>
      <w:pPr>
        <w:spacing w:after="0" w:line="68"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Broadmark Acquisition was accounted for using the acquisition method of accounting. Accordingly, the purchase price was allocated to tangible assets acquired and liabilities assumed based on their estimated fair values as of the acquisition date. The total consideration of $1.6 million has been allocated based on valuations of acquired assets and assumed liabilities in connection with the acquisition.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allocation of the Broadmark Acquisition purchase price was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1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consideration</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r>
      <w:tr>
        <w:trPr>
          <w:trHeight w:val="213"/>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acquired</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212"/>
        </w:trPr>
        <w:tc>
          <w:tcPr>
            <w:tcW w:w="9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consideration, net of cash acquired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r>
      <w:tr>
        <w:trPr>
          <w:trHeight w:val="257"/>
        </w:trPr>
        <w:tc>
          <w:tcPr>
            <w:tcW w:w="9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16"/>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Westwood's investment in Broadmark before the business combination</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r>
      <w:tr>
        <w:trPr>
          <w:trHeight w:val="213"/>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noncontrolling interest in Broadmark</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r>
      <w:tr>
        <w:trPr>
          <w:trHeight w:val="259"/>
        </w:trPr>
        <w:tc>
          <w:tcPr>
            <w:tcW w:w="9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14"/>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8"/>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r>
      <w:tr>
        <w:trPr>
          <w:trHeight w:val="213"/>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r>
      <w:tr>
        <w:trPr>
          <w:trHeight w:val="21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3"/>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w:t>
            </w:r>
          </w:p>
        </w:tc>
      </w:tr>
      <w:tr>
        <w:trPr>
          <w:trHeight w:val="210"/>
        </w:trPr>
        <w:tc>
          <w:tcPr>
            <w:tcW w:w="9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Identifiable Net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39"/>
        </w:trPr>
        <w:tc>
          <w:tcPr>
            <w:tcW w:w="9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16"/>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w:t>
            </w:r>
          </w:p>
        </w:tc>
      </w:tr>
    </w:tbl>
    <w:p>
      <w:pPr>
        <w:spacing w:after="0" w:line="200" w:lineRule="exact"/>
        <w:rPr>
          <w:sz w:val="20"/>
          <w:szCs w:val="20"/>
          <w:color w:val="auto"/>
        </w:rPr>
      </w:pPr>
    </w:p>
    <w:p>
      <w:pPr>
        <w:spacing w:after="0" w:line="335"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Westwood recognized approximately $1.0 million of a noncontrolling interest in a consolidated subsidiary at the acquisition date. Fair value of this interest was estimated using recent market transactions.</w:t>
      </w:r>
    </w:p>
    <w:p>
      <w:pPr>
        <w:spacing w:after="0" w:line="54"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At the time of the Broadmark Acquisition, the Company believed that its expanded operational opportunities, enhanced range of investment strategies and expected realization of synergies were the primary factors that contributed to a</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total purchase price that resulted in the recognition of goodwill. Goodwill arising from the Broadmark Acquisition is not expected to be deductible for tax purposes.</w:t>
      </w:r>
    </w:p>
    <w:p>
      <w:pPr>
        <w:spacing w:after="0" w:line="54"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Company has included $1.0 million of revenue and $(0.6) million of net income related to Broadmark in its Condensed Consolidated Statements of Comprehensive Income. For the three months ended March 31, 2023, the Company has included $1.2 million of revenue and $0.1 million of net income related to Broadmark in its Condensed Consolidated Statements of Comprehensive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Financial Information</w:t>
      </w:r>
    </w:p>
    <w:p>
      <w:pPr>
        <w:spacing w:after="0" w:line="121"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results of operations for the three months ended March 31, 2023 assume the Broadmark Acquisition had occurred as of January 1, 2022. This unaudited pro forma information should not be relied upon as being necessarily indicative of historical results that would have been obtained had the Broadmark Acquisition actually occurred on that date, nor of results that may be obtained in the future.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22,727</w:t>
            </w:r>
          </w:p>
        </w:tc>
      </w:tr>
      <w:tr>
        <w:trPr>
          <w:trHeight w:val="21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r>
    </w:tbl>
    <w:p>
      <w:pPr>
        <w:spacing w:after="0" w:line="186" w:lineRule="exact"/>
        <w:rPr>
          <w:sz w:val="20"/>
          <w:szCs w:val="20"/>
          <w:color w:val="auto"/>
        </w:rPr>
      </w:pPr>
    </w:p>
    <w:p>
      <w:pPr>
        <w:ind w:right="9600" w:firstLine="8"/>
        <w:spacing w:after="0" w:line="377"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Revenue Recognition</w:t>
      </w:r>
    </w:p>
    <w:p>
      <w:pPr>
        <w:spacing w:after="0" w:line="2" w:lineRule="exact"/>
        <w:rPr>
          <w:sz w:val="20"/>
          <w:szCs w:val="20"/>
          <w:color w:val="auto"/>
        </w:rPr>
      </w:pPr>
    </w:p>
    <w:p>
      <w:pPr>
        <w:ind w:right="20" w:firstLine="486"/>
        <w:spacing w:after="0" w:line="277" w:lineRule="auto"/>
        <w:rPr>
          <w:sz w:val="20"/>
          <w:szCs w:val="20"/>
          <w:color w:val="auto"/>
        </w:rPr>
      </w:pPr>
      <w:r>
        <w:rPr>
          <w:rFonts w:ascii="Times New Roman" w:cs="Times New Roman" w:eastAsia="Times New Roman" w:hAnsi="Times New Roman"/>
          <w:sz w:val="17"/>
          <w:szCs w:val="17"/>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such as gains and losses from our seed money investments into new investment strategies. The "Other, net” revenues on our Condensed Consolidated Statements of</w:t>
      </w:r>
    </w:p>
    <w:p>
      <w:pPr>
        <w:spacing w:after="0" w:line="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Comprehensive Income are the unrealized gains and losses on our seed money investments, and our seed money investments are included in "Investments, at fair value" on our Condensed Consolidated Balance Sheets. Advisory and trust fees are calculated based on a percentage of AUM or AUA, as applicable, and the performance obligation is realized over the current calendar quarter. Once clients receive our investment advisory services, we have an enforceable right to payment.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Fee Revenues</w:t>
      </w:r>
    </w:p>
    <w:p>
      <w:pPr>
        <w:spacing w:after="0" w:line="12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advisory fees are generated by Westwood Management for managing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w:t>
      </w:r>
    </w:p>
    <w:p>
      <w:pPr>
        <w:spacing w:after="0" w:line="8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registered investment advisors that offer Westwood products to their customers.</w:t>
      </w:r>
    </w:p>
    <w:p>
      <w:pPr>
        <w:spacing w:after="0" w:line="72" w:lineRule="exact"/>
        <w:rPr>
          <w:sz w:val="20"/>
          <w:szCs w:val="20"/>
          <w:color w:val="auto"/>
        </w:rPr>
      </w:pPr>
    </w:p>
    <w:p>
      <w:pPr>
        <w:ind w:right="80" w:firstLine="486"/>
        <w:spacing w:after="0" w:line="312" w:lineRule="auto"/>
        <w:rPr>
          <w:sz w:val="20"/>
          <w:szCs w:val="20"/>
          <w:color w:val="auto"/>
        </w:rPr>
      </w:pPr>
      <w:r>
        <w:rPr>
          <w:rFonts w:ascii="Times New Roman" w:cs="Times New Roman" w:eastAsia="Times New Roman" w:hAnsi="Times New Roman"/>
          <w:sz w:val="17"/>
          <w:szCs w:val="17"/>
          <w:color w:val="auto"/>
        </w:rPr>
        <w:t>Mutual funds include the Westwood Funds®, a family of mutual funds for which Westwood Management serves as advisor. These funds are available to individual investors, as well as offered as part of our suite of investment strategies for institutional investors and wealth management accounts.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with Performance-Based Obligations</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 Performance-based fees are paid after the performance obligation has been satisfied.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revenue is based on future market performance and is subject to many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Fee Revenues</w:t>
      </w:r>
    </w:p>
    <w:p>
      <w:pPr>
        <w:spacing w:after="0" w:line="12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Since billing periods for most of Westwood Trust’s clients coincide with the calendar quarter, revenue is fully recognized within the quarter and our Condensed Consolidated Financial Statements contain no deferred fee revenues.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Disaggregated</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Sales taxes are excluded from revenues. The following table presents our revenue disaggregated by account type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Borders>
              <w:bottom w:val="single" w:sz="8" w:color="auto"/>
            </w:tcBorders>
          </w:tcPr>
          <w:p>
            <w:pPr>
              <w:spacing w:after="0"/>
              <w:rPr>
                <w:sz w:val="18"/>
                <w:szCs w:val="18"/>
                <w:color w:val="auto"/>
              </w:rPr>
            </w:pPr>
          </w:p>
        </w:tc>
      </w:tr>
      <w:tr>
        <w:trPr>
          <w:trHeight w:val="211"/>
        </w:trPr>
        <w:tc>
          <w:tcPr>
            <w:tcW w:w="76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r>
      <w:tr>
        <w:trPr>
          <w:trHeight w:val="21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Advisory Fees:</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30"/>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Institutional</w:t>
            </w:r>
          </w:p>
        </w:tc>
        <w:tc>
          <w:tcPr>
            <w:tcW w:w="108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9,471</w:t>
            </w:r>
          </w:p>
        </w:tc>
        <w:tc>
          <w:tcPr>
            <w:tcW w:w="120" w:type="dxa"/>
            <w:vAlign w:val="bottom"/>
          </w:tcPr>
          <w:p>
            <w:pPr>
              <w:spacing w:after="0"/>
              <w:rPr>
                <w:sz w:val="19"/>
                <w:szCs w:val="19"/>
                <w:color w:val="auto"/>
              </w:rPr>
            </w:pP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9,603</w:t>
            </w:r>
          </w:p>
        </w:tc>
      </w:tr>
      <w:tr>
        <w:trPr>
          <w:trHeight w:val="22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w:t>
            </w:r>
          </w:p>
        </w:tc>
      </w:tr>
      <w:tr>
        <w:trPr>
          <w:trHeight w:val="229"/>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Wealth Management</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Performance-based</w:t>
            </w:r>
          </w:p>
        </w:tc>
        <w:tc>
          <w:tcPr>
            <w:tcW w:w="10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Fees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3"/>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22,732</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22,727</w:t>
            </w:r>
          </w:p>
        </w:tc>
      </w:tr>
      <w:tr>
        <w:trPr>
          <w:trHeight w:val="21"/>
        </w:trPr>
        <w:tc>
          <w:tcPr>
            <w:tcW w:w="7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ind w:right="80" w:firstLine="486"/>
        <w:spacing w:after="0" w:line="282" w:lineRule="auto"/>
        <w:rPr>
          <w:sz w:val="20"/>
          <w:szCs w:val="20"/>
          <w:color w:val="auto"/>
        </w:rPr>
      </w:pPr>
      <w:r>
        <w:rPr>
          <w:rFonts w:ascii="Times New Roman" w:cs="Times New Roman" w:eastAsia="Times New Roman" w:hAnsi="Times New Roman"/>
          <w:sz w:val="18"/>
          <w:szCs w:val="18"/>
          <w:color w:val="auto"/>
        </w:rPr>
        <w:t>We have clients in various locations around the world. The following table presents our revenue disaggregated by our clients' geographical locations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22,475</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0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20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22,435</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22,727</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SEGMENT REPORTING</w:t>
      </w:r>
    </w:p>
    <w:p>
      <w:pPr>
        <w:spacing w:after="0" w:line="12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operate two segments: Advisory and Trust. These segments are managed separately based on the types of products and services offered and their related client bases. The Company’s segment information is prepared on the same basis that management uses to review the financial information for operational decision-making purposes.</w:t>
      </w:r>
    </w:p>
    <w:p>
      <w:pPr>
        <w:spacing w:after="0" w:line="68"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our Chief Executive Officer, evaluates the performance of our segments based primarily on fee revenues.</w:t>
      </w:r>
    </w:p>
    <w:p>
      <w:pPr>
        <w:spacing w:after="0" w:line="54"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Westwood Holdings Group, Inc., the parent company of Advisory and Trust, does not have revenues and is the entity in which we record typical holding company expenses including employee compensation and benefits for holding company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collective investment trusts. Salient and Westwood Management, which provide investment advisory services to similar clients, are included in our Advisory segment.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w:t>
      </w:r>
    </w:p>
    <w:p>
      <w:pPr>
        <w:spacing w:after="0" w:line="121" w:lineRule="exact"/>
        <w:rPr>
          <w:sz w:val="20"/>
          <w:szCs w:val="20"/>
          <w:color w:val="auto"/>
        </w:rPr>
      </w:pPr>
    </w:p>
    <w:p>
      <w:pPr>
        <w:ind w:right="420" w:firstLine="486"/>
        <w:spacing w:after="0" w:line="275" w:lineRule="auto"/>
        <w:rPr>
          <w:sz w:val="20"/>
          <w:szCs w:val="20"/>
          <w:color w:val="auto"/>
        </w:rPr>
      </w:pPr>
      <w:r>
        <w:rPr>
          <w:rFonts w:ascii="Times New Roman" w:cs="Times New Roman" w:eastAsia="Times New Roman" w:hAnsi="Times New Roman"/>
          <w:sz w:val="18"/>
          <w:szCs w:val="18"/>
          <w:color w:val="auto"/>
        </w:rPr>
        <w:t>Westwood Trust provides trust and custodial services and participation in common trust funds that it sponsors to institutions and high net worth individuals. Westwood Trust is included in our Trust segment.</w:t>
      </w:r>
    </w:p>
    <w:tbl>
      <w:tblPr>
        <w:tblLayout w:type="fixed"/>
        <w:tblInd w:w="0" w:type="dxa"/>
        <w:tblCellMar>
          <w:top w:w="0" w:type="dxa"/>
          <w:left w:w="0" w:type="dxa"/>
          <w:bottom w:w="0" w:type="dxa"/>
          <w:right w:w="0" w:type="dxa"/>
        </w:tblCellMar>
      </w:tblPr>
      <w:tr>
        <w:trPr>
          <w:trHeight w:val="16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20" w:type="dxa"/>
            <w:vAlign w:val="bottom"/>
          </w:tcPr>
          <w:p>
            <w:pPr>
              <w:spacing w:after="0"/>
              <w:rPr>
                <w:sz w:val="14"/>
                <w:szCs w:val="14"/>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Westwood</w:t>
            </w:r>
          </w:p>
        </w:tc>
        <w:tc>
          <w:tcPr>
            <w:tcW w:w="16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14"/>
                <w:szCs w:val="14"/>
                <w:color w:val="auto"/>
              </w:rPr>
            </w:pPr>
          </w:p>
        </w:tc>
        <w:tc>
          <w:tcPr>
            <w:tcW w:w="11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5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Holdings</w:t>
            </w: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21,930</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0" w:type="dxa"/>
            <w:vAlign w:val="bottom"/>
          </w:tcPr>
          <w:p>
            <w:pPr>
              <w:spacing w:after="0"/>
              <w:rPr>
                <w:sz w:val="1"/>
                <w:szCs w:val="1"/>
                <w:color w:val="auto"/>
              </w:rPr>
            </w:pPr>
          </w:p>
        </w:tc>
      </w:tr>
      <w:tr>
        <w:trPr>
          <w:trHeight w:val="235"/>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149,042</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goodwill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39,501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equity-method investments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expenditures for long-lived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59"/>
        </w:trPr>
        <w:tc>
          <w:tcPr>
            <w:tcW w:w="5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22,619</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22,727</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256,946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(183,265)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141,799</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goodwill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39,929</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equity-method 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4,228</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expenditures for long-lived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Since 2018, in addition to the Company's acquistions of Salient and Broadmark, whose results are included in our Condensed Consolidated</w:t>
      </w:r>
    </w:p>
    <w:p>
      <w:pPr>
        <w:spacing w:after="0" w:line="5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Statements of Comprehensive Income, the Company has made strategic investments to enhance the services we provide our customers. Each of these investments is discussed below.</w:t>
      </w:r>
    </w:p>
    <w:p>
      <w:pPr>
        <w:spacing w:after="0" w:line="54"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We made a strategic investment during 2018 in InvestCloud, which is included in “Investments” on our Condensed Consolidated Balance Sheets at its carrying value of $4.4 million. This investment represents an equity interest in a private company without a readily determinable fair value. The Company has elected to apply the measurement alternative of cost minus impairment, if any, plus or minus changes resulting from observable price changes. Following InvestCloud's recapitalization in the first quarter of 2021, we re-invested $4.4 million of our proceeds into newly-issued shares of InvestCloud. No impairments of this investment were recorded during the three months ended March 31, 2024 or 2023.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right="460" w:firstLine="486"/>
        <w:spacing w:after="0" w:line="261" w:lineRule="auto"/>
        <w:rPr>
          <w:sz w:val="20"/>
          <w:szCs w:val="20"/>
          <w:color w:val="auto"/>
        </w:rPr>
      </w:pPr>
      <w:r>
        <w:rPr>
          <w:rFonts w:ascii="Times New Roman" w:cs="Times New Roman" w:eastAsia="Times New Roman" w:hAnsi="Times New Roman"/>
          <w:sz w:val="18"/>
          <w:szCs w:val="18"/>
          <w:color w:val="auto"/>
        </w:rPr>
        <w:t>Our investment in Vista is included in “Investments” on our Condensed Consolidated Balance Sheets at its carrying value of $2.8 million. This investment represents an equity interest in a private company without a readily determinable fair value. The Company has elected to apply the measurement alternative of cost minus impairment, if any, plus or minus changes resulting from observable price changes. No impairments of this investment were recorded during the three months ended March 31, 2024 or 2023.</w:t>
      </w:r>
    </w:p>
    <w:p>
      <w:pPr>
        <w:spacing w:after="0" w:line="72"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u w:val="single" w:color="auto"/>
          <w:color w:val="auto"/>
        </w:rPr>
        <w:t>Private Investment Fund</w:t>
      </w:r>
      <w:r>
        <w:rPr>
          <w:rFonts w:ascii="Times New Roman" w:cs="Times New Roman" w:eastAsia="Times New Roman" w:hAnsi="Times New Roman"/>
          <w:sz w:val="18"/>
          <w:szCs w:val="18"/>
          <w:color w:val="auto"/>
        </w:rPr>
        <w:t>. In 2019, we made a $0.3 million investment in Westwood Hospitality. Our investment is included in “Noncurrent investments at fair value” on our Condensed Consolidated Balance Sheets and is measured at fair value on a recurring basis using net asset value ("NAV") as a practical expedient.</w:t>
      </w:r>
    </w:p>
    <w:p>
      <w:pPr>
        <w:spacing w:after="0" w:line="68"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u w:val="single" w:color="auto"/>
          <w:color w:val="auto"/>
        </w:rPr>
        <w:t>Zarvona Energy Fund GP, L.P. and Zarvona Energy Fund II-A, L.P.</w:t>
      </w:r>
      <w:r>
        <w:rPr>
          <w:rFonts w:ascii="Times New Roman" w:cs="Times New Roman" w:eastAsia="Times New Roman" w:hAnsi="Times New Roman"/>
          <w:sz w:val="18"/>
          <w:szCs w:val="18"/>
          <w:color w:val="auto"/>
        </w:rPr>
        <w:t xml:space="preserve"> These investments represent ownership interests in non-controlled partnerships. These investments are included in “Equity method investments” on our Condensed Consolidated Balance Sheets and are measured based on our share of the net earnings or losses of the investees.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other investments are carried at fair value on a recurring basis and are accounted for as trading securities.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Investments carried at fair value are presented in the table below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6"/>
                <w:szCs w:val="16"/>
                <w:color w:val="auto"/>
              </w:rPr>
            </w:pPr>
          </w:p>
        </w:tc>
        <w:tc>
          <w:tcPr>
            <w:tcW w:w="96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60" w:type="dxa"/>
            <w:vAlign w:val="bottom"/>
          </w:tcPr>
          <w:p>
            <w:pPr>
              <w:spacing w:after="0"/>
              <w:rPr>
                <w:sz w:val="14"/>
                <w:szCs w:val="14"/>
                <w:color w:val="auto"/>
              </w:rPr>
            </w:pPr>
          </w:p>
        </w:tc>
        <w:tc>
          <w:tcPr>
            <w:tcW w:w="960" w:type="dxa"/>
            <w:vAlign w:val="bottom"/>
          </w:tcPr>
          <w:p>
            <w:pPr>
              <w:jc w:val="center"/>
              <w:ind w:right="71"/>
              <w:spacing w:after="0" w:line="162"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0" w:type="dxa"/>
            <w:vAlign w:val="bottom"/>
          </w:tcPr>
          <w:p>
            <w:pPr>
              <w:spacing w:after="0"/>
              <w:rPr>
                <w:sz w:val="1"/>
                <w:szCs w:val="1"/>
                <w:color w:val="auto"/>
              </w:rPr>
            </w:pPr>
          </w:p>
        </w:tc>
      </w:tr>
      <w:tr>
        <w:trPr>
          <w:trHeight w:val="214"/>
        </w:trPr>
        <w:tc>
          <w:tcPr>
            <w:tcW w:w="6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60" w:type="dxa"/>
            <w:vAlign w:val="bottom"/>
          </w:tcPr>
          <w:p>
            <w:pPr>
              <w:spacing w:after="0"/>
              <w:rPr>
                <w:sz w:val="18"/>
                <w:szCs w:val="18"/>
                <w:color w:val="auto"/>
              </w:rPr>
            </w:pPr>
          </w:p>
        </w:tc>
        <w:tc>
          <w:tcPr>
            <w:tcW w:w="96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Exchange-traded bond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trading securities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20,667</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 carried at fair value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20,908</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22,461</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Exchange-traded bond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trading securities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32,674</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 carried at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investments shown below are included in our Condensed Consolidated Balance Sheets as Equity method investments, as follows (in thousands):</w:t>
      </w:r>
    </w:p>
    <w:p>
      <w:pPr>
        <w:sectPr>
          <w:pgSz w:w="11900" w:h="16838" w:orient="portrait"/>
          <w:cols w:equalWidth="0" w:num="1">
            <w:col w:w="11240"/>
          </w:cols>
          <w:pgMar w:left="320" w:top="117" w:right="339" w:bottom="1440" w:gutter="0" w:footer="0" w:header="0"/>
        </w:sectPr>
      </w:pPr>
    </w:p>
    <w:p>
      <w:pPr>
        <w:spacing w:after="0" w:line="1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b w:val="1"/>
          <w:bCs w:val="1"/>
          <w:color w:val="auto"/>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21590</wp:posOffset>
            </wp:positionV>
            <wp:extent cx="2143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6" w:lineRule="exact"/>
        <w:rPr>
          <w:sz w:val="20"/>
          <w:szCs w:val="20"/>
          <w:color w:val="auto"/>
        </w:rPr>
      </w:pPr>
    </w:p>
    <w:p>
      <w:pPr>
        <w:ind w:left="4680"/>
        <w:spacing w:after="0"/>
        <w:tabs>
          <w:tab w:leader="none" w:pos="6480" w:val="left"/>
        </w:tabs>
        <w:rPr>
          <w:sz w:val="20"/>
          <w:szCs w:val="20"/>
          <w:color w:val="auto"/>
        </w:rPr>
      </w:pPr>
      <w:r>
        <w:rPr>
          <w:rFonts w:ascii="Times New Roman" w:cs="Times New Roman" w:eastAsia="Times New Roman" w:hAnsi="Times New Roman"/>
          <w:sz w:val="16"/>
          <w:szCs w:val="16"/>
          <w:b w:val="1"/>
          <w:bCs w:val="1"/>
          <w:color w:val="auto"/>
        </w:rPr>
        <w:t>Carrying value</w:t>
      </w:r>
      <w:r>
        <w:rPr>
          <w:sz w:val="20"/>
          <w:szCs w:val="20"/>
          <w:color w:val="auto"/>
        </w:rPr>
        <w:tab/>
      </w:r>
      <w:r>
        <w:rPr>
          <w:rFonts w:ascii="Times New Roman" w:cs="Times New Roman" w:eastAsia="Times New Roman" w:hAnsi="Times New Roman"/>
          <w:sz w:val="16"/>
          <w:szCs w:val="16"/>
          <w:b w:val="1"/>
          <w:bCs w:val="1"/>
          <w:color w:val="auto"/>
        </w:rPr>
        <w:t>Ownership</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21590</wp:posOffset>
            </wp:positionV>
            <wp:extent cx="2143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6"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6"/>
          <w:szCs w:val="16"/>
          <w:b w:val="1"/>
          <w:bCs w:val="1"/>
          <w:color w:val="auto"/>
        </w:rPr>
        <w:t>Carrying value</w:t>
      </w:r>
      <w:r>
        <w:rPr>
          <w:sz w:val="20"/>
          <w:szCs w:val="20"/>
          <w:color w:val="auto"/>
        </w:rPr>
        <w:tab/>
      </w:r>
      <w:r>
        <w:rPr>
          <w:rFonts w:ascii="Times New Roman" w:cs="Times New Roman" w:eastAsia="Times New Roman" w:hAnsi="Times New Roman"/>
          <w:sz w:val="16"/>
          <w:szCs w:val="16"/>
          <w:b w:val="1"/>
          <w:bCs w:val="1"/>
          <w:color w:val="auto"/>
        </w:rPr>
        <w:t>Ownership</w:t>
      </w:r>
    </w:p>
    <w:p>
      <w:pPr>
        <w:spacing w:after="0" w:line="48" w:lineRule="exact"/>
        <w:rPr>
          <w:sz w:val="20"/>
          <w:szCs w:val="20"/>
          <w:color w:val="auto"/>
        </w:rPr>
      </w:pPr>
    </w:p>
    <w:p>
      <w:pPr>
        <w:sectPr>
          <w:pgSz w:w="11900" w:h="16838" w:orient="portrait"/>
          <w:cols w:equalWidth="0" w:num="2">
            <w:col w:w="7420" w:space="720"/>
            <w:col w:w="31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4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Zarvona Energy Fund GP, L.P.</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48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50.0 %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Zarvona Energy Fund II-A, L.P.</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Salient MLP Total Return Fund, L.P.</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80" w:type="dxa"/>
            <w:vAlign w:val="bottom"/>
            <w:gridSpan w:val="3"/>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Salient MLP Total Return TE Fund, L.P.</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760" w:type="dxa"/>
            <w:vAlign w:val="bottom"/>
            <w:tcBorders>
              <w:bottom w:val="single" w:sz="8" w:color="CCEEFF"/>
            </w:tcBorders>
            <w:shd w:val="clear" w:color="auto" w:fill="CCEEFF"/>
          </w:tcPr>
          <w:p>
            <w:pPr>
              <w:spacing w:after="0"/>
              <w:rPr>
                <w:sz w:val="21"/>
                <w:szCs w:val="2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54" w:lineRule="exact"/>
        <w:rPr>
          <w:sz w:val="20"/>
          <w:szCs w:val="20"/>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market prices in active markets for identical assets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that are directly or indirectly observable</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unobservable inputs where there is little or no market activity</w:t>
      </w:r>
    </w:p>
    <w:p>
      <w:pPr>
        <w:spacing w:after="0" w:line="117"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Our strategic investments in InvestCloud and Vista, discussed in Note 6 “Investments,” are excluded from the recurring fair value table shown below because we have elected to apply the measurement alternative for those investments.</w:t>
      </w:r>
    </w:p>
    <w:p>
      <w:pPr>
        <w:spacing w:after="0" w:line="54"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values of our investments measured at fair value on a recurring basis within the fair value hierarchy as of the dates indicated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Measured at</w:t>
            </w:r>
          </w:p>
        </w:tc>
        <w:tc>
          <w:tcPr>
            <w:tcW w:w="240" w:type="dxa"/>
            <w:vAlign w:val="bottom"/>
          </w:tcPr>
          <w:p>
            <w:pPr>
              <w:spacing w:after="0"/>
              <w:rPr>
                <w:sz w:val="14"/>
                <w:szCs w:val="14"/>
                <w:color w:val="auto"/>
              </w:rPr>
            </w:pPr>
          </w:p>
        </w:tc>
        <w:tc>
          <w:tcPr>
            <w:tcW w:w="88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25"/>
                <w:szCs w:val="25"/>
                <w:b w:val="1"/>
                <w:bCs w:val="1"/>
                <w:color w:val="auto"/>
                <w:w w:val="98"/>
                <w:vertAlign w:val="subscript"/>
              </w:rPr>
              <w:t>NAV</w:t>
            </w:r>
            <w:r>
              <w:rPr>
                <w:rFonts w:ascii="Times New Roman" w:cs="Times New Roman" w:eastAsia="Times New Roman" w:hAnsi="Times New Roman"/>
                <w:sz w:val="9"/>
                <w:szCs w:val="9"/>
                <w:color w:val="auto"/>
                <w:w w:val="98"/>
              </w:rPr>
              <w:t xml:space="preserve"> (1)</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trading securities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20,667</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20,667</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2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20,667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20,908</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Salient Acquisition contingent consideration</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7,184</w:t>
            </w:r>
          </w:p>
        </w:tc>
        <w:tc>
          <w:tcPr>
            <w:tcW w:w="0" w:type="dxa"/>
            <w:vAlign w:val="bottom"/>
          </w:tcPr>
          <w:p>
            <w:pPr>
              <w:spacing w:after="0"/>
              <w:rPr>
                <w:sz w:val="1"/>
                <w:szCs w:val="1"/>
                <w:color w:val="auto"/>
              </w:rPr>
            </w:pPr>
          </w:p>
        </w:tc>
      </w:tr>
      <w:tr>
        <w:trPr>
          <w:trHeight w:val="22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7,184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7,184</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trading securities</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32,674</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32,915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Salient Acquisition contingent consideration</w:t>
            </w: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00" w:type="dxa"/>
            <w:vAlign w:val="bottom"/>
            <w:tcBorders>
              <w:top w:val="single" w:sz="8" w:color="CCEEFF"/>
              <w:bottom w:val="single" w:sz="8" w:color="CCEEFF"/>
            </w:tcBorders>
            <w:vMerge w:val="continue"/>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10,133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10,133</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10,133</w:t>
            </w:r>
          </w:p>
        </w:tc>
        <w:tc>
          <w:tcPr>
            <w:tcW w:w="0" w:type="dxa"/>
            <w:vAlign w:val="bottom"/>
          </w:tcPr>
          <w:p>
            <w:pPr>
              <w:spacing w:after="0"/>
              <w:rPr>
                <w:sz w:val="1"/>
                <w:szCs w:val="1"/>
                <w:color w:val="auto"/>
              </w:rPr>
            </w:pPr>
          </w:p>
        </w:tc>
      </w:tr>
    </w:tbl>
    <w:p>
      <w:pPr>
        <w:ind w:left="20" w:right="280" w:firstLine="6"/>
        <w:spacing w:after="0" w:line="248" w:lineRule="auto"/>
        <w:tabs>
          <w:tab w:leader="none" w:pos="22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certain investments measured at fair value using NAV as a practical expedient. The fair value amounts presented in this table are intended to permit reconciliation of the fair value hierarchy to the amounts presented on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-201930</wp:posOffset>
            </wp:positionV>
            <wp:extent cx="39001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Prior to our exchange of Charis shares for shares in Vista in 2023, our investment in Charis was included within Level 3 of the fair value hierarchy as we valued it utilizing inputs not observable in the market. Historically, our investment was measured at fair value on a recurring basis using a market approach based on either a price to tangible book value multiple range determined to be reasonable in the current environment, or on market transactions. On April 3, 2023, Charis was acquired by Vista in a transaction in which the Company exchanged its shares in Charis for shares in Vista.</w:t>
      </w:r>
    </w:p>
    <w:p>
      <w:pPr>
        <w:spacing w:after="0" w:line="207" w:lineRule="exact"/>
        <w:rPr>
          <w:sz w:val="20"/>
          <w:szCs w:val="20"/>
          <w:color w:val="auto"/>
        </w:rPr>
      </w:pPr>
    </w:p>
    <w:p>
      <w:pPr>
        <w:ind w:right="680" w:firstLine="48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changes in Level 3 investments measured at fair value on a recurring basis for the periods presented (in thousands):</w:t>
      </w:r>
    </w:p>
    <w:tbl>
      <w:tblPr>
        <w:tblLayout w:type="fixed"/>
        <w:tblInd w:w="0" w:type="dxa"/>
        <w:tblCellMar>
          <w:top w:w="0" w:type="dxa"/>
          <w:left w:w="0" w:type="dxa"/>
          <w:bottom w:w="0" w:type="dxa"/>
          <w:right w:w="0" w:type="dxa"/>
        </w:tblCellMar>
      </w:tblPr>
      <w:tr>
        <w:trPr>
          <w:trHeight w:val="165"/>
        </w:trPr>
        <w:tc>
          <w:tcPr>
            <w:tcW w:w="7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tcPr>
          <w:p>
            <w:pPr>
              <w:jc w:val="center"/>
              <w:ind w:right="57"/>
              <w:spacing w:after="0" w:line="165" w:lineRule="exact"/>
              <w:rPr>
                <w:sz w:val="20"/>
                <w:szCs w:val="20"/>
                <w:color w:val="auto"/>
              </w:rPr>
            </w:pPr>
            <w:r>
              <w:rPr>
                <w:rFonts w:ascii="Times New Roman" w:cs="Times New Roman" w:eastAsia="Times New Roman" w:hAnsi="Times New Roman"/>
                <w:sz w:val="16"/>
                <w:szCs w:val="16"/>
                <w:b w:val="1"/>
                <w:bCs w:val="1"/>
                <w:color w:val="auto"/>
              </w:rPr>
              <w:t>Fair Value using Significant Unobservable</w:t>
            </w:r>
          </w:p>
        </w:tc>
      </w:tr>
      <w:tr>
        <w:trPr>
          <w:trHeight w:val="214"/>
        </w:trPr>
        <w:tc>
          <w:tcPr>
            <w:tcW w:w="7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Inputs (Level 3)</w:t>
            </w:r>
          </w:p>
        </w:tc>
      </w:tr>
      <w:tr>
        <w:trPr>
          <w:trHeight w:val="210"/>
        </w:trPr>
        <w:tc>
          <w:tcPr>
            <w:tcW w:w="7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0"/>
        </w:trPr>
        <w:tc>
          <w:tcPr>
            <w:tcW w:w="79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2,792</w:t>
            </w:r>
          </w:p>
        </w:tc>
      </w:tr>
      <w:tr>
        <w:trPr>
          <w:trHeight w:val="226"/>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Unrealized gains (losses) on private investments</w:t>
            </w:r>
          </w:p>
        </w:tc>
        <w:tc>
          <w:tcPr>
            <w:tcW w:w="14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right="8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Level 3 liabilities measured at fair value on a recurring basis for the periods presented (in thousands):</w:t>
      </w:r>
    </w:p>
    <w:p>
      <w:pPr>
        <w:spacing w:after="0" w:line="95"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6"/>
          <w:szCs w:val="16"/>
          <w:b w:val="1"/>
          <w:bCs w:val="1"/>
          <w:color w:val="auto"/>
        </w:rPr>
        <w:t>Fair Value using Significant Unobservable</w:t>
      </w:r>
    </w:p>
    <w:p>
      <w:pPr>
        <w:jc w:val="center"/>
        <w:ind w:left="7900"/>
        <w:spacing w:after="0"/>
        <w:rPr>
          <w:sz w:val="20"/>
          <w:szCs w:val="20"/>
          <w:color w:val="auto"/>
        </w:rPr>
      </w:pPr>
      <w:r>
        <w:rPr>
          <w:rFonts w:ascii="Times New Roman" w:cs="Times New Roman" w:eastAsia="Times New Roman" w:hAnsi="Times New Roman"/>
          <w:sz w:val="16"/>
          <w:szCs w:val="16"/>
          <w:b w:val="1"/>
          <w:bCs w:val="1"/>
          <w:color w:val="auto"/>
        </w:rPr>
        <w:t>Inputs (Level 3)</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20" w:type="dxa"/>
            <w:vAlign w:val="bottom"/>
          </w:tcPr>
          <w:p>
            <w:pPr>
              <w:spacing w:after="0"/>
              <w:rPr>
                <w:sz w:val="18"/>
                <w:szCs w:val="18"/>
                <w:color w:val="auto"/>
              </w:rPr>
            </w:pPr>
          </w:p>
        </w:tc>
        <w:tc>
          <w:tcPr>
            <w:tcW w:w="27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top w:val="single" w:sz="8" w:color="auto"/>
              <w:bottom w:val="single" w:sz="8" w:color="auto"/>
            </w:tcBorders>
          </w:tcPr>
          <w:p>
            <w:pPr>
              <w:spacing w:after="0"/>
              <w:rPr>
                <w:sz w:val="18"/>
                <w:szCs w:val="18"/>
                <w:color w:val="auto"/>
              </w:rPr>
            </w:pPr>
          </w:p>
        </w:tc>
      </w:tr>
      <w:tr>
        <w:trPr>
          <w:trHeight w:val="209"/>
        </w:trPr>
        <w:tc>
          <w:tcPr>
            <w:tcW w:w="79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12,901</w:t>
            </w:r>
          </w:p>
        </w:tc>
      </w:tr>
      <w:tr>
        <w:trPr>
          <w:trHeight w:val="226"/>
        </w:trPr>
        <w:tc>
          <w:tcPr>
            <w:tcW w:w="7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(gains) losses included in earnings</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(2,949)</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(1,060)</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11,841</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March 31, 2024 contingent consideration fair value of $7.2 million was valued based upon updated revenue growth projections and financial inputs. The fair value of contingent consideration related to both the revenue retention earn-out and the growth earn-out is measured using the Monte Carlo simulation model, which considered assumptions including revenue growth projections, revenue volatility, risk free rates and discount rates. The projected contingent payment is discounted to the current period using a discounted cash flow model. Increases or decreases in projected revenues, probabilities of payment, discount rates, projected payment dates and other inputs may result in significantly higher or lower fair value measurements.</w:t>
      </w:r>
    </w:p>
    <w:p>
      <w:pPr>
        <w:spacing w:after="0" w:line="75"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range of the unobservable inputs utilized in the fair value measurement of the contingent consideration classified as level 3:</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2340" w:type="dxa"/>
            <w:vAlign w:val="bottom"/>
          </w:tcPr>
          <w:p>
            <w:pPr>
              <w:spacing w:after="0"/>
              <w:rPr>
                <w:sz w:val="18"/>
                <w:szCs w:val="18"/>
                <w:color w:val="auto"/>
              </w:rPr>
            </w:pPr>
          </w:p>
        </w:tc>
      </w:tr>
      <w:tr>
        <w:trPr>
          <w:trHeight w:val="214"/>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Earn-out</w:t>
            </w:r>
          </w:p>
        </w:tc>
        <w:tc>
          <w:tcPr>
            <w:tcW w:w="24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9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Low</w:t>
            </w: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High</w:t>
            </w:r>
          </w:p>
        </w:tc>
        <w:tc>
          <w:tcPr>
            <w:tcW w:w="100" w:type="dxa"/>
            <w:vAlign w:val="bottom"/>
          </w:tcPr>
          <w:p>
            <w:pPr>
              <w:spacing w:after="0"/>
              <w:rPr>
                <w:sz w:val="18"/>
                <w:szCs w:val="18"/>
                <w:color w:val="auto"/>
              </w:rPr>
            </w:pPr>
          </w:p>
        </w:tc>
        <w:tc>
          <w:tcPr>
            <w:tcW w:w="23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Weighted Average Rate</w:t>
            </w:r>
          </w:p>
        </w:tc>
      </w:tr>
      <w:tr>
        <w:trPr>
          <w:trHeight w:val="225"/>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Retention earn-out</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5"/>
              </w:rPr>
              <w:t>7.5%</w:t>
            </w: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8.00%</w:t>
            </w:r>
          </w:p>
        </w:tc>
      </w:tr>
      <w:tr>
        <w:trPr>
          <w:trHeight w:val="229"/>
        </w:trPr>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6"/>
              </w:rPr>
              <w:t>—%</w:t>
            </w:r>
          </w:p>
        </w:tc>
        <w:tc>
          <w:tcPr>
            <w:tcW w:w="15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r>
      <w:tr>
        <w:trPr>
          <w:trHeight w:val="23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Growth earn-out</w:t>
            </w: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5"/>
              </w:rPr>
              <w:t>7.5%</w:t>
            </w:r>
          </w:p>
        </w:tc>
        <w:tc>
          <w:tcPr>
            <w:tcW w:w="15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8.00%</w:t>
            </w:r>
          </w:p>
        </w:tc>
      </w:tr>
      <w:tr>
        <w:trPr>
          <w:trHeight w:val="230"/>
        </w:trPr>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0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5"/>
              </w:rPr>
              <w:t>1.5%</w:t>
            </w:r>
          </w:p>
        </w:tc>
        <w:tc>
          <w:tcPr>
            <w:tcW w:w="1540" w:type="dxa"/>
            <w:vAlign w:val="bottom"/>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8"/>
              </w:rPr>
              <w:t>11.5%</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6.50%</w:t>
            </w:r>
          </w:p>
        </w:tc>
      </w:tr>
      <w:tr>
        <w:trPr>
          <w:trHeight w:val="48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2023:</w:t>
            </w: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2340" w:type="dxa"/>
            <w:vAlign w:val="bottom"/>
          </w:tcPr>
          <w:p>
            <w:pPr>
              <w:spacing w:after="0"/>
              <w:rPr>
                <w:sz w:val="24"/>
                <w:szCs w:val="24"/>
                <w:color w:val="auto"/>
              </w:rPr>
            </w:pPr>
          </w:p>
        </w:tc>
      </w:tr>
      <w:tr>
        <w:trPr>
          <w:trHeight w:val="214"/>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Earn-out</w:t>
            </w:r>
          </w:p>
        </w:tc>
        <w:tc>
          <w:tcPr>
            <w:tcW w:w="24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9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Low</w:t>
            </w: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High</w:t>
            </w:r>
          </w:p>
        </w:tc>
        <w:tc>
          <w:tcPr>
            <w:tcW w:w="100" w:type="dxa"/>
            <w:vAlign w:val="bottom"/>
          </w:tcPr>
          <w:p>
            <w:pPr>
              <w:spacing w:after="0"/>
              <w:rPr>
                <w:sz w:val="18"/>
                <w:szCs w:val="18"/>
                <w:color w:val="auto"/>
              </w:rPr>
            </w:pPr>
          </w:p>
        </w:tc>
        <w:tc>
          <w:tcPr>
            <w:tcW w:w="23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Weighted Average Rate</w:t>
            </w:r>
          </w:p>
        </w:tc>
      </w:tr>
      <w:tr>
        <w:trPr>
          <w:trHeight w:val="225"/>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Retention earn-out</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13.0%</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12.75%</w:t>
            </w:r>
          </w:p>
        </w:tc>
      </w:tr>
      <w:tr>
        <w:trPr>
          <w:trHeight w:val="230"/>
        </w:trPr>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5"/>
              </w:rPr>
              <w:t>6.1%</w:t>
            </w:r>
          </w:p>
        </w:tc>
        <w:tc>
          <w:tcPr>
            <w:tcW w:w="15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w w:val="98"/>
              </w:rPr>
              <w:t>16.1%</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11.00%</w:t>
            </w:r>
          </w:p>
        </w:tc>
      </w:tr>
      <w:tr>
        <w:trPr>
          <w:trHeight w:val="270"/>
        </w:trPr>
        <w:tc>
          <w:tcPr>
            <w:tcW w:w="3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r>
      <w:tr>
        <w:trPr>
          <w:trHeight w:val="23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Growth earn-out</w:t>
            </w: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rPr>
              <w:t>12.5%</w:t>
            </w:r>
          </w:p>
        </w:tc>
        <w:tc>
          <w:tcPr>
            <w:tcW w:w="15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w w:val="98"/>
              </w:rPr>
              <w:t>13.0%</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12.75%</w:t>
            </w:r>
          </w:p>
        </w:tc>
      </w:tr>
      <w:tr>
        <w:trPr>
          <w:trHeight w:val="229"/>
        </w:trPr>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0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5"/>
              </w:rPr>
              <w:t>6.1%</w:t>
            </w:r>
          </w:p>
        </w:tc>
        <w:tc>
          <w:tcPr>
            <w:tcW w:w="1540" w:type="dxa"/>
            <w:vAlign w:val="bottom"/>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8"/>
              </w:rPr>
              <w:t>16.1%</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11.00%</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8. INCOME TAXES</w:t>
      </w:r>
    </w:p>
    <w:p>
      <w:pPr>
        <w:spacing w:after="0" w:line="121" w:lineRule="exact"/>
        <w:rPr>
          <w:sz w:val="20"/>
          <w:szCs w:val="20"/>
          <w:color w:val="auto"/>
        </w:rPr>
      </w:pPr>
    </w:p>
    <w:p>
      <w:pPr>
        <w:ind w:right="500" w:firstLine="486"/>
        <w:spacing w:after="0" w:line="312" w:lineRule="auto"/>
        <w:rPr>
          <w:sz w:val="20"/>
          <w:szCs w:val="20"/>
          <w:color w:val="auto"/>
        </w:rPr>
      </w:pPr>
      <w:r>
        <w:rPr>
          <w:rFonts w:ascii="Times New Roman" w:cs="Times New Roman" w:eastAsia="Times New Roman" w:hAnsi="Times New Roman"/>
          <w:sz w:val="17"/>
          <w:szCs w:val="17"/>
          <w:color w:val="auto"/>
        </w:rPr>
        <w:t>Our effective income tax rate differed from the 21% statutory rate for the three months ended March 31, 2024 and 2023 due to permanent differences between book and tax restricted stock expense based on a decrease in our stock price between the restricted stock grant and vesting dates.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121"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Basic earnings per common share is computed by dividing comprehensive income attributable to Westwood Holdings Group, Inc.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w:t>
      </w:r>
    </w:p>
    <w:p>
      <w:pPr>
        <w:spacing w:after="0" w:line="68"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There were approximately 20,000 and 109,000 anti-dilutive restricted shares outstanding for the three months ended March 31, 2024 and March 31, 2023,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and share amounts):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200"/>
        </w:trPr>
        <w:tc>
          <w:tcPr>
            <w:tcW w:w="79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attributable to Westwood Holdings Group, Inc.</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w:t>
            </w:r>
          </w:p>
        </w:tc>
      </w:tr>
      <w:tr>
        <w:trPr>
          <w:trHeight w:val="228"/>
        </w:trPr>
        <w:tc>
          <w:tcPr>
            <w:tcW w:w="7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shares outstanding - basic</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8,099,028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7,853,921</w:t>
            </w:r>
          </w:p>
        </w:tc>
      </w:tr>
      <w:tr>
        <w:trPr>
          <w:trHeight w:val="231"/>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Dilutive potential shares from unvested restricted shares</w:t>
            </w: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293,468</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114,583</w:t>
            </w:r>
          </w:p>
        </w:tc>
      </w:tr>
      <w:tr>
        <w:trPr>
          <w:trHeight w:val="219"/>
        </w:trPr>
        <w:tc>
          <w:tcPr>
            <w:tcW w:w="7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shares outstanding - diluted</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8,392,496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7,968,504</w:t>
            </w:r>
          </w:p>
        </w:tc>
      </w:tr>
      <w:tr>
        <w:trPr>
          <w:trHeight w:val="23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share:</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6"/>
        </w:trPr>
        <w:tc>
          <w:tcPr>
            <w:tcW w:w="7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2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0.09</w:t>
            </w:r>
          </w:p>
        </w:tc>
      </w:tr>
      <w:tr>
        <w:trPr>
          <w:trHeight w:val="23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w:t>
            </w:r>
          </w:p>
        </w:tc>
      </w:tr>
    </w:tbl>
    <w:p>
      <w:pPr>
        <w:spacing w:after="0" w:line="200" w:lineRule="exact"/>
        <w:rPr>
          <w:sz w:val="20"/>
          <w:szCs w:val="20"/>
          <w:color w:val="auto"/>
        </w:rPr>
      </w:pPr>
    </w:p>
    <w:p>
      <w:pPr>
        <w:spacing w:after="0" w:line="385" w:lineRule="exact"/>
        <w:rPr>
          <w:sz w:val="20"/>
          <w:szCs w:val="20"/>
          <w:color w:val="auto"/>
        </w:rPr>
      </w:pPr>
    </w:p>
    <w:p>
      <w:pPr>
        <w:ind w:right="6900" w:firstLine="8"/>
        <w:spacing w:after="0" w:line="378" w:lineRule="auto"/>
        <w:tabs>
          <w:tab w:leader="none" w:pos="27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Goodwill</w:t>
      </w: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cost of acquired assets over the fair value of the underlying liabilities at the date of acquisition. Goodwill is not amortized but is reviewed for impairment annually, or between annual assessments if a triggering event occurs or circumstances change that would more likely than not result in the fair value of a reporting unit below its carrying amount. We completed our most recent annual goodwill impairment assessment during the third quarter of 2023 and determined that no goodwill impairment related to the Advisory or Trust segment was required. There was no goodwill impairment during the three months ended March 31, 2024 or March 31, 2023.</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goodwill were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Trust Segment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Advisory Segment</w:t>
            </w:r>
          </w:p>
        </w:tc>
        <w:tc>
          <w:tcPr>
            <w:tcW w:w="500" w:type="dxa"/>
            <w:vAlign w:val="bottom"/>
          </w:tcPr>
          <w:p>
            <w:pPr>
              <w:spacing w:after="0"/>
              <w:rPr>
                <w:sz w:val="18"/>
                <w:szCs w:val="18"/>
                <w:color w:val="auto"/>
              </w:rPr>
            </w:pPr>
          </w:p>
        </w:tc>
        <w:tc>
          <w:tcPr>
            <w:tcW w:w="162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580" w:type="dxa"/>
            <w:vAlign w:val="bottom"/>
            <w:tcBorders>
              <w:top w:val="single" w:sz="8" w:color="auto"/>
              <w:bottom w:val="single" w:sz="8" w:color="auto"/>
            </w:tcBorders>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16,401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23,100</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39,501</w:t>
            </w:r>
          </w:p>
        </w:tc>
      </w:tr>
      <w:tr>
        <w:trPr>
          <w:trHeight w:val="21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580" w:type="dxa"/>
            <w:vAlign w:val="bottom"/>
            <w:tcBorders>
              <w:bottom w:val="single" w:sz="8" w:color="auto"/>
            </w:tcBorders>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16,401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23,100</w:t>
            </w:r>
          </w:p>
        </w:tc>
        <w:tc>
          <w:tcPr>
            <w:tcW w:w="14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39,501</w:t>
            </w:r>
          </w:p>
        </w:tc>
      </w:tr>
      <w:tr>
        <w:trPr>
          <w:trHeight w:val="422"/>
        </w:trPr>
        <w:tc>
          <w:tcPr>
            <w:tcW w:w="46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Trust Segment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Advisory Segment</w:t>
            </w:r>
          </w:p>
        </w:tc>
        <w:tc>
          <w:tcPr>
            <w:tcW w:w="500" w:type="dxa"/>
            <w:vAlign w:val="bottom"/>
          </w:tcPr>
          <w:p>
            <w:pPr>
              <w:spacing w:after="0"/>
              <w:rPr>
                <w:sz w:val="24"/>
                <w:szCs w:val="24"/>
                <w:color w:val="auto"/>
              </w:rPr>
            </w:pPr>
          </w:p>
        </w:tc>
        <w:tc>
          <w:tcPr>
            <w:tcW w:w="162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580" w:type="dxa"/>
            <w:vAlign w:val="bottom"/>
            <w:tcBorders>
              <w:top w:val="single" w:sz="8" w:color="auto"/>
            </w:tcBorders>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16,401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19,331</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35,732</w:t>
            </w: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Broadmark Acquisition</w:t>
            </w:r>
          </w:p>
        </w:tc>
        <w:tc>
          <w:tcPr>
            <w:tcW w:w="158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4,197</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4,197</w:t>
            </w:r>
          </w:p>
        </w:tc>
      </w:tr>
      <w:tr>
        <w:trPr>
          <w:trHeight w:val="210"/>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580" w:type="dxa"/>
            <w:vAlign w:val="bottom"/>
            <w:tcBorders>
              <w:top w:val="single" w:sz="8" w:color="auto"/>
              <w:bottom w:val="single" w:sz="8" w:color="auto"/>
            </w:tcBorders>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16,401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23,528</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39,929</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intangible asset impairments were recorded during the three months ended March 31, 2024 or March 31,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11. LEASES</w:t>
      </w:r>
    </w:p>
    <w:p>
      <w:pPr>
        <w:spacing w:after="0" w:line="121"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As of March 31, 2024 there have been no material changes outside the ordinary course of business to our leases since December 31, 2023. For information regarding our leases, refer to Note 12 “Leases” in Part IV, Item 15. “Exhibits, Financial Statement Schedules” in our Annual Report on Form 10-K for the fiscal year ended December 31, 2023.</w:t>
      </w:r>
    </w:p>
    <w:p>
      <w:pPr>
        <w:spacing w:after="0" w:line="200" w:lineRule="exact"/>
        <w:rPr>
          <w:sz w:val="20"/>
          <w:szCs w:val="20"/>
          <w:color w:val="auto"/>
        </w:rPr>
      </w:pPr>
    </w:p>
    <w:p>
      <w:pPr>
        <w:spacing w:after="0" w:line="215" w:lineRule="exact"/>
        <w:rPr>
          <w:sz w:val="20"/>
          <w:szCs w:val="20"/>
          <w:color w:val="auto"/>
        </w:rPr>
      </w:pPr>
    </w:p>
    <w:p>
      <w:pPr>
        <w:ind w:right="8660" w:firstLine="8"/>
        <w:spacing w:after="0" w:line="450" w:lineRule="auto"/>
        <w:tabs>
          <w:tab w:leader="none" w:pos="27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Share Repurchase Program</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2024, there are $1.8 million of shares that may yet be repurchased under our plan.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March 31, 2024 and 2023, the Company did not repurchase any shares of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VARIABLE INTEREST ENTITIES</w:t>
      </w:r>
    </w:p>
    <w:p>
      <w:pPr>
        <w:spacing w:after="0" w:line="121"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 xml:space="preserve">We evaluated (i) our relationship as sponsor of the Common Trust Funds (“CTFs”) and managing member of the private equity funds Westwood Hospitality, Westwood Technology Opportunities Fund I, LP and Westwood Energy Secondaries (collectively the “Private Funds”), (ii) our advisory relationships with the Westwood Funds® and (iii) our investments in InvestCloud, Vista, Zarvona Energy Fund GP and Zarvona Energy Fund II-A as discussed in Note 6 </w:t>
      </w:r>
      <w:r>
        <w:rPr>
          <w:rFonts w:ascii="Times New Roman" w:cs="Times New Roman" w:eastAsia="Times New Roman" w:hAnsi="Times New Roman"/>
          <w:sz w:val="18"/>
          <w:szCs w:val="18"/>
          <w:color w:val="222222"/>
        </w:rPr>
        <w:t>“Investments”</w:t>
      </w:r>
      <w:r>
        <w:rPr>
          <w:rFonts w:ascii="Times New Roman" w:cs="Times New Roman" w:eastAsia="Times New Roman" w:hAnsi="Times New Roman"/>
          <w:sz w:val="18"/>
          <w:szCs w:val="18"/>
          <w:color w:val="auto"/>
        </w:rPr>
        <w:t xml:space="preserve"> (“Private Equity”) to determine whether each of these entities is a variable interest entity (“VIE”) or voting ownership entity (“VOE”).</w:t>
      </w:r>
    </w:p>
    <w:p>
      <w:pPr>
        <w:spacing w:after="0" w:line="75" w:lineRule="exact"/>
        <w:rPr>
          <w:sz w:val="20"/>
          <w:szCs w:val="20"/>
          <w:color w:val="auto"/>
        </w:rPr>
      </w:pPr>
    </w:p>
    <w:p>
      <w:pPr>
        <w:ind w:right="120" w:firstLine="486"/>
        <w:spacing w:after="0" w:line="277" w:lineRule="auto"/>
        <w:rPr>
          <w:sz w:val="20"/>
          <w:szCs w:val="20"/>
          <w:color w:val="auto"/>
        </w:rPr>
      </w:pPr>
      <w:r>
        <w:rPr>
          <w:rFonts w:ascii="Times New Roman" w:cs="Times New Roman" w:eastAsia="Times New Roman" w:hAnsi="Times New Roman"/>
          <w:sz w:val="17"/>
          <w:szCs w:val="17"/>
          <w:color w:val="auto"/>
        </w:rPr>
        <w:t>Based on our analyses, we determined that the CTFs, Private Funds and Zarvona Energy Fund II-A were VIEs, as the at-risk equity holders do not have the ability to direct the activities that most significantly impact the entities' economic performance, and, while the Company and its representatives have a majority control of the entities' respective boards of directors and can influence the respective entities' management and affairs, the Company is not exposed to a majority of the economics of those entities and does not qualify as primary beneficiaries for those entities. As we do not qualify as primary beneficiaries for those entities, we have not consolidated our investments in those entities for the periods ending March 31, 2024 and December 31, 2023.</w:t>
      </w:r>
    </w:p>
    <w:p>
      <w:pPr>
        <w:spacing w:after="0" w:line="60"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Based on our analyses, we determined the Westwood Funds®, InvestCloud, Vista, and Zarvona Energy Fund GP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 and are VOEs. As we do not own controlling financial interests in those entities, we have not consolidated our investments in those entities for the periods ending March 31, 2024 and December 31, 2023.</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recognized fee revenue from the Westwood VIEs and Westwood VOEs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3640" w:type="dxa"/>
            <w:vAlign w:val="bottom"/>
            <w:tcBorders>
              <w:bottom w:val="single" w:sz="8" w:color="auto"/>
            </w:tcBorders>
            <w:gridSpan w:val="4"/>
          </w:tcPr>
          <w:p>
            <w:pPr>
              <w:jc w:val="right"/>
              <w:ind w:right="81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Borders>
              <w:bottom w:val="single" w:sz="8" w:color="auto"/>
            </w:tcBorders>
          </w:tcPr>
          <w:p>
            <w:pPr>
              <w:spacing w:after="0"/>
              <w:rPr>
                <w:sz w:val="18"/>
                <w:szCs w:val="18"/>
                <w:color w:val="auto"/>
              </w:rPr>
            </w:pPr>
          </w:p>
        </w:tc>
      </w:tr>
      <w:tr>
        <w:trPr>
          <w:trHeight w:val="211"/>
        </w:trPr>
        <w:tc>
          <w:tcPr>
            <w:tcW w:w="724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360" w:type="dxa"/>
            <w:vAlign w:val="bottom"/>
            <w:tcBorders>
              <w:bottom w:val="single" w:sz="8" w:color="auto"/>
            </w:tcBorders>
          </w:tcPr>
          <w:p>
            <w:pPr>
              <w:spacing w:after="0"/>
              <w:rPr>
                <w:sz w:val="18"/>
                <w:szCs w:val="18"/>
                <w:color w:val="auto"/>
              </w:rPr>
            </w:pPr>
          </w:p>
        </w:tc>
      </w:tr>
      <w:tr>
        <w:trPr>
          <w:trHeight w:val="225"/>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Fee Revenues</w:t>
            </w:r>
          </w:p>
        </w:tc>
        <w:tc>
          <w:tcPr>
            <w:tcW w:w="1580" w:type="dxa"/>
            <w:vAlign w:val="bottom"/>
            <w:shd w:val="clear" w:color="auto" w:fill="CCEEFF"/>
          </w:tcPr>
          <w:p>
            <w:pPr>
              <w:jc w:val="right"/>
              <w:ind w:right="13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9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bl>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the AUM and the risk of loss in each vehicle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Under</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3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 at Risk</w:t>
            </w:r>
          </w:p>
        </w:tc>
        <w:tc>
          <w:tcPr>
            <w:tcW w:w="0" w:type="dxa"/>
            <w:vAlign w:val="bottom"/>
          </w:tcPr>
          <w:p>
            <w:pPr>
              <w:spacing w:after="0"/>
              <w:rPr>
                <w:sz w:val="1"/>
                <w:szCs w:val="1"/>
                <w:color w:val="auto"/>
              </w:rPr>
            </w:pPr>
          </w:p>
        </w:tc>
      </w:tr>
      <w:tr>
        <w:trPr>
          <w:trHeight w:val="214"/>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VIEs/VOEs:</w:t>
            </w: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Westwood Funds®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3"/>
          </w:tcPr>
          <w:p>
            <w:pPr>
              <w:ind w:left="100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Trust Funds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Funds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Equity</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assets: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Wealth Management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Institutional</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Under Management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14. RELATED PARTY TRANSACTIONS</w:t>
      </w:r>
    </w:p>
    <w:p>
      <w:pPr>
        <w:spacing w:after="0" w:line="12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Company engages in transactions with its affiliates in the ordinary course of business. Westwood Management provides investment advisory services to the Westwood Funds®. Under the terms of the investment advisory agreements, the Company earns quarterly fees paid by clients of the fund or by the funds directly. The fees are based on negotiated fee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ind w:left="800" w:right="1600"/>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schedules applied to AUM. For the three months ended March 31, 2024 and March 31, 2023, the Company earned immaterial fees from the affiliated funds.</w:t>
      </w:r>
    </w:p>
    <w:p>
      <w:pPr>
        <w:spacing w:after="0" w:line="54"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One of our directors served as a consultant to the Company under a consulting agreement. We recorded immaterial expenses related to this agreement for the three months ended March 31, 2023.</w:t>
      </w:r>
    </w:p>
    <w:p>
      <w:pPr>
        <w:spacing w:after="0" w:line="212" w:lineRule="exact"/>
        <w:rPr>
          <w:sz w:val="20"/>
          <w:szCs w:val="20"/>
          <w:color w:val="auto"/>
        </w:rPr>
      </w:pPr>
    </w:p>
    <w:p>
      <w:pPr>
        <w:ind w:left="500" w:right="8500" w:hanging="492"/>
        <w:spacing w:after="0" w:line="377" w:lineRule="auto"/>
        <w:tabs>
          <w:tab w:leader="none" w:pos="28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i w:val="1"/>
          <w:iCs w:val="1"/>
          <w:color w:val="auto"/>
        </w:rPr>
        <w:t>Dividend Declared</w:t>
      </w:r>
    </w:p>
    <w:p>
      <w:pPr>
        <w:spacing w:after="0" w:line="2"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On May 1, 2024, the Board of Directors declared a quarterly cash dividend of $0.15 per share of common stock payable on July 1, 2024 to stockholders of record on June 3,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17" w:right="819" w:bottom="1440" w:gutter="0" w:footer="0" w:header="0"/>
        </w:sectPr>
      </w:pPr>
    </w:p>
    <w:bookmarkStart w:id="17" w:name="page18"/>
    <w:bookmarkEnd w:id="17"/>
    <w:p>
      <w:pPr>
        <w:ind w:right="90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Forward-Looking Statements</w:t>
      </w:r>
    </w:p>
    <w:p>
      <w:pPr>
        <w:spacing w:after="0" w:line="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“potentially,” “may,” “designed”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2023 and those risks set forth below:</w:t>
      </w:r>
    </w:p>
    <w:p>
      <w:pPr>
        <w:spacing w:after="0" w:line="81"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and market value of our AUM and AUA;</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fee structure in light of competitive fee pressures;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actions of activist stockholders;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common stockholders have included and may in the future include a return of capital;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of foreign company investments in our AUM;</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adversely affecting the financial services industry;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cyber security;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investment strategies successfully;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our relationships with current and potential customers;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perform operational tasks;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 and oversee third-party vendors;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operations and funds of our subsidiaries;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information systems;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misuse of assets and information in the possession of our employees and third-party vendors, which could damage our reputation and result in costly litigation and liability for our clients and us;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is thinly traded and may be subject to volatility;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investment management industry;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termination of client agreements and the related investment redemptions;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concentration of our revenues in a small number of customers;</w:t>
      </w:r>
    </w:p>
    <w:p>
      <w:pPr>
        <w:spacing w:after="0" w:line="117"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and may continue to make business combinations as a part of our business strategy, which may present certain risks and uncertainties;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investment consulting firms;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execute on our strategic initiatives;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declare and pay dividends;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future capital requirements on favorable terms;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address conflicts of interest;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insurance coverage;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ectPr>
          <w:pgSz w:w="11900" w:h="16838" w:orient="portrait"/>
          <w:cols w:equalWidth="0" w:num="1">
            <w:col w:w="11040"/>
          </w:cols>
          <w:pgMar w:left="320" w:top="108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9" w:right="539" w:bottom="1440" w:gutter="0" w:footer="0" w:header="0"/>
          <w:type w:val="continuous"/>
        </w:sectPr>
      </w:pPr>
    </w:p>
    <w:bookmarkStart w:id="18" w:name="page19"/>
    <w:bookmarkEnd w:id="18"/>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2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 manage investment assets and provide services for our clients through our subsidiaries, Westwood Management Corp., Westwood Advisors, L.L.C. and Salient Advisors, LP (each of which is an SEC-registered investment advisor and referred to hereinafter together as “Westwood Management”) and Westwood Trust. Westwood Management provides investment advisory services to institutional investors, a family of mutual funds called the Westwood Funds®, other mutual funds, individuals and clients of Westwood Trust.</w:t>
      </w:r>
    </w:p>
    <w:p>
      <w:pPr>
        <w:spacing w:after="0" w:line="72"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Westwood Trust provides trust and custodial services and participation in common trust funds to institutions and high net worth individuals. Our revenues are generally derived from fees based on a percentage of AUM.</w:t>
      </w:r>
    </w:p>
    <w:p>
      <w:pPr>
        <w:spacing w:after="0" w:line="54"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Our revenues are generally derived from fees based on a percentage of AUM and AUA, and Westwood Management and Westwood Trust collectively had AUM of approximately $16.2 billion and AUA of approximately $1.0 billion at March 31, 2024. We have established a track record of delivering competitive, risk-adjusted returns for our clients.</w:t>
      </w:r>
    </w:p>
    <w:p>
      <w:pPr>
        <w:spacing w:after="0" w:line="6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With respect to most of our AUM, we utilize a “value” investment style focused on achieving superior long-term, risk-adjusted returns by investing in companies with high levels of free cash flow, improving returns on equity and strengthening balance sheets that are well positioned for growth but whose value is not fully recognized in the marketplace. This investment approach is designed to limit downside during unfavorable periods and provide superior real returns over the long term. Our investment teams have significant industry experience. Our investment team members have an average investment experience of over twenty years.</w:t>
      </w:r>
    </w:p>
    <w:p>
      <w:pPr>
        <w:spacing w:after="0" w:line="7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have built a foundation in terms of personnel and infrastructure to support a much larger business and we have developed investment strategies that we believe will be sought after within our target institutional, wealth management and intermediary markets. Developing new products and growing the organization has resulted in our incurring expenses that, in some cases, have not yet generated significant offsetting revenues. We believe that investors will recognize the potential for new revenue streams inherent in these products and services; however, there is no guarantee that they will occur.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40" w:firstLine="486"/>
        <w:spacing w:after="0" w:line="272" w:lineRule="auto"/>
        <w:rPr>
          <w:sz w:val="20"/>
          <w:szCs w:val="20"/>
          <w:color w:val="auto"/>
        </w:rPr>
      </w:pPr>
      <w:r>
        <w:rPr>
          <w:rFonts w:ascii="Times New Roman" w:cs="Times New Roman" w:eastAsia="Times New Roman" w:hAnsi="Times New Roman"/>
          <w:sz w:val="17"/>
          <w:szCs w:val="17"/>
          <w:color w:val="auto"/>
        </w:rPr>
        <w:t>We derive our revenues from investment advisory fees, trust fees and other revenues. Our advisory fees are generated by Westwood Management, which manages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Consolidated Financial Statements contain no deferred advisory fee revenues.</w:t>
      </w:r>
    </w:p>
    <w:p>
      <w:pPr>
        <w:spacing w:after="0" w:line="64"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Consolidated Financial Statements contain no deferred advisory fee revenues.</w:t>
      </w:r>
    </w:p>
    <w:p>
      <w:pPr>
        <w:spacing w:after="0" w:line="75" w:lineRule="exact"/>
        <w:rPr>
          <w:sz w:val="20"/>
          <w:szCs w:val="20"/>
          <w:color w:val="auto"/>
        </w:rPr>
      </w:pPr>
    </w:p>
    <w:p>
      <w:pPr>
        <w:ind w:right="2040" w:firstLine="486"/>
        <w:spacing w:after="0" w:line="375" w:lineRule="auto"/>
        <w:rPr>
          <w:sz w:val="20"/>
          <w:szCs w:val="20"/>
          <w:color w:val="auto"/>
        </w:rPr>
      </w:pPr>
      <w:r>
        <w:rPr>
          <w:rFonts w:ascii="Times New Roman" w:cs="Times New Roman" w:eastAsia="Times New Roman" w:hAnsi="Times New Roman"/>
          <w:sz w:val="18"/>
          <w:szCs w:val="18"/>
          <w:color w:val="auto"/>
        </w:rPr>
        <w:t xml:space="preserve">Our other revenues primarily consist of investment income from seed money investments into new investment strategies. </w:t>
      </w:r>
      <w:r>
        <w:rPr>
          <w:rFonts w:ascii="Times New Roman" w:cs="Times New Roman" w:eastAsia="Times New Roman" w:hAnsi="Times New Roman"/>
          <w:sz w:val="18"/>
          <w:szCs w:val="18"/>
          <w:i w:val="1"/>
          <w:iCs w:val="1"/>
          <w:color w:val="auto"/>
        </w:rPr>
        <w:t>Employee Compensation and Benefits</w:t>
      </w:r>
    </w:p>
    <w:p>
      <w:pPr>
        <w:spacing w:after="0" w:line="1"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Employee compensation and benefits costs generally consist of salaries, sales commissions, incentive compensation, stock-based compensation expense and benefits.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left="500"/>
        <w:spacing w:after="0"/>
        <w:rPr>
          <w:sz w:val="20"/>
          <w:szCs w:val="20"/>
          <w:color w:val="auto"/>
        </w:rPr>
      </w:pPr>
      <w:r>
        <w:rPr>
          <w:rFonts w:ascii="Times New Roman" w:cs="Times New Roman" w:eastAsia="Times New Roman" w:hAnsi="Times New Roman"/>
          <w:sz w:val="18"/>
          <w:szCs w:val="18"/>
          <w:color w:val="auto"/>
        </w:rPr>
        <w:t>Sales and marketing costs relate to our marketing efforts, including travel and entertainment, direct marketing and advertising costs.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Westwood Mutual Funds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Expenses for Westwood mutual funds relate to our marketing, distribution and administration of the Westwood Funds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Technology</w:t>
      </w:r>
    </w:p>
    <w:p>
      <w:pPr>
        <w:spacing w:after="0" w:line="119" w:lineRule="exact"/>
        <w:rPr>
          <w:sz w:val="20"/>
          <w:szCs w:val="20"/>
          <w:color w:val="auto"/>
        </w:rPr>
      </w:pPr>
    </w:p>
    <w:p>
      <w:pPr>
        <w:ind w:right="760" w:firstLine="486"/>
        <w:spacing w:after="0" w:line="282" w:lineRule="auto"/>
        <w:rPr>
          <w:sz w:val="20"/>
          <w:szCs w:val="20"/>
          <w:color w:val="auto"/>
        </w:rPr>
      </w:pPr>
      <w:r>
        <w:rPr>
          <w:rFonts w:ascii="Times New Roman" w:cs="Times New Roman" w:eastAsia="Times New Roman" w:hAnsi="Times New Roman"/>
          <w:sz w:val="18"/>
          <w:szCs w:val="18"/>
          <w:color w:val="auto"/>
        </w:rPr>
        <w:t>Information technology expenses include costs associated with proprietary investment research tools, maintenance and support, computing hardware, software licenses, telecommunications and other related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Professional services expenses generally consist of costs associated with sub-advisory fees, audit, legal and other professional services.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generally consist of costs associated with the lease of office space, amortization, depreciation, insurance, custody expense, Directors' fees, investor relations, licenses and fees, office supplies and other miscellaneous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from change in fair value of contingent consideration</w:t>
      </w:r>
    </w:p>
    <w:p>
      <w:pPr>
        <w:spacing w:after="0" w:line="11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(Gain) loss from change in fair value of contingent consideration consists of fair value adjustments related to contingent consideration from our 2022 acquisition of Salient.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Acquisition expenses consist of costs related to the Salient Acquisition.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Change in Unrealized Appreciation (Depreciation) on Private Investments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change in unrealized appreciation (depreciation) on private investments includes changes in the value of our private equity investments.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investment income primarily includes interest and dividend income on fixed income securities and money market funds.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income primarily consists of income from the sublease of a portion of our corporate offices and the receipt of life insurance proceeds.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Firm-wide Assets Under Management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Firm-wide assets under management of $17.2 billion at March 31, 2024 consisted of $16.2 billion of AUM and $1.0 billion of AUA.</w:t>
      </w:r>
    </w:p>
    <w:p>
      <w:pPr>
        <w:spacing w:after="0" w:line="171"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AUM increased $1.2 billion to $16.2 billion at March 31, 2024 compared with $15.0 billion at March 31, 2023. The average of beginning and ending AUM for the first quarter of 2024 was $15.8 billion compared to $14.9 billion for the first quarter of 2023.</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AUM as of March 31, 2024 and 2023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1"/>
        </w:trPr>
        <w:tc>
          <w:tcPr>
            <w:tcW w:w="7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5"/>
        </w:trPr>
        <w:tc>
          <w:tcPr>
            <w:tcW w:w="74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Institutional</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30"/>
        </w:trPr>
        <w:tc>
          <w:tcPr>
            <w:tcW w:w="7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Wealth Management</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12</w:t>
            </w:r>
          </w:p>
        </w:tc>
      </w:tr>
      <w:tr>
        <w:trPr>
          <w:trHeight w:val="230"/>
        </w:trPr>
        <w:tc>
          <w:tcPr>
            <w:tcW w:w="7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1</w:t>
            </w:r>
          </w:p>
        </w:tc>
      </w:tr>
      <w:tr>
        <w:trPr>
          <w:trHeight w:val="223"/>
        </w:trPr>
        <w:tc>
          <w:tcPr>
            <w:tcW w:w="74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AUM</w:t>
            </w:r>
            <w:r>
              <w:rPr>
                <w:rFonts w:ascii="Times New Roman" w:cs="Times New Roman" w:eastAsia="Times New Roman" w:hAnsi="Times New Roman"/>
                <w:sz w:val="23"/>
                <w:szCs w:val="23"/>
                <w:b w:val="1"/>
                <w:bCs w:val="1"/>
                <w:color w:val="auto"/>
                <w:vertAlign w:val="superscript"/>
              </w:rPr>
              <w:t>(4)</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8 %</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jc w:val="both"/>
        <w:ind w:left="340" w:hanging="332"/>
        <w:spacing w:after="0" w:line="262"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RIAs that offer Westwood products to their customers.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60"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and unaffiliated sub-advisors. For certain assets in this category Westwood Trust provides limited custodial services for a minimal or no fee, viewing these assets as potentially converting to fee-generating managed assets in the future.</w:t>
      </w:r>
    </w:p>
    <w:p>
      <w:pPr>
        <w:spacing w:after="0" w:line="1" w:lineRule="exact"/>
        <w:rPr>
          <w:rFonts w:ascii="Times New Roman" w:cs="Times New Roman" w:eastAsia="Times New Roman" w:hAnsi="Times New Roman"/>
          <w:sz w:val="14"/>
          <w:szCs w:val="14"/>
          <w:color w:val="auto"/>
        </w:rPr>
      </w:pPr>
    </w:p>
    <w:p>
      <w:pPr>
        <w:ind w:left="340" w:hanging="332"/>
        <w:spacing w:after="0" w:line="251"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Mutual Funds include the Westwood Funds®, a family of mutual funds for which Westwood Management serves as advisor. These funds are available to individual investors, institutional investors and wealth management accounts.</w:t>
      </w:r>
    </w:p>
    <w:p>
      <w:pPr>
        <w:ind w:left="340" w:hanging="332"/>
        <w:spacing w:after="0" w:line="283"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AUM excludes $1.0 billion and $1.2 billion of AUA as of March 31, 2024 and 2023, respectively, related to our model portfolios for which we provide investment advice on a fee basis without having investment management authority.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Roll-Forward of Assets Under Management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20" w:type="dxa"/>
            <w:vAlign w:val="bottom"/>
            <w:tcBorders>
              <w:bottom w:val="single" w:sz="8" w:color="CCEEFF"/>
            </w:tcBorders>
          </w:tcPr>
          <w:p>
            <w:pPr>
              <w:spacing w:after="0"/>
              <w:rPr>
                <w:sz w:val="18"/>
                <w:szCs w:val="18"/>
                <w:color w:val="auto"/>
              </w:rPr>
            </w:pPr>
          </w:p>
        </w:tc>
        <w:tc>
          <w:tcPr>
            <w:tcW w:w="83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8"/>
              </w:rPr>
              <w:t>Institutional</w:t>
            </w:r>
          </w:p>
        </w:tc>
        <w:tc>
          <w:tcPr>
            <w:tcW w:w="7360" w:type="dxa"/>
            <w:vAlign w:val="bottom"/>
            <w:tcBorders>
              <w:bottom w:val="single" w:sz="8" w:color="CCEEFF"/>
            </w:tcBorders>
            <w:gridSpan w:val="3"/>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8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6,968</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3"/>
        </w:trPr>
        <w:tc>
          <w:tcPr>
            <w:tcW w:w="20" w:type="dxa"/>
            <w:vAlign w:val="bottom"/>
            <w:tcBorders>
              <w:bottom w:val="single" w:sz="8" w:color="CCEEFF"/>
            </w:tcBorders>
          </w:tcPr>
          <w:p>
            <w:pPr>
              <w:spacing w:after="0"/>
              <w:rPr>
                <w:sz w:val="18"/>
                <w:szCs w:val="18"/>
                <w:color w:val="auto"/>
              </w:rPr>
            </w:pPr>
          </w:p>
        </w:tc>
        <w:tc>
          <w:tcPr>
            <w:tcW w:w="832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12"/>
        </w:trPr>
        <w:tc>
          <w:tcPr>
            <w:tcW w:w="20" w:type="dxa"/>
            <w:vAlign w:val="bottom"/>
            <w:shd w:val="clear" w:color="auto" w:fill="CCEEFF"/>
          </w:tcPr>
          <w:p>
            <w:pPr>
              <w:spacing w:after="0"/>
              <w:rPr>
                <w:sz w:val="18"/>
                <w:szCs w:val="18"/>
                <w:color w:val="auto"/>
              </w:rPr>
            </w:pPr>
          </w:p>
        </w:tc>
        <w:tc>
          <w:tcPr>
            <w:tcW w:w="8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20" w:type="dxa"/>
            <w:vAlign w:val="bottom"/>
            <w:tcBorders>
              <w:bottom w:val="single" w:sz="8" w:color="CCEEFF"/>
            </w:tcBorders>
          </w:tcPr>
          <w:p>
            <w:pPr>
              <w:spacing w:after="0"/>
              <w:rPr>
                <w:sz w:val="18"/>
                <w:szCs w:val="18"/>
                <w:color w:val="auto"/>
              </w:rPr>
            </w:pPr>
          </w:p>
        </w:tc>
        <w:tc>
          <w:tcPr>
            <w:tcW w:w="832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09"/>
        </w:trPr>
        <w:tc>
          <w:tcPr>
            <w:tcW w:w="20" w:type="dxa"/>
            <w:vAlign w:val="bottom"/>
            <w:shd w:val="clear" w:color="auto" w:fill="CCEEFF"/>
          </w:tcPr>
          <w:p>
            <w:pPr>
              <w:spacing w:after="0"/>
              <w:rPr>
                <w:sz w:val="18"/>
                <w:szCs w:val="18"/>
                <w:color w:val="auto"/>
              </w:rPr>
            </w:pPr>
          </w:p>
        </w:tc>
        <w:tc>
          <w:tcPr>
            <w:tcW w:w="8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2"/>
        </w:trPr>
        <w:tc>
          <w:tcPr>
            <w:tcW w:w="20" w:type="dxa"/>
            <w:vAlign w:val="bottom"/>
          </w:tcPr>
          <w:p>
            <w:pPr>
              <w:spacing w:after="0"/>
              <w:rPr>
                <w:sz w:val="18"/>
                <w:szCs w:val="18"/>
                <w:color w:val="auto"/>
              </w:rPr>
            </w:pPr>
          </w:p>
        </w:tc>
        <w:tc>
          <w:tcPr>
            <w:tcW w:w="8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189"/>
        </w:trPr>
        <w:tc>
          <w:tcPr>
            <w:tcW w:w="20" w:type="dxa"/>
            <w:vAlign w:val="bottom"/>
          </w:tcPr>
          <w:p>
            <w:pPr>
              <w:spacing w:after="0"/>
              <w:rPr>
                <w:sz w:val="16"/>
                <w:szCs w:val="16"/>
                <w:color w:val="auto"/>
              </w:rPr>
            </w:pPr>
          </w:p>
        </w:tc>
        <w:tc>
          <w:tcPr>
            <w:tcW w:w="83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Wealth Management</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w:t>
            </w:r>
          </w:p>
        </w:tc>
      </w:tr>
      <w:tr>
        <w:trPr>
          <w:trHeight w:val="213"/>
        </w:trPr>
        <w:tc>
          <w:tcPr>
            <w:tcW w:w="20" w:type="dxa"/>
            <w:vAlign w:val="bottom"/>
          </w:tcPr>
          <w:p>
            <w:pPr>
              <w:spacing w:after="0"/>
              <w:rPr>
                <w:sz w:val="18"/>
                <w:szCs w:val="18"/>
                <w:color w:val="auto"/>
              </w:rPr>
            </w:pPr>
          </w:p>
        </w:tc>
        <w:tc>
          <w:tcPr>
            <w:tcW w:w="832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07"/>
        </w:trPr>
        <w:tc>
          <w:tcPr>
            <w:tcW w:w="20" w:type="dxa"/>
            <w:vAlign w:val="bottom"/>
          </w:tcPr>
          <w:p>
            <w:pPr>
              <w:spacing w:after="0"/>
              <w:rPr>
                <w:sz w:val="17"/>
                <w:szCs w:val="17"/>
                <w:color w:val="auto"/>
              </w:rPr>
            </w:pPr>
          </w:p>
        </w:tc>
        <w:tc>
          <w:tcPr>
            <w:tcW w:w="8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07"/>
        </w:trPr>
        <w:tc>
          <w:tcPr>
            <w:tcW w:w="20" w:type="dxa"/>
            <w:vAlign w:val="bottom"/>
            <w:tcBorders>
              <w:bottom w:val="single" w:sz="8" w:color="CCEEFF"/>
            </w:tcBorders>
          </w:tcPr>
          <w:p>
            <w:pPr>
              <w:spacing w:after="0"/>
              <w:rPr>
                <w:sz w:val="17"/>
                <w:szCs w:val="17"/>
                <w:color w:val="auto"/>
              </w:rPr>
            </w:pPr>
          </w:p>
        </w:tc>
        <w:tc>
          <w:tcPr>
            <w:tcW w:w="83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Net change</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3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189"/>
        </w:trPr>
        <w:tc>
          <w:tcPr>
            <w:tcW w:w="20" w:type="dxa"/>
            <w:vAlign w:val="bottom"/>
            <w:shd w:val="clear" w:color="auto" w:fill="CCEEFF"/>
          </w:tcPr>
          <w:p>
            <w:pPr>
              <w:spacing w:after="0"/>
              <w:rPr>
                <w:sz w:val="16"/>
                <w:szCs w:val="16"/>
                <w:color w:val="auto"/>
              </w:rPr>
            </w:pPr>
          </w:p>
        </w:tc>
        <w:tc>
          <w:tcPr>
            <w:tcW w:w="83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Mutual Funds</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13"/>
        </w:trPr>
        <w:tc>
          <w:tcPr>
            <w:tcW w:w="20" w:type="dxa"/>
            <w:vAlign w:val="bottom"/>
            <w:tcBorders>
              <w:bottom w:val="single" w:sz="8" w:color="CCEEFF"/>
            </w:tcBorders>
          </w:tcPr>
          <w:p>
            <w:pPr>
              <w:spacing w:after="0"/>
              <w:rPr>
                <w:sz w:val="18"/>
                <w:szCs w:val="18"/>
                <w:color w:val="auto"/>
              </w:rPr>
            </w:pPr>
          </w:p>
        </w:tc>
        <w:tc>
          <w:tcPr>
            <w:tcW w:w="832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12"/>
        </w:trPr>
        <w:tc>
          <w:tcPr>
            <w:tcW w:w="20" w:type="dxa"/>
            <w:vAlign w:val="bottom"/>
            <w:shd w:val="clear" w:color="auto" w:fill="CCEEFF"/>
          </w:tcPr>
          <w:p>
            <w:pPr>
              <w:spacing w:after="0"/>
              <w:rPr>
                <w:sz w:val="18"/>
                <w:szCs w:val="18"/>
                <w:color w:val="auto"/>
              </w:rPr>
            </w:pPr>
          </w:p>
        </w:tc>
        <w:tc>
          <w:tcPr>
            <w:tcW w:w="8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3"/>
        </w:trPr>
        <w:tc>
          <w:tcPr>
            <w:tcW w:w="20" w:type="dxa"/>
            <w:vAlign w:val="bottom"/>
            <w:tcBorders>
              <w:bottom w:val="single" w:sz="8" w:color="CCEEFF"/>
            </w:tcBorders>
          </w:tcPr>
          <w:p>
            <w:pPr>
              <w:spacing w:after="0"/>
              <w:rPr>
                <w:sz w:val="18"/>
                <w:szCs w:val="18"/>
                <w:color w:val="auto"/>
              </w:rPr>
            </w:pPr>
          </w:p>
        </w:tc>
        <w:tc>
          <w:tcPr>
            <w:tcW w:w="832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09"/>
        </w:trPr>
        <w:tc>
          <w:tcPr>
            <w:tcW w:w="20" w:type="dxa"/>
            <w:vAlign w:val="bottom"/>
            <w:shd w:val="clear" w:color="auto" w:fill="CCEEFF"/>
          </w:tcPr>
          <w:p>
            <w:pPr>
              <w:spacing w:after="0"/>
              <w:rPr>
                <w:sz w:val="18"/>
                <w:szCs w:val="18"/>
                <w:color w:val="auto"/>
              </w:rPr>
            </w:pPr>
          </w:p>
        </w:tc>
        <w:tc>
          <w:tcPr>
            <w:tcW w:w="8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20" w:type="dxa"/>
            <w:vAlign w:val="bottom"/>
          </w:tcPr>
          <w:p>
            <w:pPr>
              <w:spacing w:after="0"/>
              <w:rPr>
                <w:sz w:val="18"/>
                <w:szCs w:val="18"/>
                <w:color w:val="auto"/>
              </w:rPr>
            </w:pPr>
          </w:p>
        </w:tc>
        <w:tc>
          <w:tcPr>
            <w:tcW w:w="8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189"/>
        </w:trPr>
        <w:tc>
          <w:tcPr>
            <w:tcW w:w="20" w:type="dxa"/>
            <w:vAlign w:val="bottom"/>
          </w:tcPr>
          <w:p>
            <w:pPr>
              <w:spacing w:after="0"/>
              <w:rPr>
                <w:sz w:val="16"/>
                <w:szCs w:val="16"/>
                <w:color w:val="auto"/>
              </w:rPr>
            </w:pPr>
          </w:p>
        </w:tc>
        <w:tc>
          <w:tcPr>
            <w:tcW w:w="83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Total AUM</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14,779</w:t>
            </w:r>
          </w:p>
        </w:tc>
      </w:tr>
      <w:tr>
        <w:trPr>
          <w:trHeight w:val="213"/>
        </w:trPr>
        <w:tc>
          <w:tcPr>
            <w:tcW w:w="20" w:type="dxa"/>
            <w:vAlign w:val="bottom"/>
          </w:tcPr>
          <w:p>
            <w:pPr>
              <w:spacing w:after="0"/>
              <w:rPr>
                <w:sz w:val="18"/>
                <w:szCs w:val="18"/>
                <w:color w:val="auto"/>
              </w:rPr>
            </w:pPr>
          </w:p>
        </w:tc>
        <w:tc>
          <w:tcPr>
            <w:tcW w:w="832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207"/>
        </w:trPr>
        <w:tc>
          <w:tcPr>
            <w:tcW w:w="20" w:type="dxa"/>
            <w:vAlign w:val="bottom"/>
          </w:tcPr>
          <w:p>
            <w:pPr>
              <w:spacing w:after="0"/>
              <w:rPr>
                <w:sz w:val="17"/>
                <w:szCs w:val="17"/>
                <w:color w:val="auto"/>
              </w:rPr>
            </w:pPr>
          </w:p>
        </w:tc>
        <w:tc>
          <w:tcPr>
            <w:tcW w:w="8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07"/>
        </w:trPr>
        <w:tc>
          <w:tcPr>
            <w:tcW w:w="20" w:type="dxa"/>
            <w:vAlign w:val="bottom"/>
            <w:tcBorders>
              <w:bottom w:val="single" w:sz="8" w:color="CCEEFF"/>
            </w:tcBorders>
          </w:tcPr>
          <w:p>
            <w:pPr>
              <w:spacing w:after="0"/>
              <w:rPr>
                <w:sz w:val="17"/>
                <w:szCs w:val="17"/>
                <w:color w:val="auto"/>
              </w:rPr>
            </w:pPr>
          </w:p>
        </w:tc>
        <w:tc>
          <w:tcPr>
            <w:tcW w:w="83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Net change</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3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right="780" w:firstLine="8"/>
        <w:spacing w:after="0" w:line="280" w:lineRule="auto"/>
        <w:tabs>
          <w:tab w:leader="none" w:pos="12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assets under management acquired from Salient were reclassified from Mutual Funds to Institutional as of December 31, 2022 to be consistent with the classification of existing assets.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the three months ended March 31, 2023</w:t>
      </w:r>
    </w:p>
    <w:p>
      <w:pPr>
        <w:spacing w:after="0" w:line="12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change in AUM for the three months ended March 31, 2024 was due to market appreciation of $0.9 billion and net outflows of $0.2 billion. Net outflows were primarily related to our LargeCap Value strategy.</w:t>
      </w:r>
    </w:p>
    <w:p>
      <w:pPr>
        <w:spacing w:after="0" w:line="54"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$0.2 billion increase in AUM for the three months ended March 31, 2023 was due to market appreciation of $0.3 billion and net outflows of $0.1 billion. Net outflows were primarily related to our Quality AllCap strategy.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Roll-Forward of Assets Under Advisement</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20" w:type="dxa"/>
            <w:vAlign w:val="bottom"/>
            <w:tcBorders>
              <w:bottom w:val="single" w:sz="8" w:color="CCEEFF"/>
            </w:tcBorders>
          </w:tcPr>
          <w:p>
            <w:pPr>
              <w:spacing w:after="0"/>
              <w:rPr>
                <w:sz w:val="18"/>
                <w:szCs w:val="18"/>
                <w:color w:val="auto"/>
              </w:rPr>
            </w:pPr>
          </w:p>
        </w:tc>
        <w:tc>
          <w:tcPr>
            <w:tcW w:w="7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Assets Under Advisement</w:t>
            </w:r>
          </w:p>
        </w:tc>
        <w:tc>
          <w:tcPr>
            <w:tcW w:w="5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w:t>
            </w:r>
          </w:p>
        </w:tc>
      </w:tr>
      <w:tr>
        <w:trPr>
          <w:trHeight w:val="21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20" w:type="dxa"/>
            <w:vAlign w:val="bottom"/>
            <w:tcBorders>
              <w:bottom w:val="single" w:sz="8" w:color="CCEEFF"/>
            </w:tcBorders>
          </w:tcPr>
          <w:p>
            <w:pPr>
              <w:spacing w:after="0"/>
              <w:rPr>
                <w:sz w:val="18"/>
                <w:szCs w:val="18"/>
                <w:color w:val="auto"/>
              </w:rPr>
            </w:pPr>
          </w:p>
        </w:tc>
        <w:tc>
          <w:tcPr>
            <w:tcW w:w="71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2"/>
        </w:trPr>
        <w:tc>
          <w:tcPr>
            <w:tcW w:w="2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3"/>
        </w:trPr>
        <w:tc>
          <w:tcPr>
            <w:tcW w:w="20" w:type="dxa"/>
            <w:vAlign w:val="bottom"/>
            <w:tcBorders>
              <w:bottom w:val="single" w:sz="8" w:color="CCEEFF"/>
            </w:tcBorders>
          </w:tcPr>
          <w:p>
            <w:pPr>
              <w:spacing w:after="0"/>
              <w:rPr>
                <w:sz w:val="18"/>
                <w:szCs w:val="18"/>
                <w:color w:val="auto"/>
              </w:rPr>
            </w:pPr>
          </w:p>
        </w:tc>
        <w:tc>
          <w:tcPr>
            <w:tcW w:w="71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0"/>
        </w:trPr>
        <w:tc>
          <w:tcPr>
            <w:tcW w:w="2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w:t>
            </w:r>
          </w:p>
        </w:tc>
        <w:tc>
          <w:tcPr>
            <w:tcW w:w="4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2"/>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w:t>
            </w:r>
          </w:p>
        </w:tc>
      </w:tr>
      <w:tr>
        <w:trPr>
          <w:trHeight w:val="21"/>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(dollars in thousands) and discussion of our results of operations are based upon data derived from the Condensed Consolidated Statements of Comprehensive Income contained in our Condensed Consolidated Financial Statements and should be read in conjunction with those statements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2"/>
        </w:trPr>
        <w:tc>
          <w:tcPr>
            <w:tcW w:w="7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4"/>
          </w:tcPr>
          <w:p>
            <w:pPr>
              <w:jc w:val="right"/>
              <w:ind w:right="319"/>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Advisory fees: asset-based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Advisory fees: performance-based</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Trust fees: asset-based</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1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207"/>
        </w:trPr>
        <w:tc>
          <w:tcPr>
            <w:tcW w:w="79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22,727</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14,202</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Westwood mutual funds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Information technology</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Professional services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3,046</w:t>
            </w: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loss from change in fair value of contingent consideration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expenses</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expenses</w:t>
            </w: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19,791</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21,781</w:t>
            </w:r>
          </w:p>
        </w:tc>
        <w:tc>
          <w:tcPr>
            <w:tcW w:w="1120" w:type="dxa"/>
            <w:vAlign w:val="bottom"/>
            <w:tcBorders>
              <w:bottom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operating income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investment income</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1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Comprehensive income (loss) attributable to noncontrolling interest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attributable to Westwood Holdings Group, Inc.</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231 %</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55" w:lineRule="exact"/>
        <w:rPr>
          <w:sz w:val="20"/>
          <w:szCs w:val="20"/>
          <w:color w:val="auto"/>
        </w:rPr>
      </w:pPr>
    </w:p>
    <w:p>
      <w:pPr>
        <w:ind w:left="180"/>
        <w:spacing w:after="0"/>
        <w:tabs>
          <w:tab w:leader="none" w:pos="520" w:val="left"/>
        </w:tabs>
        <w:rPr>
          <w:sz w:val="20"/>
          <w:szCs w:val="20"/>
          <w:color w:val="auto"/>
        </w:rPr>
      </w:pPr>
      <w:r>
        <w:rPr>
          <w:rFonts w:ascii="Times New Roman" w:cs="Times New Roman" w:eastAsia="Times New Roman" w:hAnsi="Times New Roman"/>
          <w:sz w:val="14"/>
          <w:szCs w:val="14"/>
          <w:color w:val="auto"/>
        </w:rPr>
        <w:t>NM</w:t>
        <w:tab/>
        <w:t>Not meaningful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three months ended March 31, 2023</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i w:val="1"/>
          <w:iCs w:val="1"/>
          <w:color w:val="auto"/>
        </w:rPr>
        <w:t>Total revenues</w:t>
      </w:r>
      <w:r>
        <w:rPr>
          <w:rFonts w:ascii="Times New Roman" w:cs="Times New Roman" w:eastAsia="Times New Roman" w:hAnsi="Times New Roman"/>
          <w:sz w:val="17"/>
          <w:szCs w:val="17"/>
          <w:color w:val="auto"/>
        </w:rPr>
        <w:t>. Total revenues for the three months ended March 31, 2024 were comparable to revenues for the three months ended March 31, 2023.</w:t>
      </w:r>
    </w:p>
    <w:p>
      <w:pPr>
        <w:spacing w:after="0" w:line="129" w:lineRule="exact"/>
        <w:rPr>
          <w:sz w:val="20"/>
          <w:szCs w:val="20"/>
          <w:color w:val="auto"/>
        </w:rPr>
      </w:pPr>
    </w:p>
    <w:p>
      <w:pPr>
        <w:ind w:right="25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loss from change in fair value of contingent consideration. </w:t>
      </w:r>
      <w:r>
        <w:rPr>
          <w:rFonts w:ascii="Times New Roman" w:cs="Times New Roman" w:eastAsia="Times New Roman" w:hAnsi="Times New Roman"/>
          <w:sz w:val="18"/>
          <w:szCs w:val="18"/>
          <w:color w:val="auto"/>
        </w:rPr>
        <w:t>We recorded a gain of $2.9 million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remeasurement of contingent consideration of the Salient Acquisition primarily due to changes in growth projections and volatility assumptions.</w:t>
      </w:r>
    </w:p>
    <w:p>
      <w:pPr>
        <w:spacing w:after="0" w:line="65" w:lineRule="exact"/>
        <w:rPr>
          <w:sz w:val="20"/>
          <w:szCs w:val="20"/>
          <w:color w:val="auto"/>
        </w:rPr>
      </w:pPr>
    </w:p>
    <w:p>
      <w:pPr>
        <w:ind w:right="1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Income tax provision</w:t>
      </w:r>
      <w:r>
        <w:rPr>
          <w:rFonts w:ascii="Times New Roman" w:cs="Times New Roman" w:eastAsia="Times New Roman" w:hAnsi="Times New Roman"/>
          <w:sz w:val="18"/>
          <w:szCs w:val="18"/>
          <w:color w:val="auto"/>
        </w:rPr>
        <w:t>. Our effective tax rate differed from the 21% statutory rate for the first quarter of 2024 primarily due to permanent differences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book and tax restricted stock expense based on a decrease in our stock price between the restricted stock grant and vesting dates.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Financial Information</w:t>
      </w:r>
    </w:p>
    <w:p>
      <w:pPr>
        <w:spacing w:after="0" w:line="12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As supplemental information, we are providing non-GAAP performance measures that we refer to as Economic Earnings and Economic EPS. We provide these measures in addition to, not as a substitute for, comprehensive income attributable to Westwood Holdings Group, Inc. and earnings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comprehensive income attributable to Westwood Holdings Group, Inc. or earnings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9" w:right="339" w:bottom="1440" w:gutter="0" w:footer="0" w:header="0"/>
        </w:sectPr>
      </w:pPr>
    </w:p>
    <w:bookmarkStart w:id="23" w:name="page24"/>
    <w:bookmarkEnd w:id="23"/>
    <w:p>
      <w:pPr>
        <w:jc w:val="both"/>
        <w:ind w:right="140" w:firstLine="486"/>
        <w:spacing w:after="0" w:line="255" w:lineRule="auto"/>
        <w:rPr>
          <w:sz w:val="20"/>
          <w:szCs w:val="20"/>
          <w:color w:val="auto"/>
        </w:rPr>
      </w:pPr>
      <w:r>
        <w:rPr>
          <w:rFonts w:ascii="Times New Roman" w:cs="Times New Roman" w:eastAsia="Times New Roman" w:hAnsi="Times New Roman"/>
          <w:sz w:val="18"/>
          <w:szCs w:val="18"/>
          <w:color w:val="auto"/>
        </w:rPr>
        <w:t>We define Economic Earnings as comprehensive income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because gains and losses on changes in the fair value of contingent consideration are considered regular following an acquisition. In addition, we do not adjust Economic Earnings for tax deductions related to restricted stock expense or amortization of intangible assets. Economic EPS represents Economic Earnings divided by diluted weighted average shares outstanding.</w:t>
      </w:r>
    </w:p>
    <w:p>
      <w:pPr>
        <w:spacing w:after="0" w:line="81" w:lineRule="exact"/>
        <w:rPr>
          <w:sz w:val="20"/>
          <w:szCs w:val="20"/>
          <w:color w:val="auto"/>
        </w:rPr>
      </w:pPr>
    </w:p>
    <w:p>
      <w:pPr>
        <w:jc w:val="both"/>
        <w:ind w:right="40" w:firstLine="486"/>
        <w:spacing w:after="0" w:line="312" w:lineRule="auto"/>
        <w:rPr>
          <w:sz w:val="20"/>
          <w:szCs w:val="20"/>
          <w:color w:val="auto"/>
        </w:rPr>
      </w:pPr>
      <w:r>
        <w:rPr>
          <w:rFonts w:ascii="Times New Roman" w:cs="Times New Roman" w:eastAsia="Times New Roman" w:hAnsi="Times New Roman"/>
          <w:sz w:val="17"/>
          <w:szCs w:val="17"/>
          <w:color w:val="auto"/>
        </w:rPr>
        <w:t>The following tables (in thousands, except share and per share amounts) provide a reconciliation of comprehensive income attributable to Westwood Holdings Group, Inc. to Economic Earnings and Economic Earnings by segment. We have included the tax impact of adjustments for all periods presented.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21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4"/>
        </w:trPr>
        <w:tc>
          <w:tcPr>
            <w:tcW w:w="7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5"/>
        </w:trPr>
        <w:tc>
          <w:tcPr>
            <w:tcW w:w="78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Westwood Holdings Group,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2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amortization</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benefit from goodwill amortization</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impacts of adjustments to GAAP comprehensive income</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2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Economic Earnings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amortization</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benefit from goodwill amortization</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impacts of adjustments to GAAP comprehensive income</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Economic Earnings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8,392,496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7,968,504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70"/>
        </w:trPr>
        <w:tc>
          <w:tcPr>
            <w:tcW w:w="7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Economic Earnings by Segment: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Advisory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Trust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Westwood Holdings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60" w:type="dxa"/>
            <w:vAlign w:val="bottom"/>
            <w:tcBorders>
              <w:bottom w:val="single" w:sz="8" w:color="CCEEFF"/>
            </w:tcBorders>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(33)</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Historically we have funded our operations and cash requirements with cash generated from operating activities. We may also use cash from operations to pay dividends to our stockholders or for deferred contingent consideration payments. We had no debt as of March 31, 2024 and December 31, 2023.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spacing w:after="0" w:line="75" w:lineRule="exact"/>
        <w:rPr>
          <w:sz w:val="20"/>
          <w:szCs w:val="20"/>
          <w:color w:val="auto"/>
        </w:rPr>
      </w:pPr>
    </w:p>
    <w:p>
      <w:pPr>
        <w:ind w:right="740" w:firstLine="486"/>
        <w:spacing w:after="0" w:line="282" w:lineRule="auto"/>
        <w:rPr>
          <w:sz w:val="20"/>
          <w:szCs w:val="20"/>
          <w:color w:val="auto"/>
        </w:rPr>
      </w:pPr>
      <w:r>
        <w:rPr>
          <w:rFonts w:ascii="Times New Roman" w:cs="Times New Roman" w:eastAsia="Times New Roman" w:hAnsi="Times New Roman"/>
          <w:sz w:val="18"/>
          <w:szCs w:val="18"/>
          <w:color w:val="auto"/>
        </w:rPr>
        <w:t>We had cash and short-term investments of $46.6 million and $53.1 million as of March 31, 2024 and December 31, 2023, respectively. At March 31, 2024 and December 31, 2023, working capital aggregated $51.9 million and $53.6 million,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cash flow provided by operating activities was $8.1 million, which included net sales of current investments of $12.4 million and a reduction in compensation and benefits payable of $6.6 million. During the three months ended March 31, 2023, cash flow used in operating activities was $3.2 million, which included a reduction in compensation and benefits payable of $5.6 million.</w:t>
      </w:r>
    </w:p>
    <w:p>
      <w:pPr>
        <w:spacing w:after="0" w:line="68"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Cash flow used in investing activities during the three months ended March 31, 2024 was related to the acquisition of property and equipment. Cash flow used in investing activities during the three months ended March 31, 2023 was primarily for the Broadmark Acquisition.</w:t>
      </w:r>
    </w:p>
    <w:p>
      <w:pPr>
        <w:spacing w:after="0" w:line="54"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Cash flows used in financing activities of $2.7 million for the three months ended March 31, 2024 and 2023 reflected the payment of dividends and restricted stock returned for the payment of taxes.</w:t>
      </w:r>
    </w:p>
    <w:p>
      <w:pPr>
        <w:spacing w:after="0" w:line="54"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Westwood Trust is required to maintain cash and investments in an amount equal to the minimum restricted capital of $4.0 million, as required by the Texas Finance Code. Restricted capital is included in Investments in the accompanying Condensed Consolidated Balance Sheets. At March 31, 2024, Westwood Trust had approximately $10.2 million in excess of its minimum capital requirement.</w:t>
      </w:r>
    </w:p>
    <w:p>
      <w:pPr>
        <w:spacing w:after="0" w:line="6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2023.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Failure to raise needed capital on attractive terms, if at all, could have a material adverse effect on our business, financial condition and results of operations.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Contractual Obligations</w:t>
      </w:r>
    </w:p>
    <w:p>
      <w:pPr>
        <w:spacing w:after="0" w:line="17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2024, there have been no material changes outside of the ordinary course of business to our contractual obligations since December 31, 2023. For information regarding our contractual obligations, refer to “Contractual Obligations” in Part II, Item 7. “Management's Discussion and Analysis of Financial Condition and Results of Operations” in our Annual Report on Form 10-K for the fiscal year ended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and Significant Accounting Policies and Estimates</w:t>
      </w:r>
    </w:p>
    <w:p>
      <w:pPr>
        <w:spacing w:after="0" w:line="121"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There have been no significant changes in our critical or significant accounting policies and estimates since December 31, 2023.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Accounting Developments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2 “Summary of Significant Accounting Policies” in our Condensed Consolidated Financial Statements included in Part I, Item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of this Quarterly Report on Form 10-Q for a description of recently issued accounting guidance.</w:t>
      </w:r>
    </w:p>
    <w:p>
      <w:pPr>
        <w:spacing w:after="0" w:line="31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Quantitative and Qualitative Disclosures about Market Risk from those previously reported in our Annual Report on Form 10-K for the year ended December 31, 2023.</w:t>
      </w: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5" w:name="page26"/>
    <w:bookmarkEnd w:id="25"/>
    <w:p>
      <w:pPr>
        <w:ind w:right="20"/>
        <w:spacing w:after="0" w:line="254" w:lineRule="auto"/>
        <w:rPr>
          <w:sz w:val="20"/>
          <w:szCs w:val="20"/>
          <w:color w:val="auto"/>
        </w:rPr>
      </w:pPr>
      <w:r>
        <w:rPr>
          <w:rFonts w:ascii="Times New Roman" w:cs="Times New Roman" w:eastAsia="Times New Roman" w:hAnsi="Times New Roman"/>
          <w:sz w:val="18"/>
          <w:szCs w:val="18"/>
          <w:color w:val="auto"/>
        </w:rPr>
        <w:t>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2024, there were no changes in our internal controls over financial reporting (as defined in Rule 13a-15(f) under the Exchange Act)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Our business and future results may be affected by a number of risks and uncertainties that should be considered carefully. In addition, this report also contains forward-looking statements that involve risks and uncertainties. Our actual results could differ materially from those anticipated in such forward-looking statements as a result of certain factors, including the risks described in Part I, Item 1A of the Company’s Annual Report on Form 10-K for the year ended December 31, 2023 and the risks set forth below.</w:t>
      </w:r>
    </w:p>
    <w:p>
      <w:pPr>
        <w:spacing w:after="0" w:line="7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the Form 10-K. You should carefully consider the following risks and the risks included in the Company’s Annual Report on Form 10-K, together with all of the other information in this Quarterly Report on Form 10-Q, including our unaudited condensed consolidated financial statements and the related notes included elsewhere in this Quarterly Report on Form 10-Q. The occurrence of any single risk or any combination of risks could materially and adversely affect our business, financial condition, results of operations, cash flows and the trading price of our common stock.</w:t>
      </w:r>
    </w:p>
    <w:p>
      <w:pPr>
        <w:spacing w:after="0" w:line="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Our share repurchase program has no expiration date and may be discontinued at any time by the Board of Directors. During the three months ended March 31, 2024, the Company did not repurchase any shares of our common stock.</w:t>
      </w:r>
    </w:p>
    <w:p>
      <w:pPr>
        <w:spacing w:after="0" w:line="5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jc w:val="both"/>
        <w:ind w:right="380" w:firstLine="486"/>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2024, none of our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64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80" w:type="dxa"/>
            <w:vAlign w:val="bottom"/>
          </w:tcPr>
          <w:p>
            <w:pPr>
              <w:spacing w:after="0"/>
              <w:rPr>
                <w:sz w:val="24"/>
                <w:szCs w:val="24"/>
                <w:color w:val="auto"/>
              </w:rPr>
            </w:pPr>
          </w:p>
        </w:tc>
        <w:tc>
          <w:tcPr>
            <w:tcW w:w="6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Securities Exchange Act Rule 13a-14(a)</w:t>
            </w:r>
          </w:p>
        </w:tc>
        <w:tc>
          <w:tcPr>
            <w:tcW w:w="1480" w:type="dxa"/>
            <w:vAlign w:val="bottom"/>
            <w:gridSpan w:val="3"/>
          </w:tcPr>
          <w:p>
            <w:pPr>
              <w:spacing w:after="0"/>
              <w:rPr>
                <w:sz w:val="24"/>
                <w:szCs w:val="24"/>
                <w:color w:val="auto"/>
              </w:rPr>
            </w:pPr>
          </w:p>
        </w:tc>
      </w:tr>
      <w:tr>
        <w:trPr>
          <w:trHeight w:val="425"/>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 13a-14(a)</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w:t>
            </w:r>
          </w:p>
        </w:tc>
      </w:tr>
      <w:tr>
        <w:trPr>
          <w:trHeight w:val="156"/>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562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439"/>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w:t>
            </w:r>
          </w:p>
        </w:tc>
      </w:tr>
      <w:tr>
        <w:trPr>
          <w:trHeight w:val="156"/>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5580" w:type="dxa"/>
            <w:vAlign w:val="bottom"/>
            <w:tcBorders>
              <w:top w:val="single" w:sz="8" w:color="0000FF"/>
            </w:tcBorders>
            <w:gridSpan w:val="3"/>
          </w:tcPr>
          <w:p>
            <w:pPr>
              <w:spacing w:after="0"/>
              <w:rPr>
                <w:sz w:val="13"/>
                <w:szCs w:val="13"/>
                <w:color w:val="auto"/>
              </w:rPr>
            </w:pPr>
          </w:p>
        </w:tc>
        <w:tc>
          <w:tcPr>
            <w:tcW w:w="60" w:type="dxa"/>
            <w:vAlign w:val="bottom"/>
            <w:gridSpan w:val="2"/>
          </w:tcPr>
          <w:p>
            <w:pPr>
              <w:spacing w:after="0"/>
              <w:rPr>
                <w:sz w:val="13"/>
                <w:szCs w:val="13"/>
                <w:color w:val="auto"/>
              </w:rPr>
            </w:pPr>
          </w:p>
        </w:tc>
      </w:tr>
      <w:tr>
        <w:trPr>
          <w:trHeight w:val="426"/>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financial information from Westwood Holdings Group, Inc.'s Quarterly Report on Form 10-Q for</w:t>
            </w:r>
          </w:p>
        </w:tc>
      </w:tr>
      <w:tr>
        <w:trPr>
          <w:trHeight w:val="184"/>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16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the period ended March 31, 2024, formatted in Inline eXtensible Business Reporting Language (iXBRL): (i)</w:t>
            </w:r>
          </w:p>
        </w:tc>
      </w:tr>
      <w:tr>
        <w:trPr>
          <w:trHeight w:val="180"/>
        </w:trPr>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16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Condensed Consolidated Balance Sheets as of March 31, 2024 and December 31, 2023; (ii) Condensed</w:t>
            </w:r>
          </w:p>
        </w:tc>
      </w:tr>
      <w:tr>
        <w:trPr>
          <w:trHeight w:val="175"/>
        </w:trPr>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1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Consolidated Statements of Comprehensive Income for the three months ended March 31, 2024 and 2023; (iii)</w:t>
            </w:r>
          </w:p>
        </w:tc>
      </w:tr>
      <w:tr>
        <w:trPr>
          <w:trHeight w:val="184"/>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16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Condensed Consolidated Statements of Stockholders' Equity; (iv) Condensed Consolidated Statements of Cash</w:t>
            </w:r>
          </w:p>
        </w:tc>
      </w:tr>
      <w:tr>
        <w:trPr>
          <w:trHeight w:val="180"/>
        </w:trPr>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16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Flows for the three months ended March 31, 2024 and 2023; and (v) Notes to the Condensed Consolidated</w:t>
            </w:r>
          </w:p>
        </w:tc>
      </w:tr>
      <w:tr>
        <w:trPr>
          <w:trHeight w:val="234"/>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441"/>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iXBRL and contained in Exhibit 101)</w:t>
            </w:r>
          </w:p>
        </w:tc>
      </w:tr>
    </w:tbl>
    <w:p>
      <w:pPr>
        <w:spacing w:after="0" w:line="29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28" w:name="page29"/>
    <w:bookmarkEnd w:id="28"/>
    <w:p>
      <w:pPr>
        <w:jc w:val="center"/>
        <w:ind w:right="-47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Dated:   May 1, 2024</w:t>
            </w:r>
          </w:p>
        </w:tc>
        <w:tc>
          <w:tcPr>
            <w:tcW w:w="610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WESTWOOD HOLDINGS GROUP, INC.</w:t>
            </w:r>
          </w:p>
        </w:tc>
      </w:tr>
      <w:tr>
        <w:trPr>
          <w:trHeight w:val="486"/>
        </w:trPr>
        <w:tc>
          <w:tcPr>
            <w:tcW w:w="3300" w:type="dxa"/>
            <w:vAlign w:val="bottom"/>
          </w:tcPr>
          <w:p>
            <w:pPr>
              <w:spacing w:after="0"/>
              <w:rPr>
                <w:sz w:val="24"/>
                <w:szCs w:val="24"/>
                <w:color w:val="auto"/>
              </w:rPr>
            </w:pPr>
          </w:p>
        </w:tc>
        <w:tc>
          <w:tcPr>
            <w:tcW w:w="22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O. Casey</w:t>
            </w:r>
          </w:p>
        </w:tc>
      </w:tr>
      <w:tr>
        <w:trPr>
          <w:trHeight w:val="218"/>
        </w:trPr>
        <w:tc>
          <w:tcPr>
            <w:tcW w:w="3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O. Casey</w:t>
            </w:r>
          </w:p>
        </w:tc>
      </w:tr>
      <w:tr>
        <w:trPr>
          <w:trHeight w:val="234"/>
        </w:trPr>
        <w:tc>
          <w:tcPr>
            <w:tcW w:w="3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45"/>
        </w:trPr>
        <w:tc>
          <w:tcPr>
            <w:tcW w:w="3300" w:type="dxa"/>
            <w:vAlign w:val="bottom"/>
          </w:tcPr>
          <w:p>
            <w:pPr>
              <w:spacing w:after="0"/>
              <w:rPr>
                <w:sz w:val="24"/>
                <w:szCs w:val="24"/>
                <w:color w:val="auto"/>
              </w:rPr>
            </w:pPr>
          </w:p>
        </w:tc>
        <w:tc>
          <w:tcPr>
            <w:tcW w:w="22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Murray Forbes III</w:t>
            </w:r>
          </w:p>
        </w:tc>
      </w:tr>
      <w:tr>
        <w:trPr>
          <w:trHeight w:val="218"/>
        </w:trPr>
        <w:tc>
          <w:tcPr>
            <w:tcW w:w="3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Murray Forbes III</w:t>
            </w:r>
          </w:p>
        </w:tc>
      </w:tr>
      <w:tr>
        <w:trPr>
          <w:trHeight w:val="234"/>
        </w:trPr>
        <w:tc>
          <w:tcPr>
            <w:tcW w:w="3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760"/>
          </w:cols>
          <w:pgMar w:left="320" w:top="1093" w:right="819" w:bottom="1440" w:gutter="0" w:footer="0" w:header="0"/>
        </w:sectPr>
      </w:pPr>
    </w:p>
    <w:bookmarkStart w:id="29" w:name="page30"/>
    <w:bookmarkEnd w:id="29"/>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5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7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ACT RULES 13a-14(a)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Brian O. Casey, certify that:</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10-Q of Westwood Holdings Group, Inc.;</w:t>
      </w:r>
    </w:p>
    <w:p>
      <w:pPr>
        <w:spacing w:after="0" w:line="113" w:lineRule="exact"/>
        <w:rPr>
          <w:rFonts w:ascii="Times New Roman" w:cs="Times New Roman" w:eastAsia="Times New Roman" w:hAnsi="Times New Roman"/>
          <w:sz w:val="16"/>
          <w:szCs w:val="16"/>
          <w:color w:val="auto"/>
        </w:rPr>
      </w:pPr>
    </w:p>
    <w:p>
      <w:pPr>
        <w:ind w:left="660" w:hanging="328"/>
        <w:spacing w:after="0" w:line="298"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Times New Roman" w:cs="Times New Roman" w:eastAsia="Times New Roman" w:hAnsi="Times New Roman"/>
          <w:sz w:val="16"/>
          <w:szCs w:val="16"/>
          <w:color w:val="auto"/>
        </w:rPr>
      </w:pPr>
    </w:p>
    <w:p>
      <w:pPr>
        <w:ind w:left="660" w:right="520" w:hanging="328"/>
        <w:spacing w:after="0" w:line="298"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6"/>
          <w:szCs w:val="16"/>
          <w:color w:val="auto"/>
        </w:rPr>
      </w:pPr>
    </w:p>
    <w:p>
      <w:pPr>
        <w:ind w:left="660" w:right="200" w:hanging="328"/>
        <w:spacing w:after="0" w:line="272"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6"/>
          <w:szCs w:val="16"/>
          <w:color w:val="auto"/>
        </w:rPr>
      </w:pPr>
    </w:p>
    <w:p>
      <w:pPr>
        <w:ind w:left="1300" w:right="300" w:hanging="320"/>
        <w:spacing w:after="0" w:line="272" w:lineRule="auto"/>
        <w:tabs>
          <w:tab w:leader="none" w:pos="129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ind w:left="1300" w:right="100" w:hanging="320"/>
        <w:spacing w:after="0" w:line="272" w:lineRule="auto"/>
        <w:tabs>
          <w:tab w:leader="none" w:pos="130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300" w:right="160" w:hanging="320"/>
        <w:spacing w:after="0" w:line="298" w:lineRule="auto"/>
        <w:tabs>
          <w:tab w:leader="none" w:pos="129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6"/>
          <w:szCs w:val="16"/>
          <w:color w:val="auto"/>
        </w:rPr>
      </w:pPr>
    </w:p>
    <w:p>
      <w:pPr>
        <w:ind w:left="1300" w:right="180" w:hanging="320"/>
        <w:spacing w:after="0" w:line="272" w:lineRule="auto"/>
        <w:tabs>
          <w:tab w:leader="none" w:pos="130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660" w:right="120" w:hanging="328"/>
        <w:spacing w:after="0" w:line="298"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6"/>
          <w:szCs w:val="16"/>
          <w:color w:val="auto"/>
        </w:rPr>
      </w:pPr>
    </w:p>
    <w:p>
      <w:pPr>
        <w:ind w:left="1300" w:right="140" w:hanging="320"/>
        <w:spacing w:after="0" w:line="298" w:lineRule="auto"/>
        <w:tabs>
          <w:tab w:leader="none" w:pos="124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Times New Roman" w:cs="Times New Roman" w:eastAsia="Times New Roman" w:hAnsi="Times New Roman"/>
          <w:sz w:val="16"/>
          <w:szCs w:val="16"/>
          <w:color w:val="auto"/>
        </w:rPr>
      </w:pPr>
    </w:p>
    <w:p>
      <w:pPr>
        <w:ind w:left="1300" w:right="340" w:hanging="320"/>
        <w:spacing w:after="0" w:line="280" w:lineRule="auto"/>
        <w:tabs>
          <w:tab w:leader="none" w:pos="125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Dated: May 1, 2024</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0429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Brian O. Casey</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1">
            <w:col w:w="11240"/>
          </w:cols>
          <w:pgMar w:left="320" w:top="1440" w:right="339" w:bottom="1440" w:gutter="0" w:footer="0" w:header="0"/>
        </w:sectPr>
      </w:pPr>
    </w:p>
    <w:bookmarkStart w:id="30" w:name="page31"/>
    <w:bookmarkEnd w:id="30"/>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5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7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ACT RULES 13a-14(a)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Murray Forbes III, certify that:</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10-Q of Westwood Holdings Group, Inc.;</w:t>
      </w:r>
    </w:p>
    <w:p>
      <w:pPr>
        <w:spacing w:after="0" w:line="113" w:lineRule="exact"/>
        <w:rPr>
          <w:rFonts w:ascii="Times New Roman" w:cs="Times New Roman" w:eastAsia="Times New Roman" w:hAnsi="Times New Roman"/>
          <w:sz w:val="16"/>
          <w:szCs w:val="16"/>
          <w:color w:val="auto"/>
        </w:rPr>
      </w:pPr>
    </w:p>
    <w:p>
      <w:pPr>
        <w:ind w:left="660" w:hanging="328"/>
        <w:spacing w:after="0" w:line="298"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Times New Roman" w:cs="Times New Roman" w:eastAsia="Times New Roman" w:hAnsi="Times New Roman"/>
          <w:sz w:val="16"/>
          <w:szCs w:val="16"/>
          <w:color w:val="auto"/>
        </w:rPr>
      </w:pPr>
    </w:p>
    <w:p>
      <w:pPr>
        <w:ind w:left="660" w:right="520" w:hanging="328"/>
        <w:spacing w:after="0" w:line="298"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6"/>
          <w:szCs w:val="16"/>
          <w:color w:val="auto"/>
        </w:rPr>
      </w:pPr>
    </w:p>
    <w:p>
      <w:pPr>
        <w:ind w:left="660" w:right="200" w:hanging="328"/>
        <w:spacing w:after="0" w:line="272"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6"/>
          <w:szCs w:val="16"/>
          <w:color w:val="auto"/>
        </w:rPr>
      </w:pPr>
    </w:p>
    <w:p>
      <w:pPr>
        <w:ind w:left="1300" w:right="300" w:hanging="320"/>
        <w:spacing w:after="0" w:line="272" w:lineRule="auto"/>
        <w:tabs>
          <w:tab w:leader="none" w:pos="129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ind w:left="1300" w:right="100" w:hanging="320"/>
        <w:spacing w:after="0" w:line="272" w:lineRule="auto"/>
        <w:tabs>
          <w:tab w:leader="none" w:pos="130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300" w:right="160" w:hanging="320"/>
        <w:spacing w:after="0" w:line="298" w:lineRule="auto"/>
        <w:tabs>
          <w:tab w:leader="none" w:pos="129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6"/>
          <w:szCs w:val="16"/>
          <w:color w:val="auto"/>
        </w:rPr>
      </w:pPr>
    </w:p>
    <w:p>
      <w:pPr>
        <w:ind w:left="1300" w:right="180" w:hanging="320"/>
        <w:spacing w:after="0" w:line="272" w:lineRule="auto"/>
        <w:tabs>
          <w:tab w:leader="none" w:pos="130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660" w:right="180" w:hanging="328"/>
        <w:spacing w:after="0" w:line="298" w:lineRule="auto"/>
        <w:tabs>
          <w:tab w:leader="none" w:pos="61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6"/>
          <w:szCs w:val="16"/>
          <w:color w:val="auto"/>
        </w:rPr>
      </w:pPr>
    </w:p>
    <w:p>
      <w:pPr>
        <w:ind w:left="1300" w:right="140" w:hanging="320"/>
        <w:spacing w:after="0" w:line="298" w:lineRule="auto"/>
        <w:tabs>
          <w:tab w:leader="none" w:pos="124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Times New Roman" w:cs="Times New Roman" w:eastAsia="Times New Roman" w:hAnsi="Times New Roman"/>
          <w:sz w:val="16"/>
          <w:szCs w:val="16"/>
          <w:color w:val="auto"/>
        </w:rPr>
      </w:pPr>
    </w:p>
    <w:p>
      <w:pPr>
        <w:ind w:left="1300" w:right="340" w:hanging="320"/>
        <w:spacing w:after="0" w:line="280" w:lineRule="auto"/>
        <w:tabs>
          <w:tab w:leader="none" w:pos="125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Dated: May 1, 2024</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0429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Murray Forbes III</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Chief Financial Officer and Treasurer</w:t>
      </w:r>
    </w:p>
    <w:p>
      <w:pPr>
        <w:sectPr>
          <w:pgSz w:w="11900" w:h="16838" w:orient="portrait"/>
          <w:cols w:equalWidth="0" w:num="1">
            <w:col w:w="11240"/>
          </w:cols>
          <w:pgMar w:left="320" w:top="144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3"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Westwood Holdings Group, Inc. (the “Company”) on Form 10-Q for the period ended March 31, 2024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63" w:lineRule="exact"/>
        <w:rPr>
          <w:sz w:val="20"/>
          <w:szCs w:val="20"/>
          <w:color w:val="auto"/>
        </w:rPr>
      </w:pPr>
    </w:p>
    <w:p>
      <w:pPr>
        <w:ind w:left="720" w:hanging="226"/>
        <w:spacing w:after="0"/>
        <w:tabs>
          <w:tab w:leader="none" w:pos="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(15 U.S.C.78m or 78o(d)); and</w:t>
      </w:r>
    </w:p>
    <w:p>
      <w:pPr>
        <w:spacing w:after="0" w:line="126" w:lineRule="exact"/>
        <w:rPr>
          <w:rFonts w:ascii="Times New Roman" w:cs="Times New Roman" w:eastAsia="Times New Roman" w:hAnsi="Times New Roman"/>
          <w:sz w:val="16"/>
          <w:szCs w:val="16"/>
          <w:color w:val="auto"/>
        </w:rPr>
      </w:pPr>
    </w:p>
    <w:p>
      <w:pPr>
        <w:ind w:left="720" w:hanging="226"/>
        <w:spacing w:after="0"/>
        <w:tabs>
          <w:tab w:leader="none" w:pos="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Dated: May 1, 2024</w:t>
      </w:r>
    </w:p>
    <w:p>
      <w:pPr>
        <w:spacing w:after="0" w:line="2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30429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Brian O. Casey</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9" w:lineRule="exact"/>
        <w:rPr>
          <w:sz w:val="20"/>
          <w:szCs w:val="20"/>
          <w:color w:val="auto"/>
        </w:rPr>
      </w:pPr>
    </w:p>
    <w:p>
      <w:pPr>
        <w:ind w:right="20" w:firstLine="486"/>
        <w:spacing w:after="0" w:line="272"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420" w:right="339" w:bottom="1440" w:gutter="0" w:footer="0" w:header="0"/>
        </w:sectPr>
      </w:pPr>
    </w:p>
    <w:bookmarkStart w:id="32" w:name="page33"/>
    <w:bookmarkEnd w:id="32"/>
    <w:p>
      <w:pPr>
        <w:ind w:left="10400"/>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Westwood Holdings Group, Inc. (the “Company”) on Form 10-Q for the period ended March 31, 2024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63" w:lineRule="exact"/>
        <w:rPr>
          <w:sz w:val="20"/>
          <w:szCs w:val="20"/>
          <w:color w:val="auto"/>
        </w:rPr>
      </w:pPr>
    </w:p>
    <w:p>
      <w:pPr>
        <w:ind w:left="720" w:hanging="226"/>
        <w:spacing w:after="0"/>
        <w:tabs>
          <w:tab w:leader="none" w:pos="7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(15 U.S.C. 78m or 78o(d)); and</w:t>
      </w:r>
    </w:p>
    <w:p>
      <w:pPr>
        <w:spacing w:after="0" w:line="126" w:lineRule="exact"/>
        <w:rPr>
          <w:rFonts w:ascii="Times New Roman" w:cs="Times New Roman" w:eastAsia="Times New Roman" w:hAnsi="Times New Roman"/>
          <w:sz w:val="16"/>
          <w:szCs w:val="16"/>
          <w:color w:val="auto"/>
        </w:rPr>
      </w:pPr>
    </w:p>
    <w:p>
      <w:pPr>
        <w:ind w:left="720" w:hanging="226"/>
        <w:spacing w:after="0"/>
        <w:tabs>
          <w:tab w:leader="none" w:pos="7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Dated: May 1, 2024</w:t>
      </w:r>
    </w:p>
    <w:p>
      <w:pPr>
        <w:spacing w:after="0" w:line="2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30429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Murray Forbes III</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Financial Officer and Treasurer</w:t>
      </w:r>
    </w:p>
    <w:p>
      <w:pPr>
        <w:spacing w:after="0" w:line="329" w:lineRule="exact"/>
        <w:rPr>
          <w:sz w:val="20"/>
          <w:szCs w:val="20"/>
          <w:color w:val="auto"/>
        </w:rPr>
      </w:pPr>
    </w:p>
    <w:p>
      <w:pPr>
        <w:ind w:right="20" w:firstLine="486"/>
        <w:spacing w:after="0" w:line="272"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4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1."/>
      <w:numFmt w:val="decimal"/>
      <w:start w:val="4"/>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0"/>
    </w:lvl>
  </w:abstractNum>
  <w:abstractNum w:abstractNumId="8">
    <w:nsid w:val="3352255A"/>
    <w:multiLevelType w:val="hybridMultilevel"/>
    <w:lvl w:ilvl="0">
      <w:lvlJc w:val="left"/>
      <w:lvlText w:val="%1."/>
      <w:numFmt w:val="decimal"/>
      <w:start w:val="12"/>
    </w:lvl>
  </w:abstractNum>
  <w:abstractNum w:abstractNumId="9">
    <w:nsid w:val="109CF92E"/>
    <w:multiLevelType w:val="hybridMultilevel"/>
    <w:lvl w:ilvl="0">
      <w:lvlJc w:val="left"/>
      <w:lvlText w:val="%1."/>
      <w:numFmt w:val="decimal"/>
      <w:start w:val="15"/>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2024-05-01T16:29:46Z</dcterms:created>
  <dcterms:modified xsi:type="dcterms:W3CDTF">2024-05-01T16:29:46Z</dcterms:modified>
</cp:coreProperties>
</file>