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20"/>
          <w:szCs w:val="20"/>
          <w:color w:val="auto"/>
        </w:rPr>
        <w:t>SECURITIES AND EXCHANGE COMMISSION</w:t>
      </w:r>
    </w:p>
    <w:p>
      <w:pPr>
        <w:spacing w:after="0" w:line="54"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FORM 8-K</w:t>
      </w:r>
    </w:p>
    <w:p>
      <w:pPr>
        <w:spacing w:after="0" w:line="337"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CURRENT REPORT</w:t>
      </w:r>
    </w:p>
    <w:p>
      <w:pPr>
        <w:spacing w:after="0" w:line="54"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Pursuant to Section 13 or 15(d) of the</w:t>
      </w:r>
    </w:p>
    <w:p>
      <w:pPr>
        <w:spacing w:after="0" w:line="54"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Securities Exchange Act of 1934</w:t>
      </w:r>
    </w:p>
    <w:p>
      <w:pPr>
        <w:spacing w:after="0" w:line="337" w:lineRule="exact"/>
        <w:rPr>
          <w:sz w:val="24"/>
          <w:szCs w:val="24"/>
          <w:color w:val="auto"/>
        </w:rPr>
      </w:pPr>
    </w:p>
    <w:p>
      <w:pPr>
        <w:ind w:left="3100"/>
        <w:spacing w:after="0"/>
        <w:rPr>
          <w:sz w:val="20"/>
          <w:szCs w:val="20"/>
          <w:color w:val="auto"/>
        </w:rPr>
      </w:pPr>
      <w:r>
        <w:rPr>
          <w:rFonts w:ascii="Arial" w:cs="Arial" w:eastAsia="Arial" w:hAnsi="Arial"/>
          <w:sz w:val="20"/>
          <w:szCs w:val="20"/>
          <w:color w:val="auto"/>
        </w:rPr>
        <w:t>Date of Report (Date of earliest event reported): October 24, 2018</w:t>
      </w:r>
    </w:p>
    <w:p>
      <w:pPr>
        <w:spacing w:after="0" w:line="337"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WESTWOOD HOLDINGS GROUP, INC.</w:t>
      </w:r>
    </w:p>
    <w:p>
      <w:pPr>
        <w:spacing w:after="0" w:line="54"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(Exact name of registrant as specified in charter)</w:t>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ind w:left="500"/>
        <w:spacing w:after="0"/>
        <w:tabs>
          <w:tab w:leader="none" w:pos="1440" w:val="left"/>
          <w:tab w:leader="none" w:pos="2480" w:val="left"/>
        </w:tabs>
        <w:rPr>
          <w:sz w:val="20"/>
          <w:szCs w:val="20"/>
          <w:color w:val="auto"/>
        </w:rPr>
      </w:pPr>
      <w:r>
        <w:rPr>
          <w:rFonts w:ascii="Arial" w:cs="Arial" w:eastAsia="Arial" w:hAnsi="Arial"/>
          <w:sz w:val="20"/>
          <w:szCs w:val="20"/>
          <w:color w:val="auto"/>
        </w:rPr>
        <w:t>Delaware</w:t>
        <w:tab/>
        <w:t>001-31234</w:t>
      </w:r>
      <w:r>
        <w:rPr>
          <w:sz w:val="20"/>
          <w:szCs w:val="20"/>
          <w:color w:val="auto"/>
        </w:rPr>
        <w:tab/>
      </w:r>
      <w:r>
        <w:rPr>
          <w:rFonts w:ascii="Arial" w:cs="Arial" w:eastAsia="Arial" w:hAnsi="Arial"/>
          <w:sz w:val="16"/>
          <w:szCs w:val="16"/>
          <w:color w:val="auto"/>
        </w:rPr>
        <w:t>75-2969997</w:t>
      </w:r>
    </w:p>
    <w:p>
      <w:pPr>
        <w:spacing w:after="0" w:line="54" w:lineRule="exact"/>
        <w:rPr>
          <w:sz w:val="24"/>
          <w:szCs w:val="24"/>
          <w:color w:val="auto"/>
        </w:rPr>
      </w:pPr>
    </w:p>
    <w:p>
      <w:pPr>
        <w:spacing w:after="0"/>
        <w:tabs>
          <w:tab w:leader="none" w:pos="2260" w:val="left"/>
          <w:tab w:leader="none" w:pos="3540" w:val="left"/>
        </w:tabs>
        <w:rPr>
          <w:sz w:val="20"/>
          <w:szCs w:val="20"/>
          <w:color w:val="auto"/>
        </w:rPr>
      </w:pPr>
      <w:r>
        <w:rPr>
          <w:rFonts w:ascii="Arial" w:cs="Arial" w:eastAsia="Arial" w:hAnsi="Arial"/>
          <w:sz w:val="20"/>
          <w:szCs w:val="20"/>
          <w:color w:val="auto"/>
        </w:rPr>
        <w:t>(State or other jurisdiction</w:t>
        <w:tab/>
        <w:t>(Commission</w:t>
      </w:r>
      <w:r>
        <w:rPr>
          <w:sz w:val="20"/>
          <w:szCs w:val="20"/>
          <w:color w:val="auto"/>
        </w:rPr>
        <w:tab/>
      </w:r>
      <w:r>
        <w:rPr>
          <w:rFonts w:ascii="Arial" w:cs="Arial" w:eastAsia="Arial" w:hAnsi="Arial"/>
          <w:sz w:val="18"/>
          <w:szCs w:val="18"/>
          <w:color w:val="auto"/>
        </w:rPr>
        <w:t>(IRS Employer</w:t>
      </w:r>
    </w:p>
    <w:p>
      <w:pPr>
        <w:spacing w:after="0" w:line="54" w:lineRule="exact"/>
        <w:rPr>
          <w:sz w:val="24"/>
          <w:szCs w:val="24"/>
          <w:color w:val="auto"/>
        </w:rPr>
      </w:pPr>
    </w:p>
    <w:p>
      <w:pPr>
        <w:ind w:left="340"/>
        <w:spacing w:after="0"/>
        <w:tabs>
          <w:tab w:leader="none" w:pos="1900" w:val="left"/>
          <w:tab w:leader="none" w:pos="3180" w:val="left"/>
        </w:tabs>
        <w:rPr>
          <w:sz w:val="20"/>
          <w:szCs w:val="20"/>
          <w:color w:val="auto"/>
        </w:rPr>
      </w:pPr>
      <w:r>
        <w:rPr>
          <w:rFonts w:ascii="Arial" w:cs="Arial" w:eastAsia="Arial" w:hAnsi="Arial"/>
          <w:sz w:val="20"/>
          <w:szCs w:val="20"/>
          <w:color w:val="auto"/>
        </w:rPr>
        <w:t>of incorporation)</w:t>
        <w:tab/>
        <w:t>File Number)</w:t>
      </w:r>
      <w:r>
        <w:rPr>
          <w:sz w:val="20"/>
          <w:szCs w:val="20"/>
          <w:color w:val="auto"/>
        </w:rPr>
        <w:tab/>
      </w:r>
      <w:r>
        <w:rPr>
          <w:rFonts w:ascii="Arial" w:cs="Arial" w:eastAsia="Arial" w:hAnsi="Arial"/>
          <w:sz w:val="18"/>
          <w:szCs w:val="18"/>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200 Crescent Court, Suite 1200</w:t>
      </w:r>
    </w:p>
    <w:p>
      <w:pPr>
        <w:spacing w:after="0" w:line="54"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Dallas, Texas 75201</w:t>
      </w:r>
    </w:p>
    <w:p>
      <w:pPr>
        <w:spacing w:after="0" w:line="54"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(Address of principal executive offices)</w:t>
      </w:r>
    </w:p>
    <w:p>
      <w:pPr>
        <w:spacing w:after="0" w:line="337"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(214) 756-6900</w:t>
      </w:r>
    </w:p>
    <w:p>
      <w:pPr>
        <w:spacing w:after="0" w:line="54" w:lineRule="exact"/>
        <w:rPr>
          <w:sz w:val="24"/>
          <w:szCs w:val="24"/>
          <w:color w:val="auto"/>
        </w:rPr>
      </w:pPr>
    </w:p>
    <w:p>
      <w:pPr>
        <w:jc w:val="center"/>
        <w:ind w:right="-339"/>
        <w:spacing w:after="0"/>
        <w:rPr>
          <w:sz w:val="20"/>
          <w:szCs w:val="20"/>
          <w:color w:val="auto"/>
        </w:rPr>
      </w:pPr>
      <w:r>
        <w:rPr>
          <w:rFonts w:ascii="Arial" w:cs="Arial" w:eastAsia="Arial" w:hAnsi="Arial"/>
          <w:sz w:val="20"/>
          <w:szCs w:val="20"/>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firstLine="324"/>
        <w:spacing w:after="0" w:line="331"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 (</w:t>
      </w:r>
      <w:r>
        <w:rPr>
          <w:rFonts w:ascii="Arial" w:cs="Arial" w:eastAsia="Arial" w:hAnsi="Arial"/>
          <w:sz w:val="20"/>
          <w:szCs w:val="20"/>
          <w:i w:val="1"/>
          <w:iCs w:val="1"/>
          <w:color w:val="auto"/>
        </w:rPr>
        <w:t>see</w:t>
      </w:r>
      <w:r>
        <w:rPr>
          <w:rFonts w:ascii="Arial" w:cs="Arial" w:eastAsia="Arial" w:hAnsi="Arial"/>
          <w:sz w:val="20"/>
          <w:szCs w:val="20"/>
          <w:color w:val="auto"/>
        </w:rPr>
        <w:t xml:space="preserve"> General Instruction A.2. below):</w:t>
      </w:r>
    </w:p>
    <w:p>
      <w:pPr>
        <w:spacing w:after="0" w:line="268" w:lineRule="exact"/>
        <w:rPr>
          <w:sz w:val="24"/>
          <w:szCs w:val="24"/>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0"/>
          <w:szCs w:val="20"/>
          <w:color w:val="auto"/>
        </w:rPr>
        <w:t>Written communications pursuant to Rule 425 under the Securities Act (17 CFR 230.425)</w:t>
      </w:r>
    </w:p>
    <w:p>
      <w:pPr>
        <w:spacing w:after="0" w:line="368"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0"/>
          <w:szCs w:val="20"/>
          <w:color w:val="auto"/>
        </w:rPr>
        <w:t>Soliciting material pursuant to Rule 14a-12 under the Exchange Act (17 CFR 240.14a-12)</w:t>
      </w:r>
    </w:p>
    <w:p>
      <w:pPr>
        <w:spacing w:after="0" w:line="368"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0"/>
          <w:szCs w:val="20"/>
          <w:color w:val="auto"/>
        </w:rPr>
        <w:t>Pre-commencement communications pursuant to Rule 14d-2(b) under the Exchange Act (17 CFR 240.14d-2(b))</w:t>
      </w:r>
    </w:p>
    <w:p>
      <w:pPr>
        <w:spacing w:after="0" w:line="368" w:lineRule="exact"/>
        <w:rPr>
          <w:rFonts w:ascii="Arial" w:cs="Arial" w:eastAsia="Arial" w:hAnsi="Arial"/>
          <w:sz w:val="22"/>
          <w:szCs w:val="22"/>
          <w:color w:val="auto"/>
        </w:rPr>
      </w:pPr>
    </w:p>
    <w:p>
      <w:pPr>
        <w:ind w:left="640" w:hanging="308"/>
        <w:spacing w:after="0"/>
        <w:tabs>
          <w:tab w:leader="none" w:pos="640" w:val="left"/>
        </w:tabs>
        <w:numPr>
          <w:ilvl w:val="0"/>
          <w:numId w:val="1"/>
        </w:numPr>
        <w:rPr>
          <w:rFonts w:ascii="Arial" w:cs="Arial" w:eastAsia="Arial" w:hAnsi="Arial"/>
          <w:sz w:val="22"/>
          <w:szCs w:val="22"/>
          <w:color w:val="auto"/>
        </w:rPr>
      </w:pPr>
      <w:r>
        <w:rPr>
          <w:rFonts w:ascii="Arial" w:cs="Arial" w:eastAsia="Arial" w:hAnsi="Arial"/>
          <w:sz w:val="20"/>
          <w:szCs w:val="20"/>
          <w:color w:val="auto"/>
        </w:rPr>
        <w:t>Pre-commencement communications pursuant to Rule 13e-4(c) under the Exchange Act (17 CFR 240.13e-4(c))</w:t>
      </w:r>
    </w:p>
    <w:p>
      <w:pPr>
        <w:sectPr>
          <w:pgSz w:w="11900" w:h="16838" w:orient="portrait"/>
          <w:cols w:equalWidth="0" w:num="1">
            <w:col w:w="11100"/>
          </w:cols>
          <w:pgMar w:left="240" w:top="757" w:right="5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0"/>
          <w:szCs w:val="20"/>
          <w:color w:val="auto"/>
        </w:rPr>
        <w:t>ITEM 2.02:</w:t>
      </w:r>
      <w:r>
        <w:rPr>
          <w:sz w:val="20"/>
          <w:szCs w:val="20"/>
          <w:color w:val="auto"/>
        </w:rPr>
        <w:tab/>
      </w:r>
      <w:r>
        <w:rPr>
          <w:rFonts w:ascii="Arial" w:cs="Arial" w:eastAsia="Arial" w:hAnsi="Arial"/>
          <w:sz w:val="19"/>
          <w:szCs w:val="19"/>
          <w:color w:val="auto"/>
        </w:rPr>
        <w:t>RESULTS OF OPERATIONS AND FINANCIAL CONDITION</w:t>
      </w:r>
    </w:p>
    <w:p>
      <w:pPr>
        <w:spacing w:after="0" w:line="337" w:lineRule="exact"/>
        <w:rPr>
          <w:sz w:val="20"/>
          <w:szCs w:val="20"/>
          <w:color w:val="auto"/>
        </w:rPr>
      </w:pPr>
    </w:p>
    <w:p>
      <w:pPr>
        <w:ind w:right="80"/>
        <w:spacing w:after="0" w:line="306" w:lineRule="auto"/>
        <w:rPr>
          <w:sz w:val="20"/>
          <w:szCs w:val="20"/>
          <w:color w:val="auto"/>
        </w:rPr>
      </w:pPr>
      <w:r>
        <w:rPr>
          <w:rFonts w:ascii="Arial" w:cs="Arial" w:eastAsia="Arial" w:hAnsi="Arial"/>
          <w:sz w:val="20"/>
          <w:szCs w:val="20"/>
          <w:color w:val="auto"/>
        </w:rPr>
        <w:t>In accordance with Securities and Exchange Commission Release No. 34-47583, the following information, which is being furnished pursuant to the requirements of Item 2.02, “Results of Operations and Financial Condition,” is being reported under Item 7.01, “Regulation FD Disclosure.”</w:t>
      </w:r>
    </w:p>
    <w:p>
      <w:pPr>
        <w:spacing w:after="0" w:line="255" w:lineRule="exact"/>
        <w:rPr>
          <w:sz w:val="20"/>
          <w:szCs w:val="20"/>
          <w:color w:val="auto"/>
        </w:rPr>
      </w:pPr>
    </w:p>
    <w:p>
      <w:pPr>
        <w:ind w:right="100"/>
        <w:spacing w:after="0" w:line="276" w:lineRule="auto"/>
        <w:rPr>
          <w:sz w:val="20"/>
          <w:szCs w:val="20"/>
          <w:color w:val="auto"/>
        </w:rPr>
      </w:pPr>
      <w:r>
        <w:rPr>
          <w:rFonts w:ascii="Arial" w:cs="Arial" w:eastAsia="Arial" w:hAnsi="Arial"/>
          <w:sz w:val="20"/>
          <w:szCs w:val="20"/>
          <w:color w:val="auto"/>
        </w:rPr>
        <w:t>On October 24, 2018, Westwood Holdings Group, Inc. (“Westwood”) issued a press release entitled “Westwood Holdings Group, Inc. Reports Third Quarter 2018 Results; Quarterly Dividend Increased 6%, Representing the 16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Consecutive Year of Increases”, a copy of which is furnished with this Current Report on Form 8-K as Exhibit 99.1.</w:t>
      </w:r>
    </w:p>
    <w:p>
      <w:pPr>
        <w:spacing w:after="0" w:line="275" w:lineRule="exact"/>
        <w:rPr>
          <w:sz w:val="20"/>
          <w:szCs w:val="20"/>
          <w:color w:val="auto"/>
        </w:rPr>
      </w:pPr>
    </w:p>
    <w:p>
      <w:pPr>
        <w:spacing w:after="0" w:line="303" w:lineRule="auto"/>
        <w:rPr>
          <w:sz w:val="20"/>
          <w:szCs w:val="20"/>
          <w:color w:val="auto"/>
        </w:rPr>
      </w:pPr>
      <w:r>
        <w:rPr>
          <w:rFonts w:ascii="Arial" w:cs="Arial" w:eastAsia="Arial" w:hAnsi="Arial"/>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257"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7.01:</w:t>
      </w:r>
      <w:r>
        <w:rPr>
          <w:sz w:val="20"/>
          <w:szCs w:val="20"/>
          <w:color w:val="auto"/>
        </w:rPr>
        <w:tab/>
      </w:r>
      <w:r>
        <w:rPr>
          <w:rFonts w:ascii="Arial" w:cs="Arial" w:eastAsia="Arial" w:hAnsi="Arial"/>
          <w:sz w:val="18"/>
          <w:szCs w:val="18"/>
          <w:color w:val="auto"/>
        </w:rPr>
        <w:t>REGULATION FD DISCLOSURE</w:t>
      </w:r>
    </w:p>
    <w:p>
      <w:pPr>
        <w:spacing w:after="0" w:line="337" w:lineRule="exact"/>
        <w:rPr>
          <w:sz w:val="20"/>
          <w:szCs w:val="20"/>
          <w:color w:val="auto"/>
        </w:rPr>
      </w:pPr>
    </w:p>
    <w:p>
      <w:pPr>
        <w:ind w:right="140"/>
        <w:spacing w:after="0" w:line="379" w:lineRule="auto"/>
        <w:rPr>
          <w:sz w:val="20"/>
          <w:szCs w:val="20"/>
          <w:color w:val="auto"/>
        </w:rPr>
      </w:pPr>
      <w:r>
        <w:rPr>
          <w:rFonts w:ascii="Arial" w:cs="Arial" w:eastAsia="Arial" w:hAnsi="Arial"/>
          <w:sz w:val="18"/>
          <w:szCs w:val="18"/>
          <w:color w:val="auto"/>
        </w:rPr>
        <w:t>Westwood announced today that its Board of Directors has approved the payment of a quarterly cash dividend of $0.72 per common share, an increase of 6% from the previous quarterly dividend rate, payable on January 2, 2019 to stockholders of record on December 7, 2018.</w:t>
      </w:r>
    </w:p>
    <w:p>
      <w:pPr>
        <w:spacing w:after="0" w:line="197"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9.01:</w:t>
      </w:r>
      <w:r>
        <w:rPr>
          <w:sz w:val="20"/>
          <w:szCs w:val="20"/>
          <w:color w:val="auto"/>
        </w:rPr>
        <w:tab/>
      </w:r>
      <w:r>
        <w:rPr>
          <w:rFonts w:ascii="Arial" w:cs="Arial" w:eastAsia="Arial" w:hAnsi="Arial"/>
          <w:sz w:val="19"/>
          <w:szCs w:val="19"/>
          <w:color w:val="auto"/>
        </w:rPr>
        <w:t>FINANCIAL STATEMENTS AND EXHIBITS</w:t>
      </w:r>
    </w:p>
    <w:p>
      <w:pPr>
        <w:spacing w:after="0" w:line="337" w:lineRule="exact"/>
        <w:rPr>
          <w:sz w:val="20"/>
          <w:szCs w:val="20"/>
          <w:color w:val="auto"/>
        </w:rPr>
      </w:pPr>
    </w:p>
    <w:p>
      <w:pPr>
        <w:ind w:left="440" w:hanging="432"/>
        <w:spacing w:after="0"/>
        <w:tabs>
          <w:tab w:leader="none" w:pos="44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Exhibits: The following exhibit is furnished with this report:</w:t>
      </w:r>
    </w:p>
    <w:p>
      <w:pPr>
        <w:sectPr>
          <w:pgSz w:w="11900" w:h="16838" w:orient="portrait"/>
          <w:cols w:equalWidth="0" w:num="1">
            <w:col w:w="11380"/>
          </w:cols>
          <w:pgMar w:left="240" w:top="649" w:right="279" w:bottom="1440" w:gutter="0" w:footer="0" w:header="0"/>
        </w:sect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Exhibit Number</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00" w:lineRule="exact"/>
        <w:rPr>
          <w:sz w:val="20"/>
          <w:szCs w:val="20"/>
          <w:color w:val="auto"/>
        </w:rPr>
      </w:pPr>
    </w:p>
    <w:p>
      <w:pPr>
        <w:sectPr>
          <w:pgSz w:w="11900" w:h="16838" w:orient="portrait"/>
          <w:cols w:equalWidth="0" w:num="2">
            <w:col w:w="1560" w:space="720"/>
            <w:col w:w="9100"/>
          </w:cols>
          <w:pgMar w:left="240" w:top="649" w:right="279" w:bottom="1440" w:gutter="0" w:footer="0" w:header="0"/>
          <w:type w:val="continuous"/>
        </w:sectPr>
      </w:pPr>
    </w:p>
    <w:p>
      <w:pPr>
        <w:spacing w:after="0" w:line="160" w:lineRule="exact"/>
        <w:rPr>
          <w:sz w:val="20"/>
          <w:szCs w:val="20"/>
          <w:color w:val="auto"/>
        </w:rPr>
      </w:pPr>
    </w:p>
    <w:p>
      <w:pPr>
        <w:ind w:left="1300" w:right="760" w:hanging="1296"/>
        <w:spacing w:after="0" w:line="317" w:lineRule="auto"/>
        <w:tabs>
          <w:tab w:leader="none" w:pos="128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20"/>
          <w:szCs w:val="20"/>
          <w:color w:val="auto"/>
        </w:rPr>
        <w:t>Press Release dated October 24, 2018, entitled “Westwood Holdings Group, Inc. Reports Third Quarter 2018 Results; Quarterly Dividend Increased 6%, Representing the 16</w:t>
      </w:r>
      <w:r>
        <w:rPr>
          <w:rFonts w:ascii="Arial" w:cs="Arial" w:eastAsia="Arial" w:hAnsi="Arial"/>
          <w:sz w:val="12"/>
          <w:szCs w:val="12"/>
          <w:color w:val="auto"/>
        </w:rPr>
        <w:t>th</w:t>
      </w:r>
      <w:r>
        <w:rPr>
          <w:rFonts w:ascii="Arial" w:cs="Arial" w:eastAsia="Arial" w:hAnsi="Arial"/>
          <w:sz w:val="20"/>
          <w:szCs w:val="20"/>
          <w:color w:val="auto"/>
        </w:rPr>
        <w:t xml:space="preserve"> Consecutive Year of Increases”.</w:t>
      </w:r>
    </w:p>
    <w:p>
      <w:pPr>
        <w:sectPr>
          <w:pgSz w:w="11900" w:h="16838" w:orient="portrait"/>
          <w:cols w:equalWidth="0" w:num="1">
            <w:col w:w="11380"/>
          </w:cols>
          <w:pgMar w:left="240" w:top="649" w:right="2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20"/>
          <w:szCs w:val="20"/>
          <w:color w:val="auto"/>
        </w:rPr>
        <w:t>SIGNATURES</w:t>
      </w:r>
    </w:p>
    <w:p>
      <w:pPr>
        <w:spacing w:after="0" w:line="337" w:lineRule="exact"/>
        <w:rPr>
          <w:sz w:val="20"/>
          <w:szCs w:val="20"/>
          <w:color w:val="auto"/>
        </w:rPr>
      </w:pPr>
    </w:p>
    <w:p>
      <w:pPr>
        <w:ind w:firstLine="648"/>
        <w:spacing w:after="0" w:line="317"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Date: October 24, 2018</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WESTWOOD HOLDINGS GROUP, INC.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Tiffany B. Kice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-14605</wp:posOffset>
            </wp:positionV>
            <wp:extent cx="11868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spacing w:after="0" w:line="3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Tiffany B. Kice</w:t>
      </w:r>
    </w:p>
    <w:p>
      <w:pPr>
        <w:spacing w:after="0" w:line="5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Chief Financial Officer and Treasurer</w:t>
      </w:r>
    </w:p>
    <w:p>
      <w:pPr>
        <w:sectPr>
          <w:pgSz w:w="11900" w:h="16838" w:orient="portrait"/>
          <w:cols w:equalWidth="0" w:num="1">
            <w:col w:w="11420"/>
          </w:cols>
          <w:pgMar w:left="240" w:top="64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300" w:type="dxa"/>
            <w:vAlign w:val="bottom"/>
            <w:gridSpan w:val="3"/>
          </w:tcPr>
          <w:p>
            <w:pPr>
              <w:spacing w:after="0"/>
              <w:rPr>
                <w:sz w:val="20"/>
                <w:szCs w:val="20"/>
                <w:color w:val="auto"/>
              </w:rPr>
            </w:pPr>
            <w:r>
              <w:rPr>
                <w:rFonts w:ascii="Arial" w:cs="Arial" w:eastAsia="Arial" w:hAnsi="Arial"/>
                <w:sz w:val="20"/>
                <w:szCs w:val="20"/>
                <w:color w:val="auto"/>
              </w:rPr>
              <w:t>EXHIBIT INDEX</w:t>
            </w:r>
          </w:p>
        </w:tc>
      </w:tr>
      <w:tr>
        <w:trPr>
          <w:trHeight w:val="547"/>
        </w:trPr>
        <w:tc>
          <w:tcPr>
            <w:tcW w:w="1480" w:type="dxa"/>
            <w:vAlign w:val="bottom"/>
          </w:tcPr>
          <w:p>
            <w:pPr>
              <w:spacing w:after="0"/>
              <w:rPr>
                <w:sz w:val="20"/>
                <w:szCs w:val="20"/>
                <w:color w:val="auto"/>
              </w:rPr>
            </w:pPr>
            <w:r>
              <w:rPr>
                <w:rFonts w:ascii="Arial" w:cs="Arial" w:eastAsia="Arial" w:hAnsi="Arial"/>
                <w:sz w:val="20"/>
                <w:szCs w:val="20"/>
                <w:color w:val="auto"/>
              </w:rPr>
              <w:t>Exhibit Number</w:t>
            </w:r>
          </w:p>
        </w:tc>
        <w:tc>
          <w:tcPr>
            <w:tcW w:w="200" w:type="dxa"/>
            <w:vAlign w:val="bottom"/>
          </w:tcPr>
          <w:p>
            <w:pPr>
              <w:spacing w:after="0"/>
              <w:rPr>
                <w:sz w:val="24"/>
                <w:szCs w:val="24"/>
                <w:color w:val="auto"/>
              </w:rPr>
            </w:pPr>
          </w:p>
        </w:tc>
        <w:tc>
          <w:tcPr>
            <w:tcW w:w="3300" w:type="dxa"/>
            <w:vAlign w:val="bottom"/>
            <w:gridSpan w:val="3"/>
          </w:tcPr>
          <w:p>
            <w:pPr>
              <w:spacing w:after="0"/>
              <w:rPr>
                <w:sz w:val="20"/>
                <w:szCs w:val="20"/>
                <w:color w:val="auto"/>
              </w:rPr>
            </w:pPr>
            <w:r>
              <w:rPr>
                <w:rFonts w:ascii="Arial" w:cs="Arial" w:eastAsia="Arial" w:hAnsi="Arial"/>
                <w:sz w:val="20"/>
                <w:szCs w:val="20"/>
                <w:color w:val="auto"/>
              </w:rPr>
              <w:t>Description</w:t>
            </w:r>
          </w:p>
        </w:tc>
        <w:tc>
          <w:tcPr>
            <w:tcW w:w="1460" w:type="dxa"/>
            <w:vAlign w:val="bottom"/>
            <w:tcBorders>
              <w:top w:val="single" w:sz="8" w:color="auto"/>
            </w:tcBorders>
          </w:tcPr>
          <w:p>
            <w:pPr>
              <w:spacing w:after="0"/>
              <w:rPr>
                <w:sz w:val="24"/>
                <w:szCs w:val="24"/>
                <w:color w:val="auto"/>
              </w:rPr>
            </w:pPr>
          </w:p>
        </w:tc>
        <w:tc>
          <w:tcPr>
            <w:tcW w:w="4840" w:type="dxa"/>
            <w:vAlign w:val="bottom"/>
            <w:gridSpan w:val="2"/>
          </w:tcPr>
          <w:p>
            <w:pPr>
              <w:spacing w:after="0"/>
              <w:rPr>
                <w:sz w:val="24"/>
                <w:szCs w:val="24"/>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547"/>
        </w:trPr>
        <w:tc>
          <w:tcPr>
            <w:tcW w:w="1480" w:type="dxa"/>
            <w:vAlign w:val="bottom"/>
          </w:tcPr>
          <w:p>
            <w:pPr>
              <w:spacing w:after="0"/>
              <w:rPr>
                <w:sz w:val="20"/>
                <w:szCs w:val="20"/>
                <w:color w:val="auto"/>
              </w:rPr>
            </w:pPr>
            <w:r>
              <w:rPr>
                <w:rFonts w:ascii="Arial" w:cs="Arial" w:eastAsia="Arial" w:hAnsi="Arial"/>
                <w:sz w:val="20"/>
                <w:szCs w:val="20"/>
                <w:color w:val="auto"/>
              </w:rPr>
              <w:t>99.1</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320" w:type="dxa"/>
            <w:vAlign w:val="bottom"/>
            <w:tcBorders>
              <w:bottom w:val="single" w:sz="8" w:color="0000EE"/>
            </w:tcBorders>
            <w:gridSpan w:val="5"/>
          </w:tcPr>
          <w:p>
            <w:pPr>
              <w:spacing w:after="0"/>
              <w:rPr>
                <w:rFonts w:ascii="Arial" w:cs="Arial" w:eastAsia="Arial" w:hAnsi="Arial"/>
                <w:sz w:val="20"/>
                <w:szCs w:val="20"/>
                <w:color w:val="0000EE"/>
                <w:w w:val="89"/>
              </w:rPr>
            </w:pPr>
            <w:hyperlink w:anchor="page5">
              <w:r>
                <w:rPr>
                  <w:rFonts w:ascii="Arial" w:cs="Arial" w:eastAsia="Arial" w:hAnsi="Arial"/>
                  <w:sz w:val="20"/>
                  <w:szCs w:val="20"/>
                  <w:color w:val="0000EE"/>
                  <w:w w:val="89"/>
                </w:rPr>
                <w:t>Press Release dated October 24, 2018, entitled “Westwood Holdings Group, Inc. Reports Third Quarter 2018 Results;</w:t>
              </w:r>
            </w:hyperlink>
          </w:p>
        </w:tc>
      </w:tr>
      <w:tr>
        <w:trPr>
          <w:trHeight w:val="264"/>
        </w:trPr>
        <w:tc>
          <w:tcPr>
            <w:tcW w:w="1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80" w:type="dxa"/>
            <w:vAlign w:val="bottom"/>
            <w:tcBorders>
              <w:bottom w:val="single" w:sz="8" w:color="0000EE"/>
            </w:tcBorders>
            <w:gridSpan w:val="4"/>
          </w:tcPr>
          <w:p>
            <w:pPr>
              <w:spacing w:after="0"/>
              <w:rPr>
                <w:rFonts w:ascii="Arial" w:cs="Arial" w:eastAsia="Arial" w:hAnsi="Arial"/>
                <w:sz w:val="20"/>
                <w:szCs w:val="20"/>
                <w:color w:val="0000EE"/>
                <w:w w:val="89"/>
              </w:rPr>
            </w:pPr>
            <w:hyperlink w:anchor="page5">
              <w:r>
                <w:rPr>
                  <w:rFonts w:ascii="Arial" w:cs="Arial" w:eastAsia="Arial" w:hAnsi="Arial"/>
                  <w:sz w:val="20"/>
                  <w:szCs w:val="20"/>
                  <w:color w:val="0000EE"/>
                  <w:w w:val="89"/>
                </w:rPr>
                <w:t>Quarterly Dividend Increased 6%, Representing the 16th Consecutive Year of Increases”.</w:t>
              </w:r>
            </w:hyperlink>
          </w:p>
        </w:tc>
        <w:tc>
          <w:tcPr>
            <w:tcW w:w="2240" w:type="dxa"/>
            <w:vAlign w:val="bottom"/>
          </w:tcPr>
          <w:p>
            <w:pPr>
              <w:spacing w:after="0"/>
              <w:rPr>
                <w:sz w:val="22"/>
                <w:szCs w:val="22"/>
                <w:color w:val="auto"/>
              </w:rPr>
            </w:pPr>
          </w:p>
        </w:tc>
      </w:tr>
    </w:tbl>
    <w:p>
      <w:pPr>
        <w:sectPr>
          <w:pgSz w:w="11900" w:h="16838" w:orient="portrait"/>
          <w:cols w:equalWidth="0" w:num="1">
            <w:col w:w="11280"/>
          </w:cols>
          <w:pgMar w:left="240" w:top="909"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2413000</wp:posOffset>
            </wp:positionH>
            <wp:positionV relativeFrom="page">
              <wp:posOffset>406400</wp:posOffset>
            </wp:positionV>
            <wp:extent cx="2744470" cy="900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744470" cy="90043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Westwood Holdings Group, Inc. Reports Third Quarter 2018 Results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Dividend Increased 6%, Representing the 16</w:t>
      </w:r>
      <w:r>
        <w:rPr>
          <w:rFonts w:ascii="Arial" w:cs="Arial" w:eastAsia="Arial" w:hAnsi="Arial"/>
          <w:sz w:val="28"/>
          <w:szCs w:val="28"/>
          <w:b w:val="1"/>
          <w:bCs w:val="1"/>
          <w:color w:val="auto"/>
          <w:vertAlign w:val="superscript"/>
        </w:rPr>
        <w:t>th</w:t>
      </w:r>
      <w:r>
        <w:rPr>
          <w:rFonts w:ascii="Arial" w:cs="Arial" w:eastAsia="Arial" w:hAnsi="Arial"/>
          <w:sz w:val="22"/>
          <w:szCs w:val="22"/>
          <w:b w:val="1"/>
          <w:bCs w:val="1"/>
          <w:color w:val="auto"/>
        </w:rPr>
        <w:t xml:space="preserve"> Consecutive Year of Increases</w:t>
      </w: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rPr>
        <w:t>Dallas, TX, October 24, 2018 – Westwood Holdings Group, Inc. (NYSE: WHG) today reported third quarter 2018 earnings.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Highlights from the quarter include:</w:t>
      </w:r>
    </w:p>
    <w:p>
      <w:pPr>
        <w:spacing w:after="0" w:line="148" w:lineRule="exact"/>
        <w:rPr>
          <w:sz w:val="20"/>
          <w:szCs w:val="20"/>
          <w:color w:val="auto"/>
        </w:rPr>
      </w:pPr>
    </w:p>
    <w:p>
      <w:pPr>
        <w:ind w:left="660" w:hanging="328"/>
        <w:spacing w:after="0" w:line="26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Revenues of $29.9 million compared with $33.5 million in last year's third quarter and $32.8 million in the second quarter of this year.</w:t>
      </w:r>
    </w:p>
    <w:p>
      <w:pPr>
        <w:spacing w:after="0" w:line="120"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Net income of $5.4 million compared with $4.1 million in last year's third quarter and $8.0 million in the second quarter of this year.</w:t>
      </w:r>
    </w:p>
    <w:p>
      <w:pPr>
        <w:spacing w:after="0" w:line="120" w:lineRule="exact"/>
        <w:rPr>
          <w:rFonts w:ascii="Arial" w:cs="Arial" w:eastAsia="Arial" w:hAnsi="Arial"/>
          <w:sz w:val="22"/>
          <w:szCs w:val="22"/>
          <w:color w:val="auto"/>
        </w:rPr>
      </w:pPr>
    </w:p>
    <w:p>
      <w:pPr>
        <w:ind w:left="660" w:hanging="328"/>
        <w:spacing w:after="0" w:line="26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Emerging Markets and Emerging Markets SMid strategies delivered top decile peer rankings, and our LargeCap Value and Emerging Markets Plus strategies achieved top quartile peer rankings.</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Nearly all of our U.S. Value and Emerging Markets strategies beat their primary benchmarks for the quarter.</w:t>
      </w:r>
    </w:p>
    <w:p>
      <w:pPr>
        <w:spacing w:after="0" w:line="165" w:lineRule="exact"/>
        <w:rPr>
          <w:rFonts w:ascii="Arial" w:cs="Arial" w:eastAsia="Arial" w:hAnsi="Arial"/>
          <w:sz w:val="22"/>
          <w:szCs w:val="22"/>
          <w:color w:val="auto"/>
        </w:rPr>
      </w:pPr>
    </w:p>
    <w:p>
      <w:pPr>
        <w:ind w:left="660" w:right="20" w:hanging="328"/>
        <w:spacing w:after="0" w:line="26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At quarter-end, Westwood had $119.1 million in cash and short-term investments, stockholders’ equity of $164.7 million, and no debt.</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Revenues of $29.9 million decreased $3.6 million from last year's third quarter on lower average assets under management resulting from net outflows and the sale of the Omaha-based component of our Private Wealth business. Revenues decreased $2.9 million from this year's second quarter on lower average assets under management and the recording of performance-based fees of $1.6 million in the second quarter.</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Assets under management at September 30, 2018 totaled $20.8 billion compared to $23.6 billion at September 30, 2017 and $21.6 billion at June 30, 2018.</w:t>
      </w:r>
    </w:p>
    <w:p>
      <w:pPr>
        <w:spacing w:after="0" w:line="215"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Third quarter net income of $5.4 million compared with $4.1 million in last year's third quarter. The current quarter benefited from lower compensation expenses after selling the Omaha-based component of our Private Wealth business and reductions in incentive compensation, offset by lower asset-based fees and higher information technology expenses as we continue to invest in our technology infrastructure. The prior year quarter was negatively impacted by a $2.5 million legal settlement charge, net of insurance recovery and taxes. Diluted earnings per share of $0.62 in the current quarter compared to $0.49 in the third quarter of 2017. Non-GAAP Economic Earnings increased from $9.0 million, or $1.07 per share, in last year's third quarter, to $9.5 million, or $1.11 per share, in the third quarter of 2018.</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Third quarter net income of $5.4 million compared with $8.0 million in the second quarter, which benefited from higher asset-based fees, performance-based fees and foreign currency transaction gains. Diluted earnings per share for the third quarter of $0.62 compared to $0.94 for the second quarter. Non-GAAP Economic Earnings for the third quarter of $9.5 million, or $1.11 per share, compared to $12.2 million, or $1.43 per share, in the second quarter.</w:t>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46" w:lineRule="auto"/>
        <w:rPr>
          <w:sz w:val="20"/>
          <w:szCs w:val="20"/>
          <w:color w:val="auto"/>
        </w:rPr>
      </w:pPr>
      <w:r>
        <w:rPr>
          <w:rFonts w:ascii="Arial" w:cs="Arial" w:eastAsia="Arial" w:hAnsi="Arial"/>
          <w:sz w:val="22"/>
          <w:szCs w:val="22"/>
          <w:color w:val="auto"/>
        </w:rPr>
        <w:t>Brian Casey, Westwood’s President &amp; CEO, commented, "Our U.S. Value products performed very well, with solid security selection driving outperformance, as high-quality companies were rewarded. We are especially proud of our LargeCap Value strategy, which outperformed its primary benchmark for the 7th straight quarter while earning top quartile peer rankings year-to-date as well as over the last one- and five-year time periods. Our Emerging Markets strategies also made good progress, with two strategies making the top decile and the other strategy reached the top quartile. As we’ve often stated, we believe that our clients want differentiated performance, which starts with being distinctively different from merely passive indexes. As we look at Westwood's near-term business opportunities, we'll be focusing on sales execution across our high conviction and outcome oriented investment strategies."</w:t>
      </w:r>
    </w:p>
    <w:p>
      <w:pPr>
        <w:spacing w:after="0" w:line="235"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Westwood’s Board of Directors declared a quarterly cash dividend of $0.72 per common share, an increase of 6% from the previous quarterly dividend rate, payable on January 2, 2019 to stockholders of record on December 7, 2018.</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Economic Earnings and Economic Earnings per Share ("Economic EPS") are non-GAAP performance measures and are explained and reconciled with the most comparable GAAP numbers in the attached tables.</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Westwood will host a conference call to discuss third quarter 2018 results and other business matters at 4:30 p.m. Eastern time today. To join the conference call, dial 877-303-6235 (domestic and Canada) or 631-291-4837 (international). The conference call can also be accessed via our Investor Relations page at westwoodgroup.com and will be available for replay through October 31, 2018 by dialing 855-859-2056 (domestic and Canada) or 404-537-3406 (international) and then entering the passcode 7071105.</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Westwood</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Westwood Holdings Group, Inc. provides investment management services to institutional investors, private wealth clients and financial intermediaries. The firm has $20.8 billion in assets under management, of which $3.5 billion are in values-based and socially responsible investment mandates as of September 30, 2018. Westwood offers a range of investment strategies including U.S. equities, Multi-Asset, Global and Emerging Markets equities, Global Convertible securities and Master Limited Partnerships (MLPs) portfolios. Access to these strategies is available through separate accounts, the Westwood Funds® family of mutual funds, UCITS funds and other pooled vehicles. Westwood benefits from significant, broad-based employee ownership and trades on the New York Stock Exchange under the symbol “WHG.” Based in Dallas, Texas, Westwood also maintains offices in Toronto, Boston and Houston.</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Westwood, please visit westwoodgroup.com.</w:t>
      </w:r>
    </w:p>
    <w:p>
      <w:pPr>
        <w:sectPr>
          <w:pgSz w:w="11900" w:h="16838" w:orient="portrait"/>
          <w:cols w:equalWidth="0" w:num="1">
            <w:col w:w="11420"/>
          </w:cols>
          <w:pgMar w:left="240" w:top="63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color w:val="auto"/>
        </w:rPr>
        <w:t>Forward-looking Statements</w:t>
      </w:r>
    </w:p>
    <w:p>
      <w:pPr>
        <w:spacing w:after="0" w:line="266"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“forecast,” “believe,” “plan,” “estimate,” “expect,” “intend,” “should,” “could,” “goal,” “may,” “target,” “designed,” “on track,” “comfortable with,” “optimistic”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composition and market value of our assets under management; regulations adversely affecting the financial services industry; competition in the investment management industry; our assets under management includes investments in foreign companies; our ability to develop and market new investment strategies successfully; our reputation and relationships with current and potential customers; our ability to attract and retain qualified personnel; our ability to perform operational tasks; our ability to maintain effective cyber security; our ability to identify and execute on our strategic initiatives; our ability to select and oversee third-party vendors; our ability to maintain effective information systems; litigation risks; our ability to properly address conflicts of interest; our ability to maintain adequate insurance coverage; our ability to maintain an effective system of internal controls; our ability to maintain our fee structure in light of competitive fee pressures; our relationships with investment consulting firms; the significant concentration of our revenues in a small number of customers; and the other risks detailed from time to time in Westwood’s Securities and Exchange Commission filings, including, but not limited to, its annual report on Form 10-K for the year ended December 31, 2017 and its quarterly report on Form 10-Q for the quarters ended March 31, 2018, June 30, 2018 and September 30, 2018.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SOURCE: Westwood Holdings Group, Inc.</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(WHG-G)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Westwood Holdings Group,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Terry Forbes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of Finance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(214) 756-6900</w:t>
      </w:r>
    </w:p>
    <w:p>
      <w:pPr>
        <w:sectPr>
          <w:pgSz w:w="11900" w:h="16838" w:orient="portrait"/>
          <w:cols w:equalWidth="0" w:num="1">
            <w:col w:w="11420"/>
          </w:cols>
          <w:pgMar w:left="240" w:top="625"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8" w:lineRule="exact"/>
        <w:rPr>
          <w:sz w:val="20"/>
          <w:szCs w:val="20"/>
          <w:color w:val="auto"/>
        </w:rPr>
      </w:pPr>
    </w:p>
    <w:p>
      <w:pPr>
        <w:ind w:right="3460"/>
        <w:spacing w:after="0" w:line="246" w:lineRule="auto"/>
        <w:rPr>
          <w:sz w:val="20"/>
          <w:szCs w:val="20"/>
          <w:color w:val="auto"/>
        </w:rPr>
      </w:pPr>
      <w:r>
        <w:rPr>
          <w:rFonts w:ascii="Arial" w:cs="Arial" w:eastAsia="Arial" w:hAnsi="Arial"/>
          <w:sz w:val="22"/>
          <w:szCs w:val="22"/>
          <w:b w:val="1"/>
          <w:bCs w:val="1"/>
          <w:color w:val="auto"/>
        </w:rPr>
        <w:t>CONDENSED CONSOLIDATED STATEMENTS OF COMPREHENSIVE INCOME (in thousands, except per share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Arial" w:cs="Arial" w:eastAsia="Arial" w:hAnsi="Arial"/>
                <w:sz w:val="16"/>
                <w:szCs w:val="16"/>
                <w:b w:val="1"/>
                <w:bCs w:val="1"/>
                <w:color w:val="auto"/>
                <w:w w:val="94"/>
              </w:rPr>
              <w:t>Three Months Ended</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6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1400" w:type="dxa"/>
            <w:vAlign w:val="bottom"/>
          </w:tcPr>
          <w:p>
            <w:pPr>
              <w:jc w:val="right"/>
              <w:ind w:right="231"/>
              <w:spacing w:after="0"/>
              <w:rPr>
                <w:sz w:val="20"/>
                <w:szCs w:val="20"/>
                <w:color w:val="auto"/>
              </w:rPr>
            </w:pPr>
            <w:r>
              <w:rPr>
                <w:rFonts w:ascii="Arial" w:cs="Arial" w:eastAsia="Arial" w:hAnsi="Arial"/>
                <w:sz w:val="16"/>
                <w:szCs w:val="16"/>
                <w:b w:val="1"/>
                <w:bCs w:val="1"/>
                <w:color w:val="auto"/>
                <w:w w:val="96"/>
              </w:rPr>
              <w:t>September 30,</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55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Advisory fees: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Asset-based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25,334</w:t>
            </w:r>
          </w:p>
        </w:tc>
        <w:tc>
          <w:tcPr>
            <w:tcW w:w="0" w:type="dxa"/>
            <w:vAlign w:val="bottom"/>
          </w:tcPr>
          <w:p>
            <w:pPr>
              <w:spacing w:after="0"/>
              <w:rPr>
                <w:sz w:val="1"/>
                <w:szCs w:val="1"/>
                <w:color w:val="auto"/>
              </w:rPr>
            </w:pPr>
          </w:p>
        </w:tc>
      </w:tr>
      <w:tr>
        <w:trPr>
          <w:trHeight w:val="243"/>
        </w:trPr>
        <w:tc>
          <w:tcPr>
            <w:tcW w:w="6640" w:type="dxa"/>
            <w:vAlign w:val="bottom"/>
          </w:tcPr>
          <w:p>
            <w:pPr>
              <w:ind w:left="720"/>
              <w:spacing w:after="0"/>
              <w:rPr>
                <w:sz w:val="20"/>
                <w:szCs w:val="20"/>
                <w:color w:val="auto"/>
              </w:rPr>
            </w:pPr>
            <w:r>
              <w:rPr>
                <w:rFonts w:ascii="Arial" w:cs="Arial" w:eastAsia="Arial" w:hAnsi="Arial"/>
                <w:sz w:val="18"/>
                <w:szCs w:val="18"/>
                <w:color w:val="auto"/>
              </w:rPr>
              <w:t>Performance-based</w:t>
            </w: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Trust fees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7,858</w:t>
            </w:r>
          </w:p>
        </w:tc>
        <w:tc>
          <w:tcPr>
            <w:tcW w:w="0" w:type="dxa"/>
            <w:vAlign w:val="bottom"/>
          </w:tcPr>
          <w:p>
            <w:pPr>
              <w:spacing w:after="0"/>
              <w:rPr>
                <w:sz w:val="1"/>
                <w:szCs w:val="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33,492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compensation and benefits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15,601</w:t>
            </w:r>
          </w:p>
        </w:tc>
        <w:tc>
          <w:tcPr>
            <w:tcW w:w="0" w:type="dxa"/>
            <w:vAlign w:val="bottom"/>
          </w:tcPr>
          <w:p>
            <w:pPr>
              <w:spacing w:after="0"/>
              <w:rPr>
                <w:sz w:val="1"/>
                <w:szCs w:val="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Westwood mutual funds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Information technology</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2,332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Legal settlement</w:t>
            </w:r>
          </w:p>
        </w:tc>
        <w:tc>
          <w:tcPr>
            <w:tcW w:w="1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37"/>
        </w:trPr>
        <w:tc>
          <w:tcPr>
            <w:tcW w:w="664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21,824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27,740</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5,752</w:t>
            </w:r>
          </w:p>
        </w:tc>
        <w:tc>
          <w:tcPr>
            <w:tcW w:w="0" w:type="dxa"/>
            <w:vAlign w:val="bottom"/>
          </w:tcPr>
          <w:p>
            <w:pPr>
              <w:spacing w:after="0"/>
              <w:rPr>
                <w:sz w:val="1"/>
                <w:szCs w:val="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2,944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4,132</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38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97"/>
        </w:trPr>
        <w:tc>
          <w:tcPr>
            <w:tcW w:w="6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comprehensive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5,984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7,513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57"/>
        </w:trPr>
        <w:tc>
          <w:tcPr>
            <w:tcW w:w="6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8,402,697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8,399,148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8,171,809</w:t>
            </w:r>
          </w:p>
        </w:tc>
        <w:tc>
          <w:tcPr>
            <w:tcW w:w="0" w:type="dxa"/>
            <w:vAlign w:val="bottom"/>
          </w:tcPr>
          <w:p>
            <w:pPr>
              <w:spacing w:after="0"/>
              <w:rPr>
                <w:sz w:val="1"/>
                <w:szCs w:val="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8,598,230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8,543,353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8,420,749</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Economic Earnings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9,541</w:t>
            </w:r>
          </w:p>
        </w:tc>
        <w:tc>
          <w:tcPr>
            <w:tcW w:w="100" w:type="dxa"/>
            <w:vAlign w:val="bottom"/>
          </w:tcPr>
          <w:p>
            <w:pPr>
              <w:spacing w:after="0"/>
              <w:rPr>
                <w:sz w:val="21"/>
                <w:szCs w:val="21"/>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12,245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8,990</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Economic EPS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97"/>
        </w:trPr>
        <w:tc>
          <w:tcPr>
            <w:tcW w:w="6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7"/>
        </w:trPr>
        <w:tc>
          <w:tcPr>
            <w:tcW w:w="6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625"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8" w:lineRule="exact"/>
        <w:rPr>
          <w:sz w:val="20"/>
          <w:szCs w:val="20"/>
          <w:color w:val="auto"/>
        </w:rPr>
      </w:pPr>
    </w:p>
    <w:p>
      <w:pPr>
        <w:ind w:right="3460"/>
        <w:spacing w:after="0" w:line="246" w:lineRule="auto"/>
        <w:rPr>
          <w:sz w:val="20"/>
          <w:szCs w:val="20"/>
          <w:color w:val="auto"/>
        </w:rPr>
      </w:pPr>
      <w:r>
        <w:rPr>
          <w:rFonts w:ascii="Arial" w:cs="Arial" w:eastAsia="Arial" w:hAnsi="Arial"/>
          <w:sz w:val="22"/>
          <w:szCs w:val="22"/>
          <w:b w:val="1"/>
          <w:bCs w:val="1"/>
          <w:color w:val="auto"/>
        </w:rPr>
        <w:t>CONDENSED CONSOLIDATED STATEMENTS OF COMPREHENSIVE INCOME (in thousands, except per share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4"/>
          </w:tcPr>
          <w:p>
            <w:pPr>
              <w:jc w:val="right"/>
              <w:ind w:right="350"/>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Advisory fees: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Asset-based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73,619</w:t>
            </w:r>
          </w:p>
        </w:tc>
        <w:tc>
          <w:tcPr>
            <w:tcW w:w="0" w:type="dxa"/>
            <w:vAlign w:val="bottom"/>
          </w:tcPr>
          <w:p>
            <w:pPr>
              <w:spacing w:after="0"/>
              <w:rPr>
                <w:sz w:val="1"/>
                <w:szCs w:val="1"/>
                <w:color w:val="auto"/>
              </w:rPr>
            </w:pPr>
          </w:p>
        </w:tc>
      </w:tr>
      <w:tr>
        <w:trPr>
          <w:trHeight w:val="243"/>
        </w:trPr>
        <w:tc>
          <w:tcPr>
            <w:tcW w:w="8240" w:type="dxa"/>
            <w:vAlign w:val="bottom"/>
          </w:tcPr>
          <w:p>
            <w:pPr>
              <w:ind w:left="720"/>
              <w:spacing w:after="0"/>
              <w:rPr>
                <w:sz w:val="20"/>
                <w:szCs w:val="20"/>
                <w:color w:val="auto"/>
              </w:rPr>
            </w:pPr>
            <w:r>
              <w:rPr>
                <w:rFonts w:ascii="Arial" w:cs="Arial" w:eastAsia="Arial" w:hAnsi="Arial"/>
                <w:sz w:val="18"/>
                <w:szCs w:val="18"/>
                <w:color w:val="auto"/>
              </w:rPr>
              <w:t>Performance-based</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2,984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Trust fees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23,570</w:t>
            </w: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99,871</w:t>
            </w: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48,875</w:t>
            </w: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Westwood mutual funds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Information technology</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6,753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Professional services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Legal settlement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4,009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8,697</w:t>
            </w:r>
          </w:p>
        </w:tc>
        <w:tc>
          <w:tcPr>
            <w:tcW w:w="0" w:type="dxa"/>
            <w:vAlign w:val="bottom"/>
          </w:tcPr>
          <w:p>
            <w:pPr>
              <w:spacing w:after="0"/>
              <w:rPr>
                <w:sz w:val="1"/>
                <w:szCs w:val="1"/>
                <w:color w:val="auto"/>
              </w:rPr>
            </w:pPr>
          </w:p>
        </w:tc>
      </w:tr>
      <w:tr>
        <w:trPr>
          <w:trHeight w:val="237"/>
        </w:trPr>
        <w:tc>
          <w:tcPr>
            <w:tcW w:w="824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68,131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75,766</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24,105</w:t>
            </w: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Gain on sale of operations</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28,574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24,105</w:t>
            </w:r>
          </w:p>
        </w:tc>
        <w:tc>
          <w:tcPr>
            <w:tcW w:w="0" w:type="dxa"/>
            <w:vAlign w:val="bottom"/>
          </w:tcPr>
          <w:p>
            <w:pPr>
              <w:spacing w:after="0"/>
              <w:rPr>
                <w:sz w:val="1"/>
                <w:szCs w:val="1"/>
                <w:color w:val="auto"/>
              </w:rPr>
            </w:pPr>
          </w:p>
        </w:tc>
      </w:tr>
      <w:tr>
        <w:trPr>
          <w:trHeight w:val="237"/>
        </w:trPr>
        <w:tc>
          <w:tcPr>
            <w:tcW w:w="824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7,236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7,013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21,338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17,092</w:t>
            </w:r>
          </w:p>
        </w:tc>
        <w:tc>
          <w:tcPr>
            <w:tcW w:w="0" w:type="dxa"/>
            <w:vAlign w:val="bottom"/>
          </w:tcPr>
          <w:p>
            <w:pPr>
              <w:spacing w:after="0"/>
              <w:rPr>
                <w:sz w:val="1"/>
                <w:szCs w:val="1"/>
                <w:color w:val="auto"/>
              </w:rPr>
            </w:pPr>
          </w:p>
        </w:tc>
      </w:tr>
      <w:tr>
        <w:trPr>
          <w:trHeight w:val="20"/>
        </w:trPr>
        <w:tc>
          <w:tcPr>
            <w:tcW w:w="8240" w:type="dxa"/>
            <w:vAlign w:val="bottom"/>
            <w:vMerge w:val="restart"/>
          </w:tcPr>
          <w:p>
            <w:pPr>
              <w:ind w:left="38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97"/>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comprehensive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20,276</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19,530</w:t>
            </w:r>
          </w:p>
        </w:tc>
        <w:tc>
          <w:tcPr>
            <w:tcW w:w="0" w:type="dxa"/>
            <w:vAlign w:val="bottom"/>
          </w:tcPr>
          <w:p>
            <w:pPr>
              <w:spacing w:after="0"/>
              <w:rPr>
                <w:sz w:val="1"/>
                <w:szCs w:val="1"/>
                <w:color w:val="auto"/>
              </w:rPr>
            </w:pPr>
          </w:p>
        </w:tc>
      </w:tr>
      <w:tr>
        <w:trPr>
          <w:trHeight w:val="257"/>
        </w:trPr>
        <w:tc>
          <w:tcPr>
            <w:tcW w:w="8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8,359,088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8,136,350</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8,561,918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8,350,926</w:t>
            </w:r>
          </w:p>
        </w:tc>
        <w:tc>
          <w:tcPr>
            <w:tcW w:w="0" w:type="dxa"/>
            <w:vAlign w:val="bottom"/>
          </w:tcPr>
          <w:p>
            <w:pPr>
              <w:spacing w:after="0"/>
              <w:rPr>
                <w:sz w:val="1"/>
                <w:szCs w:val="1"/>
                <w:color w:val="auto"/>
              </w:rPr>
            </w:pPr>
          </w:p>
        </w:tc>
      </w:tr>
      <w:tr>
        <w:trPr>
          <w:trHeight w:val="243"/>
        </w:trPr>
        <w:tc>
          <w:tcPr>
            <w:tcW w:w="82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Economic Earnings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34,428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31,308</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Economic EPS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97"/>
        </w:trPr>
        <w:tc>
          <w:tcPr>
            <w:tcW w:w="8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8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625" w:right="239" w:bottom="1440" w:gutter="0" w:footer="0" w:header="0"/>
        </w:sectPr>
      </w:pPr>
    </w:p>
    <w:bookmarkStart w:id="9" w:name="page10"/>
    <w:bookmarkEnd w:id="9"/>
    <w:p>
      <w:pPr>
        <w:ind w:right="5380"/>
        <w:spacing w:after="0" w:line="262" w:lineRule="auto"/>
        <w:rPr>
          <w:sz w:val="20"/>
          <w:szCs w:val="20"/>
          <w:color w:val="auto"/>
        </w:rPr>
      </w:pPr>
      <w:r>
        <w:rPr>
          <w:rFonts w:ascii="Arial" w:cs="Arial" w:eastAsia="Arial" w:hAnsi="Arial"/>
          <w:sz w:val="21"/>
          <w:szCs w:val="21"/>
          <w:b w:val="1"/>
          <w:bCs w:val="1"/>
          <w:color w:val="auto"/>
        </w:rPr>
        <w:t>WESTWOOD HOLDINGS GROUP, INC. AND SUBSIDIARIES CONDENSED CONSOLIDATED BALANCE SHEETS (in thousands, except par value and share amounts)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7"/>
                <w:szCs w:val="17"/>
                <w:color w:val="auto"/>
              </w:rPr>
            </w:pPr>
          </w:p>
        </w:tc>
        <w:tc>
          <w:tcPr>
            <w:tcW w:w="1460" w:type="dxa"/>
            <w:vAlign w:val="bottom"/>
            <w:vMerge w:val="restart"/>
          </w:tcPr>
          <w:p>
            <w:pPr>
              <w:jc w:val="right"/>
              <w:ind w:right="50"/>
              <w:spacing w:after="0"/>
              <w:rPr>
                <w:sz w:val="20"/>
                <w:szCs w:val="20"/>
                <w:color w:val="auto"/>
              </w:rPr>
            </w:pPr>
            <w:r>
              <w:rPr>
                <w:rFonts w:ascii="Arial" w:cs="Arial" w:eastAsia="Arial" w:hAnsi="Arial"/>
                <w:sz w:val="16"/>
                <w:szCs w:val="16"/>
                <w:b w:val="1"/>
                <w:bCs w:val="1"/>
                <w:color w:val="auto"/>
                <w:w w:val="90"/>
              </w:rPr>
              <w:t>December 31, 2017</w:t>
            </w:r>
          </w:p>
        </w:tc>
        <w:tc>
          <w:tcPr>
            <w:tcW w:w="0" w:type="dxa"/>
            <w:vAlign w:val="bottom"/>
          </w:tcPr>
          <w:p>
            <w:pPr>
              <w:spacing w:after="0"/>
              <w:rPr>
                <w:sz w:val="1"/>
                <w:szCs w:val="1"/>
                <w:color w:val="auto"/>
              </w:rPr>
            </w:pPr>
          </w:p>
        </w:tc>
      </w:tr>
      <w:tr>
        <w:trPr>
          <w:trHeight w:val="102"/>
        </w:trPr>
        <w:tc>
          <w:tcPr>
            <w:tcW w:w="8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0" w:type="dxa"/>
            <w:vAlign w:val="bottom"/>
            <w:vMerge w:val="restart"/>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54,249</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19,832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21,660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51,324</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Prepaid income taxes</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6,612</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141,818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138,114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19,804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27,144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16,379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19,804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 of $6,287 and $5,673</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7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192,627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192,659</w:t>
            </w:r>
          </w:p>
        </w:tc>
        <w:tc>
          <w:tcPr>
            <w:tcW w:w="0" w:type="dxa"/>
            <w:vAlign w:val="bottom"/>
          </w:tcPr>
          <w:p>
            <w:pPr>
              <w:spacing w:after="0"/>
              <w:rPr>
                <w:sz w:val="1"/>
                <w:szCs w:val="1"/>
                <w:color w:val="auto"/>
              </w:rPr>
            </w:pPr>
          </w:p>
        </w:tc>
      </w:tr>
      <w:tr>
        <w:trPr>
          <w:trHeight w:val="284"/>
        </w:trPr>
        <w:tc>
          <w:tcPr>
            <w:tcW w:w="8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payable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7,357</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Compensation and benefits payable</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12,726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19,075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37"/>
        </w:trPr>
        <w:tc>
          <w:tcPr>
            <w:tcW w:w="812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24,740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31,531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dividends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Noncurrent income taxes payable</w:t>
            </w: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27,955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36,263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Common stock, $0.01 par value, authorized 25,000,000 shares, issued 10,196,635 and outstanding</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5"/>
              </w:rPr>
              <w:t>9,018,436 shares at September 30, 2018; issued 9,980,827 and outstanding 8,899,587 shares at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December 31, 2017</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191,062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179,241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0"/>
              </w:rPr>
              <w:t>Treasury stock, at cost - 1,178,199 shares at September 30, 2018; 1,081,240 shares at December 31, 2017</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(49,788)</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31,549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28,607</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164,672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156,396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192,627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192,659</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882"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 thousands)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4"/>
          </w:tcPr>
          <w:p>
            <w:pPr>
              <w:jc w:val="right"/>
              <w:ind w:right="299"/>
              <w:spacing w:after="0"/>
              <w:rPr>
                <w:sz w:val="20"/>
                <w:szCs w:val="20"/>
                <w:color w:val="auto"/>
              </w:rPr>
            </w:pPr>
            <w:r>
              <w:rPr>
                <w:rFonts w:ascii="Arial" w:cs="Arial" w:eastAsia="Arial" w:hAnsi="Arial"/>
                <w:sz w:val="15"/>
                <w:szCs w:val="15"/>
                <w:b w:val="1"/>
                <w:bCs w:val="1"/>
                <w:color w:val="auto"/>
                <w:w w:val="98"/>
              </w:rPr>
              <w:t>Nine Months Ended September 30,</w:t>
            </w:r>
          </w:p>
        </w:tc>
      </w:tr>
      <w:tr>
        <w:trPr>
          <w:trHeight w:val="35"/>
        </w:trPr>
        <w:tc>
          <w:tcPr>
            <w:tcW w:w="83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9"/>
        </w:trPr>
        <w:tc>
          <w:tcPr>
            <w:tcW w:w="8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499"/>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9"/>
              <w:spacing w:after="0"/>
              <w:rPr>
                <w:sz w:val="20"/>
                <w:szCs w:val="20"/>
                <w:color w:val="auto"/>
              </w:rPr>
            </w:pPr>
            <w:r>
              <w:rPr>
                <w:rFonts w:ascii="Arial" w:cs="Arial" w:eastAsia="Arial" w:hAnsi="Arial"/>
                <w:sz w:val="15"/>
                <w:szCs w:val="15"/>
                <w:b w:val="1"/>
                <w:bCs w:val="1"/>
                <w:color w:val="auto"/>
              </w:rPr>
              <w:t>2017</w:t>
            </w:r>
          </w:p>
        </w:tc>
      </w:tr>
      <w:tr>
        <w:trPr>
          <w:trHeight w:val="35"/>
        </w:trPr>
        <w:tc>
          <w:tcPr>
            <w:tcW w:w="83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64"/>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OPERATING ACTIVITIES:</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21,338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17,092</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653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722</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1,449</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Unrealized (gains) losses on trading investments</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Stock 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12,298</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1,481</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Gain on sale of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Changes in operating assets and liabilities: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sales (purchases) of investments- trading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8,931</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1,537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1,686</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(3,881)</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178</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Accrued litigation settlement</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8,018</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Compensation and benefits payable</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(6,157)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(2,696)</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Income taxes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(5,181)</w:t>
            </w: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15,070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39,447</w:t>
            </w:r>
          </w:p>
        </w:tc>
      </w:tr>
      <w:tr>
        <w:trPr>
          <w:trHeight w:val="266"/>
        </w:trPr>
        <w:tc>
          <w:tcPr>
            <w:tcW w:w="8340" w:type="dxa"/>
            <w:vAlign w:val="bottom"/>
          </w:tcPr>
          <w:p>
            <w:pPr>
              <w:ind w:left="40"/>
              <w:spacing w:after="0"/>
              <w:rPr>
                <w:sz w:val="20"/>
                <w:szCs w:val="20"/>
                <w:color w:val="auto"/>
              </w:rPr>
            </w:pPr>
            <w:r>
              <w:rPr>
                <w:rFonts w:ascii="Arial" w:cs="Arial" w:eastAsia="Arial" w:hAnsi="Arial"/>
                <w:sz w:val="15"/>
                <w:szCs w:val="15"/>
                <w:b w:val="1"/>
                <w:bCs w:val="1"/>
                <w:color w:val="auto"/>
              </w:rPr>
              <w:t>CASH FLOWS FROM INVESTING ACTIVITIES:</w:t>
            </w: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property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Omaha divestiture</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340" w:type="dxa"/>
            <w:vAlign w:val="bottom"/>
          </w:tcPr>
          <w:p>
            <w:pPr>
              <w:ind w:left="94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3,912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(537)</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FINANCING ACTIVITIES:</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Purchase of treasury stock under employee stock plans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(1,326)</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stock returned for payment of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(5,231)</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Cash dividends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(18,825)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(16,787)</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(24,252)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(23,344)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Effect of currency rate changes on cash</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(893)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2,191</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NET CHANGE IN CASH AND CASH EQUIVALENTS</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17,757</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54,249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33,679</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48,086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51,436</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3"/>
        </w:trPr>
        <w:tc>
          <w:tcPr>
            <w:tcW w:w="8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cash flow information: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40"/>
              <w:spacing w:after="0"/>
              <w:rPr>
                <w:sz w:val="20"/>
                <w:szCs w:val="20"/>
                <w:color w:val="auto"/>
              </w:rPr>
            </w:pPr>
            <w:r>
              <w:rPr>
                <w:rFonts w:ascii="Arial" w:cs="Arial" w:eastAsia="Arial" w:hAnsi="Arial"/>
                <w:sz w:val="16"/>
                <w:szCs w:val="16"/>
                <w:color w:val="auto"/>
              </w:rPr>
              <w:t>Cash paid during the period for income taxes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5,634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10,245</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dividends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8,644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8,161</w:t>
            </w:r>
          </w:p>
        </w:tc>
      </w:tr>
      <w:tr>
        <w:trPr>
          <w:trHeight w:val="33"/>
        </w:trPr>
        <w:tc>
          <w:tcPr>
            <w:tcW w:w="8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625" w:right="239" w:bottom="1440" w:gutter="0" w:footer="0" w:header="0"/>
        </w:sectPr>
      </w:pPr>
    </w:p>
    <w:bookmarkStart w:id="11" w:name="page12"/>
    <w:bookmarkEnd w:id="11"/>
    <w:p>
      <w:pPr>
        <w:ind w:right="5380"/>
        <w:spacing w:after="0" w:line="262" w:lineRule="auto"/>
        <w:rPr>
          <w:sz w:val="20"/>
          <w:szCs w:val="20"/>
          <w:color w:val="auto"/>
        </w:rPr>
      </w:pPr>
      <w:r>
        <w:rPr>
          <w:rFonts w:ascii="Arial" w:cs="Arial" w:eastAsia="Arial" w:hAnsi="Arial"/>
          <w:sz w:val="21"/>
          <w:szCs w:val="21"/>
          <w:b w:val="1"/>
          <w:bCs w:val="1"/>
          <w:color w:val="auto"/>
        </w:rPr>
        <w:t>WESTWOOD HOLDINGS GROUP, INC. AND SUBSIDIARIES Reconciliation of Net Income to Economic Earnings (in thousands, except per share and share amounts)</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8"/>
          </w:tcPr>
          <w:p>
            <w:pPr>
              <w:jc w:val="right"/>
              <w:ind w:right="280"/>
              <w:spacing w:after="0"/>
              <w:rPr>
                <w:sz w:val="20"/>
                <w:szCs w:val="20"/>
                <w:color w:val="auto"/>
              </w:rPr>
            </w:pPr>
            <w:r>
              <w:rPr>
                <w:rFonts w:ascii="Arial" w:cs="Arial" w:eastAsia="Arial" w:hAnsi="Arial"/>
                <w:sz w:val="16"/>
                <w:szCs w:val="16"/>
                <w:b w:val="1"/>
                <w:bCs w:val="1"/>
                <w:color w:val="auto"/>
                <w:w w:val="98"/>
              </w:rPr>
              <w:t>Three Months Ended</w:t>
            </w:r>
          </w:p>
        </w:tc>
        <w:tc>
          <w:tcPr>
            <w:tcW w:w="1300" w:type="dxa"/>
            <w:vAlign w:val="bottom"/>
          </w:tcPr>
          <w:p>
            <w:pPr>
              <w:spacing w:after="0"/>
              <w:rPr>
                <w:sz w:val="18"/>
                <w:szCs w:val="18"/>
                <w:color w:val="auto"/>
              </w:rPr>
            </w:pPr>
          </w:p>
        </w:tc>
      </w:tr>
      <w:tr>
        <w:trPr>
          <w:trHeight w:val="47"/>
        </w:trPr>
        <w:tc>
          <w:tcPr>
            <w:tcW w:w="67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09"/>
        </w:trPr>
        <w:tc>
          <w:tcPr>
            <w:tcW w:w="6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72"/>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6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r>
      <w:tr>
        <w:trPr>
          <w:trHeight w:val="33"/>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7,992</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 Stock based compensation expense</w:t>
            </w:r>
          </w:p>
        </w:tc>
        <w:tc>
          <w:tcPr>
            <w:tcW w:w="18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3,695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3,776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4,233</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Add: Tax benefit from goodwill amortization</w:t>
            </w:r>
          </w:p>
        </w:tc>
        <w:tc>
          <w:tcPr>
            <w:tcW w:w="18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156</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9,541</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12,245</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8,990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8,598,230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8,543,353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8,420,749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Economic EPS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1.43</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1.07</w:t>
            </w:r>
          </w:p>
        </w:tc>
      </w:tr>
      <w:tr>
        <w:trPr>
          <w:trHeight w:val="656"/>
        </w:trPr>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7"/>
          </w:tcPr>
          <w:p>
            <w:pPr>
              <w:jc w:val="right"/>
              <w:ind w:right="352"/>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33"/>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5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592"/>
              <w:spacing w:after="0"/>
              <w:rPr>
                <w:sz w:val="20"/>
                <w:szCs w:val="20"/>
                <w:color w:val="auto"/>
              </w:rPr>
            </w:pPr>
            <w:r>
              <w:rPr>
                <w:rFonts w:ascii="Arial" w:cs="Arial" w:eastAsia="Arial" w:hAnsi="Arial"/>
                <w:sz w:val="16"/>
                <w:szCs w:val="16"/>
                <w:b w:val="1"/>
                <w:bCs w:val="1"/>
                <w:color w:val="auto"/>
              </w:rPr>
              <w:t>2017</w:t>
            </w:r>
          </w:p>
        </w:tc>
      </w:tr>
      <w:tr>
        <w:trPr>
          <w:trHeight w:val="47"/>
        </w:trPr>
        <w:tc>
          <w:tcPr>
            <w:tcW w:w="67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2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44"/>
        </w:trPr>
        <w:tc>
          <w:tcPr>
            <w:tcW w:w="6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17,092</w:t>
            </w:r>
          </w:p>
        </w:tc>
      </w:tr>
      <w:tr>
        <w:trPr>
          <w:trHeight w:val="243"/>
        </w:trPr>
        <w:tc>
          <w:tcPr>
            <w:tcW w:w="6740" w:type="dxa"/>
            <w:vAlign w:val="bottom"/>
          </w:tcPr>
          <w:p>
            <w:pPr>
              <w:ind w:left="60"/>
              <w:spacing w:after="0"/>
              <w:rPr>
                <w:sz w:val="20"/>
                <w:szCs w:val="20"/>
                <w:color w:val="auto"/>
              </w:rPr>
            </w:pPr>
            <w:r>
              <w:rPr>
                <w:rFonts w:ascii="Arial" w:cs="Arial" w:eastAsia="Arial" w:hAnsi="Arial"/>
                <w:sz w:val="18"/>
                <w:szCs w:val="18"/>
                <w:color w:val="auto"/>
              </w:rPr>
              <w:t>Add: Stock based compensation expense</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11,658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12,298</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Add: 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1,449</w:t>
            </w:r>
          </w:p>
        </w:tc>
      </w:tr>
      <w:tr>
        <w:trPr>
          <w:trHeight w:val="243"/>
        </w:trPr>
        <w:tc>
          <w:tcPr>
            <w:tcW w:w="6740" w:type="dxa"/>
            <w:vAlign w:val="bottom"/>
          </w:tcPr>
          <w:p>
            <w:pPr>
              <w:ind w:left="60"/>
              <w:spacing w:after="0"/>
              <w:rPr>
                <w:sz w:val="20"/>
                <w:szCs w:val="20"/>
                <w:color w:val="auto"/>
              </w:rPr>
            </w:pPr>
            <w:r>
              <w:rPr>
                <w:rFonts w:ascii="Arial" w:cs="Arial" w:eastAsia="Arial" w:hAnsi="Arial"/>
                <w:sz w:val="18"/>
                <w:szCs w:val="18"/>
                <w:color w:val="auto"/>
              </w:rPr>
              <w:t>Add: Tax benefit from goodwill amortization</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469</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Economic Earnings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34,428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31,308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8,561,918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8,350,926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Economic EPS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3.75</w:t>
            </w:r>
          </w:p>
        </w:tc>
      </w:tr>
    </w:tbl>
    <w:p>
      <w:pPr>
        <w:spacing w:after="0" w:line="200" w:lineRule="exact"/>
        <w:rPr>
          <w:sz w:val="20"/>
          <w:szCs w:val="20"/>
          <w:color w:val="auto"/>
        </w:rPr>
      </w:pPr>
    </w:p>
    <w:p>
      <w:pPr>
        <w:spacing w:after="0" w:line="332"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As supplemental information, we are providing non-GAAP performance measures that we refer to as Economic Earnings and Economic EPS. We provide these measures in addition to, not as a substitute for, net income and earnings per share, which are reported on a GAAP basis. Management reviews Economic Earnings and Economic EPS to evaluate Westwood’s ongoing performance, allocate resources, and review our dividend policy. We believe that these non-GAAP performance measures, while not substitutes for GAAP net income or earnings per share, are useful for management and investors when evaluating Westwood’s underlying operating and financial performance and its available resources. We do not advocate that investors consider these non-GAAP measures without also considering financial information prepared in accordance with GAAP.</w:t>
      </w:r>
    </w:p>
    <w:p>
      <w:pPr>
        <w:spacing w:after="0" w:line="19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We define Economic Earnings as net income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sectPr>
      <w:pgSz w:w="11900" w:h="16838" w:orient="portrait"/>
      <w:cols w:equalWidth="0" w:num="1">
        <w:col w:w="11420"/>
      </w:cols>
      <w:pgMar w:left="240" w:top="88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2019-12-28T19:00:00Z</dcterms:created>
  <dcterms:modified xsi:type="dcterms:W3CDTF">2019-12-28T19:00:00Z</dcterms:modified>
</cp:coreProperties>
</file>