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30, 2019</w:t>
      </w:r>
    </w:p>
    <w:p>
      <w:pPr>
        <w:spacing w:after="0" w:line="23"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w:t>
      </w:r>
    </w:p>
    <w:p>
      <w:pPr>
        <w:spacing w:after="0" w:line="224" w:lineRule="exact"/>
        <w:rPr>
          <w:sz w:val="24"/>
          <w:szCs w:val="24"/>
          <w:color w:val="auto"/>
        </w:rPr>
      </w:pPr>
    </w:p>
    <w:p>
      <w:pPr>
        <w:ind w:left="500"/>
        <w:spacing w:after="0"/>
        <w:tabs>
          <w:tab w:leader="none" w:pos="1340" w:val="left"/>
          <w:tab w:leader="none" w:pos="2300" w:val="left"/>
        </w:tabs>
        <w:rPr>
          <w:sz w:val="20"/>
          <w:szCs w:val="20"/>
          <w:color w:val="auto"/>
        </w:rPr>
      </w:pPr>
      <w:r>
        <w:rPr>
          <w:rFonts w:ascii="Arial" w:cs="Arial" w:eastAsia="Arial" w:hAnsi="Arial"/>
          <w:sz w:val="18"/>
          <w:szCs w:val="18"/>
          <w:color w:val="auto"/>
        </w:rPr>
        <w:t>Delaware</w:t>
        <w:tab/>
        <w:t>001-31234</w:t>
      </w:r>
      <w:r>
        <w:rPr>
          <w:sz w:val="20"/>
          <w:szCs w:val="20"/>
          <w:color w:val="auto"/>
        </w:rPr>
        <w:tab/>
      </w:r>
      <w:r>
        <w:rPr>
          <w:rFonts w:ascii="Arial" w:cs="Arial" w:eastAsia="Arial" w:hAnsi="Arial"/>
          <w:sz w:val="16"/>
          <w:szCs w:val="16"/>
          <w:color w:val="auto"/>
        </w:rPr>
        <w:t>75-2969997</w:t>
      </w:r>
    </w:p>
    <w:p>
      <w:pPr>
        <w:spacing w:after="0" w:line="23" w:lineRule="exact"/>
        <w:rPr>
          <w:sz w:val="24"/>
          <w:szCs w:val="24"/>
          <w:color w:val="auto"/>
        </w:rPr>
      </w:pPr>
    </w:p>
    <w:p>
      <w:pPr>
        <w:jc w:val="right"/>
        <w:ind w:right="7100"/>
        <w:spacing w:after="0"/>
        <w:tabs>
          <w:tab w:leader="none" w:pos="9320" w:val="left"/>
          <w:tab w:leader="none" w:pos="8160" w:val="left"/>
        </w:tabs>
        <w:rPr>
          <w:sz w:val="20"/>
          <w:szCs w:val="20"/>
          <w:color w:val="auto"/>
        </w:rPr>
      </w:pPr>
      <w:r>
        <w:rPr>
          <w:rFonts w:ascii="Arial" w:cs="Arial" w:eastAsia="Arial" w:hAnsi="Arial"/>
          <w:sz w:val="18"/>
          <w:szCs w:val="18"/>
          <w:color w:val="auto"/>
        </w:rPr>
        <w:t>(State or other jurisdiction</w:t>
        <w:tab/>
        <w:t>(Commission</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jc w:val="right"/>
        <w:ind w:right="7140"/>
        <w:spacing w:after="0"/>
        <w:tabs>
          <w:tab w:leader="none" w:pos="9620" w:val="left"/>
          <w:tab w:leader="none" w:pos="8460" w:val="left"/>
        </w:tabs>
        <w:rPr>
          <w:sz w:val="20"/>
          <w:szCs w:val="20"/>
          <w:color w:val="auto"/>
        </w:rPr>
      </w:pPr>
      <w:r>
        <w:rPr>
          <w:rFonts w:ascii="Arial" w:cs="Arial" w:eastAsia="Arial" w:hAnsi="Arial"/>
          <w:sz w:val="18"/>
          <w:szCs w:val="18"/>
          <w:color w:val="auto"/>
        </w:rPr>
        <w:t>of incorporation)</w:t>
        <w:tab/>
        <w:t>File Number)</w:t>
      </w:r>
      <w:r>
        <w:rPr>
          <w:sz w:val="20"/>
          <w:szCs w:val="20"/>
          <w:color w:val="auto"/>
        </w:rPr>
        <w:tab/>
      </w:r>
      <w:r>
        <w:rPr>
          <w:rFonts w:ascii="Arial" w:cs="Arial" w:eastAsia="Arial" w:hAnsi="Arial"/>
          <w:sz w:val="17"/>
          <w:szCs w:val="17"/>
          <w:color w:val="auto"/>
        </w:rPr>
        <w:t>Identification No.)</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4" w:lineRule="exact"/>
        <w:rPr>
          <w:sz w:val="24"/>
          <w:szCs w:val="24"/>
          <w:color w:val="auto"/>
        </w:rPr>
      </w:pPr>
    </w:p>
    <w:p>
      <w:pPr>
        <w:ind w:right="540" w:firstLine="324"/>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83" w:lineRule="exact"/>
        <w:rPr>
          <w:sz w:val="24"/>
          <w:szCs w:val="24"/>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9" w:lineRule="exact"/>
        <w:rPr>
          <w:sz w:val="24"/>
          <w:szCs w:val="24"/>
          <w:color w:val="auto"/>
        </w:rPr>
      </w:pPr>
    </w:p>
    <w:tbl>
      <w:tblPr>
        <w:tblLayout w:type="fixed"/>
        <w:tblInd w:w="62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90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r>
      <w:tr>
        <w:trPr>
          <w:trHeight w:val="438"/>
        </w:trPr>
        <w:tc>
          <w:tcPr>
            <w:tcW w:w="820" w:type="dxa"/>
            <w:vAlign w:val="bottom"/>
          </w:tcPr>
          <w:p>
            <w:pPr>
              <w:spacing w:after="0"/>
              <w:rPr>
                <w:sz w:val="24"/>
                <w:szCs w:val="24"/>
                <w:color w:val="auto"/>
              </w:rPr>
            </w:pPr>
          </w:p>
        </w:tc>
        <w:tc>
          <w:tcPr>
            <w:tcW w:w="23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Title of Each Class</w:t>
            </w:r>
          </w:p>
        </w:tc>
        <w:tc>
          <w:tcPr>
            <w:tcW w:w="3900" w:type="dxa"/>
            <w:vAlign w:val="bottom"/>
            <w:gridSpan w:val="3"/>
          </w:tcPr>
          <w:p>
            <w:pPr>
              <w:jc w:val="center"/>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1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1300" w:type="dxa"/>
            <w:vAlign w:val="bottom"/>
          </w:tcPr>
          <w:p>
            <w:pPr>
              <w:spacing w:after="0"/>
              <w:rPr>
                <w:sz w:val="24"/>
                <w:szCs w:val="24"/>
                <w:color w:val="auto"/>
              </w:rPr>
            </w:pPr>
          </w:p>
        </w:tc>
        <w:tc>
          <w:tcPr>
            <w:tcW w:w="260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WHG</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10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94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1" w:lineRule="exact"/>
        <w:rPr>
          <w:sz w:val="24"/>
          <w:szCs w:val="24"/>
          <w:color w:val="auto"/>
        </w:rPr>
      </w:pPr>
    </w:p>
    <w:p>
      <w:pPr>
        <w:ind w:right="380"/>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20"/>
          </w:cols>
          <w:pgMar w:left="240" w:top="733"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2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0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On October 30, 2019, Westwood Holdings Group, Inc. (“Westwood”) issued a press release entitled “Westwood Holdings Group, Inc. Reports Third Quarter 2019 Results; Maintains Dividend of $0.72 per Share, Equating to 10% Yield as of October 30, 2019”, a copy of which is furnished with this Current Report on Form 8-K as Exhibit 99.1.</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229"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$0.72 per common share, payable on January 2, 2020 to stockholders of record on December 6, 2019.</w:t>
      </w:r>
    </w:p>
    <w:p>
      <w:pPr>
        <w:spacing w:after="0" w:line="19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0"/>
                <w:szCs w:val="20"/>
                <w:color w:val="auto"/>
              </w:rPr>
            </w:pPr>
            <w:r>
              <w:rPr>
                <w:rFonts w:ascii="Arial" w:cs="Arial" w:eastAsia="Arial" w:hAnsi="Arial"/>
                <w:sz w:val="20"/>
                <w:szCs w:val="20"/>
                <w:color w:val="auto"/>
                <w:w w:val="93"/>
              </w:rPr>
              <w:t>Exhibit Number</w:t>
            </w:r>
          </w:p>
        </w:tc>
        <w:tc>
          <w:tcPr>
            <w:tcW w:w="9320" w:type="dxa"/>
            <w:vAlign w:val="bottom"/>
            <w:gridSpan w:val="2"/>
          </w:tcPr>
          <w:p>
            <w:pPr>
              <w:ind w:left="980"/>
              <w:spacing w:after="0"/>
              <w:rPr>
                <w:sz w:val="20"/>
                <w:szCs w:val="20"/>
                <w:color w:val="auto"/>
              </w:rPr>
            </w:pPr>
            <w:r>
              <w:rPr>
                <w:rFonts w:ascii="Arial" w:cs="Arial" w:eastAsia="Arial" w:hAnsi="Arial"/>
                <w:sz w:val="20"/>
                <w:szCs w:val="20"/>
                <w:color w:val="auto"/>
              </w:rPr>
              <w:t>Description</w:t>
            </w:r>
          </w:p>
        </w:tc>
      </w:tr>
      <w:tr>
        <w:trPr>
          <w:trHeight w:val="415"/>
        </w:trPr>
        <w:tc>
          <w:tcPr>
            <w:tcW w:w="1300" w:type="dxa"/>
            <w:vAlign w:val="bottom"/>
          </w:tcPr>
          <w:p>
            <w:pPr>
              <w:spacing w:after="0"/>
              <w:rPr>
                <w:sz w:val="20"/>
                <w:szCs w:val="20"/>
                <w:color w:val="auto"/>
              </w:rPr>
            </w:pPr>
            <w:r>
              <w:rPr>
                <w:rFonts w:ascii="Arial" w:cs="Arial" w:eastAsia="Arial" w:hAnsi="Arial"/>
                <w:sz w:val="20"/>
                <w:szCs w:val="20"/>
                <w:color w:val="auto"/>
              </w:rPr>
              <w:t>99.1</w:t>
            </w:r>
          </w:p>
        </w:tc>
        <w:tc>
          <w:tcPr>
            <w:tcW w:w="9320" w:type="dxa"/>
            <w:vAlign w:val="bottom"/>
            <w:tcBorders>
              <w:bottom w:val="single" w:sz="8" w:color="0000FF"/>
            </w:tcBorders>
            <w:gridSpan w:val="2"/>
          </w:tcPr>
          <w:p>
            <w:pPr>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Press Release dated October 30, 2019, entitled “Westwood Holdings Group, Inc. Reports Third Quarter 2019 Results;</w:t>
              </w:r>
            </w:hyperlink>
          </w:p>
        </w:tc>
      </w:tr>
      <w:tr>
        <w:trPr>
          <w:trHeight w:val="210"/>
        </w:trPr>
        <w:tc>
          <w:tcPr>
            <w:tcW w:w="1300" w:type="dxa"/>
            <w:vAlign w:val="bottom"/>
          </w:tcPr>
          <w:p>
            <w:pPr>
              <w:spacing w:after="0"/>
              <w:rPr>
                <w:sz w:val="18"/>
                <w:szCs w:val="18"/>
                <w:color w:val="auto"/>
              </w:rPr>
            </w:pPr>
          </w:p>
        </w:tc>
        <w:tc>
          <w:tcPr>
            <w:tcW w:w="9320" w:type="dxa"/>
            <w:vAlign w:val="bottom"/>
            <w:gridSpan w:val="2"/>
          </w:tcPr>
          <w:p>
            <w:pPr>
              <w:spacing w:after="0" w:line="209" w:lineRule="exact"/>
              <w:rPr>
                <w:rFonts w:ascii="Arial" w:cs="Arial" w:eastAsia="Arial" w:hAnsi="Arial"/>
                <w:sz w:val="20"/>
                <w:szCs w:val="20"/>
                <w:color w:val="0000FF"/>
              </w:rPr>
            </w:pPr>
            <w:hyperlink w:anchor="page5">
              <w:r>
                <w:rPr>
                  <w:rFonts w:ascii="Arial" w:cs="Arial" w:eastAsia="Arial" w:hAnsi="Arial"/>
                  <w:sz w:val="20"/>
                  <w:szCs w:val="20"/>
                  <w:color w:val="0000FF"/>
                </w:rPr>
                <w:t xml:space="preserve">Maintains Dividend of </w:t>
              </w:r>
              <w:r>
                <w:rPr>
                  <w:rFonts w:ascii="Arial" w:cs="Arial" w:eastAsia="Arial" w:hAnsi="Arial"/>
                  <w:sz w:val="20"/>
                  <w:szCs w:val="20"/>
                  <w:u w:val="single" w:color="auto"/>
                  <w:color w:val="0000FF"/>
                </w:rPr>
                <w:t>$</w:t>
              </w:r>
              <w:r>
                <w:rPr>
                  <w:rFonts w:ascii="Arial" w:cs="Arial" w:eastAsia="Arial" w:hAnsi="Arial"/>
                  <w:sz w:val="20"/>
                  <w:szCs w:val="20"/>
                  <w:color w:val="0000FF"/>
                </w:rPr>
                <w:t>0.72 per Share, Equating to 10% Yield as of October 30, 2019”</w:t>
              </w:r>
            </w:hyperlink>
          </w:p>
        </w:tc>
      </w:tr>
      <w:tr>
        <w:trPr>
          <w:trHeight w:val="20"/>
        </w:trPr>
        <w:tc>
          <w:tcPr>
            <w:tcW w:w="1300" w:type="dxa"/>
            <w:vAlign w:val="bottom"/>
          </w:tcPr>
          <w:p>
            <w:pPr>
              <w:spacing w:after="0" w:line="20" w:lineRule="exact"/>
              <w:rPr>
                <w:sz w:val="1"/>
                <w:szCs w:val="1"/>
                <w:color w:val="auto"/>
              </w:rPr>
            </w:pPr>
          </w:p>
        </w:tc>
        <w:tc>
          <w:tcPr>
            <w:tcW w:w="69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ectPr>
          <w:pgSz w:w="11900" w:h="16838" w:orient="portrait"/>
          <w:cols w:equalWidth="0" w:num="1">
            <w:col w:w="11380"/>
          </w:cols>
          <w:pgMar w:left="240" w:top="58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October 30, 2019</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30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73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Murray Forbes III</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58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439"/>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94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20" w:type="dxa"/>
            <w:vAlign w:val="bottom"/>
            <w:tcBorders>
              <w:bottom w:val="single" w:sz="8" w:color="0000FF"/>
            </w:tcBorders>
            <w:gridSpan w:val="5"/>
          </w:tcPr>
          <w:p>
            <w:pPr>
              <w:spacing w:after="0"/>
              <w:rPr>
                <w:rFonts w:ascii="Arial" w:cs="Arial" w:eastAsia="Arial" w:hAnsi="Arial"/>
                <w:sz w:val="22"/>
                <w:szCs w:val="22"/>
                <w:color w:val="0000FF"/>
                <w:w w:val="88"/>
              </w:rPr>
            </w:pPr>
            <w:hyperlink w:anchor="page5">
              <w:r>
                <w:rPr>
                  <w:rFonts w:ascii="Arial" w:cs="Arial" w:eastAsia="Arial" w:hAnsi="Arial"/>
                  <w:sz w:val="22"/>
                  <w:szCs w:val="22"/>
                  <w:color w:val="0000FF"/>
                  <w:w w:val="88"/>
                </w:rPr>
                <w:t>Press Release dated October 30, 2019, entitled “Westwood Holdings Group, Inc. Reports Third Quarter 2019</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20" w:type="dxa"/>
            <w:vAlign w:val="bottom"/>
            <w:gridSpan w:val="5"/>
          </w:tcPr>
          <w:p>
            <w:pPr>
              <w:spacing w:after="0" w:line="237" w:lineRule="exact"/>
              <w:rPr>
                <w:rFonts w:ascii="Arial" w:cs="Arial" w:eastAsia="Arial" w:hAnsi="Arial"/>
                <w:sz w:val="22"/>
                <w:szCs w:val="22"/>
                <w:color w:val="0000FF"/>
              </w:rPr>
            </w:pPr>
            <w:hyperlink w:anchor="page5">
              <w:r>
                <w:rPr>
                  <w:rFonts w:ascii="Arial" w:cs="Arial" w:eastAsia="Arial" w:hAnsi="Arial"/>
                  <w:sz w:val="22"/>
                  <w:szCs w:val="22"/>
                  <w:color w:val="0000FF"/>
                </w:rPr>
                <w:t xml:space="preserve">Results; Maintains Dividend of </w:t>
              </w:r>
              <w:r>
                <w:rPr>
                  <w:rFonts w:ascii="Arial" w:cs="Arial" w:eastAsia="Arial" w:hAnsi="Arial"/>
                  <w:sz w:val="22"/>
                  <w:szCs w:val="22"/>
                  <w:u w:val="single" w:color="auto"/>
                  <w:color w:val="0000FF"/>
                </w:rPr>
                <w:t>$</w:t>
              </w:r>
              <w:r>
                <w:rPr>
                  <w:rFonts w:ascii="Arial" w:cs="Arial" w:eastAsia="Arial" w:hAnsi="Arial"/>
                  <w:sz w:val="22"/>
                  <w:szCs w:val="22"/>
                  <w:color w:val="0000FF"/>
                </w:rPr>
                <w:t>0.72 per Share, Equating to 10% Yield as of October 30, 2019”</w:t>
              </w:r>
            </w:hyperlink>
          </w:p>
        </w:tc>
      </w:tr>
      <w:tr>
        <w:trPr>
          <w:trHeight w:val="20"/>
        </w:trPr>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ectPr>
          <w:pgSz w:w="11900" w:h="16838" w:orient="portrait"/>
          <w:cols w:equalWidth="0" w:num="1">
            <w:col w:w="11380"/>
          </w:cols>
          <w:pgMar w:left="240" w:top="787"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Third Quarter 2019 Results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Maintains Dividend of $0.72 per Share, Equating to 10% Yield as of October 30, 2019</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Dallas, TX, October 30, 2019 – Westwood Holdings Group, Inc. (NYSE: WHG) today reported third quarter 2019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4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Revenues of $19.9 million compared with $21.7 million in the second quarter and $29.9 million in last year's third quarter.</w:t>
      </w:r>
    </w:p>
    <w:p>
      <w:pPr>
        <w:spacing w:after="0" w:line="200" w:lineRule="exact"/>
        <w:rPr>
          <w:rFonts w:ascii="Arial" w:cs="Arial" w:eastAsia="Arial" w:hAnsi="Arial"/>
          <w:sz w:val="19"/>
          <w:szCs w:val="19"/>
          <w:color w:val="auto"/>
        </w:rPr>
      </w:pPr>
    </w:p>
    <w:p>
      <w:pPr>
        <w:jc w:val="both"/>
        <w:ind w:left="660" w:hanging="328"/>
        <w:spacing w:after="0" w:line="25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of $1.1 million compared with $1.9 million in the second quarter and $5.4 million in last year's third quarter. Non-GAAP Economic Earnings of $3.9 million compared with $4.8 million in the second quarter of 2019 and $9.5 million in the third quarter of 2018.</w:t>
      </w:r>
    </w:p>
    <w:p>
      <w:pPr>
        <w:spacing w:after="0" w:line="13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All of our U.S. Value, Multi-Asset and Emerging Markets teams outperformed their primary benchmarks.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Top decile performance was achieved by our Income Opportunity, LargeCap Value and Flexible Income teams, and our LargeCap Select, SMidCap Value and Select Equity teams posted top quartile performance.</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Repurchased 16,522 shares of our common stock for an aggregate purchase price of $0.5 million.</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At quarter-end, Westwood had $101.2 million in cash and short-term investments, stockholders’ equity of $150.1 million and no debt.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Revenues of $19.9 million decreased $1.8 million from the second quarter and $10.0 million from last year's third quarter on lower average assets under management ("AUM") resulting from net outflows.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AUM at September 30, 2019 totaled $15.0 billion compared to $15.4 billion at June 30, 2019 and $20.8 billion at September 30, 2018.</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Third quarter net income of $1.1 million compared with $1.9 million in the second quarter. The decrease was primarily due to lower total revenues, partially offset by foreign currency transaction gains in the current quarter. Diluted earnings per share of $0.13 compared to $0.22 for the second quarter. Non-GAAP Economic Earnings of $3.9 million, or $0.46 per share, compared to $4.8 million, or $0.56 per share, in the second quarter.</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Third quarter net income of $1.1 million compared with $5.4 million in last year's third quarter. The decrease was due to lower total revenues, partially offset by lower incentive compensation expense and foreign currency transaction gains in the current quarter. Non-GAAP Economic Earnings decreased from $9.5 million, or $1.11 per share, in the third quarter of 2018, to $3.9 million, or $0.46 per share, in the current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Brian Casey, Westwood’s President &amp; CEO, commented, "Our overall investment performance excelled in the third quarter with all of our U.S. Value, Multi-Asset and Emerging Markets teams outperforming their primary benchmarks, and we have been transforming in the face of industry headwinds. We have made a dedicated commitment to building distribution and spent most of the last year implementing systems and infrastructure to support the talented professionals now in the field. Our expanded and reorganized institutional and intermediary sales teams are generating significant meeting activity and growing our new business opportunity pipeline, and we continue to strengthen our relationships with intermediaries, clients and consultants. We have evolved our private wealth model to include private equity and expanded our financial planning, estate planning and private banking services. We have installed transformative technology including a private wealth platform dedicated to connecting digitally with younger generations. We have made significant investments in developing new products, rationalizing legacy products and fortifying our mutual fund product lineup. Our product management and investment teams continue to work closely to ensure our product offerings are properly aligned for commercial success and focused in areas where we can add value and grow assets under management. We believe these efforts position us well to be competitive in the future."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Westwood’s Board of Directors declared a quarterly cash dividend of $0.72 per common share, payable on January 2, 2020 to stockholders of record on December 6, 2019.</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third quarter 2019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November 6, 2019 by dialing 855-859-2056 (domestic and Canada) or 404-537-3406 (international) and then entering the passcode 1853697.</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Westwood Holdings Group, Inc. provides investment management services to institutional investors, private wealth clients and financial intermediaries. The firm has $15.0 billion in assets under management, of which $2.3 billion are in values-based and socially responsible investment mandates as of September 30, 2019.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63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2018 and its quarterly reports on Form 10-Q for the quarters ended March 31, 2019, June 30, 2019 and September 30, 2019.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SVP, 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September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1"/>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2,332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2,431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18,366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22,703</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7,151</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5,368</w:t>
            </w: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r>
      <w:tr>
        <w:trPr>
          <w:trHeight w:val="29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8,432,598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8,446,610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8,402,697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8,470,673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8,476,777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8,598,230</w:t>
            </w:r>
          </w:p>
        </w:tc>
      </w:tr>
      <w:tr>
        <w:trPr>
          <w:trHeight w:val="29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Economic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0.72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0.68</w:t>
            </w: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2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8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69,979</w:t>
            </w:r>
          </w:p>
        </w:tc>
      </w:tr>
      <w:tr>
        <w:trPr>
          <w:trHeight w:val="243"/>
        </w:trPr>
        <w:tc>
          <w:tcPr>
            <w:tcW w:w="8500" w:type="dxa"/>
            <w:vAlign w:val="bottom"/>
          </w:tcPr>
          <w:p>
            <w:pPr>
              <w:ind w:left="700"/>
              <w:spacing w:after="0"/>
              <w:rPr>
                <w:sz w:val="20"/>
                <w:szCs w:val="20"/>
                <w:color w:val="auto"/>
              </w:rPr>
            </w:pPr>
            <w:r>
              <w:rPr>
                <w:rFonts w:ascii="Arial" w:cs="Arial" w:eastAsia="Arial" w:hAnsi="Arial"/>
                <w:sz w:val="18"/>
                <w:szCs w:val="18"/>
                <w:color w:val="auto"/>
              </w:rPr>
              <w:t>Performance-based</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2,984</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22,265</w:t>
            </w: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953</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96,181</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46,857</w:t>
            </w: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1,401</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2,966</w:t>
            </w: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6,753</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3,677</w:t>
            </w: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7,300</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foreign currency transactions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37"/>
        </w:trPr>
        <w:tc>
          <w:tcPr>
            <w:tcW w:w="85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59,862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68,131</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28,050</w:t>
            </w:r>
          </w:p>
        </w:tc>
      </w:tr>
      <w:tr>
        <w:trPr>
          <w:trHeight w:val="237"/>
        </w:trPr>
        <w:tc>
          <w:tcPr>
            <w:tcW w:w="850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5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28,574</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7,236</w:t>
            </w:r>
          </w:p>
        </w:tc>
      </w:tr>
      <w:tr>
        <w:trPr>
          <w:trHeight w:val="29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21,338</w:t>
            </w:r>
          </w:p>
        </w:tc>
      </w:tr>
      <w:tr>
        <w:trPr>
          <w:trHeight w:val="237"/>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500" w:type="dxa"/>
            <w:vAlign w:val="bottom"/>
          </w:tcPr>
          <w:p>
            <w:pPr>
              <w:ind w:left="5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7"/>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20,276</w:t>
            </w:r>
          </w:p>
        </w:tc>
      </w:tr>
      <w:tr>
        <w:trPr>
          <w:trHeight w:val="20"/>
        </w:trPr>
        <w:tc>
          <w:tcPr>
            <w:tcW w:w="8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7"/>
        </w:trPr>
        <w:tc>
          <w:tcPr>
            <w:tcW w:w="8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2.55</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97"/>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00" w:type="dxa"/>
            <w:vAlign w:val="bottom"/>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8,414,317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8,359,088</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8,467,823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8,561,918</w:t>
            </w:r>
          </w:p>
        </w:tc>
      </w:tr>
      <w:tr>
        <w:trPr>
          <w:trHeight w:val="297"/>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34,428</w:t>
            </w: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Economic EPS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w:t>
            </w: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8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2.04</w:t>
            </w:r>
          </w:p>
        </w:tc>
      </w:tr>
    </w:tbl>
    <w:p>
      <w:pPr>
        <w:sectPr>
          <w:pgSz w:w="11900" w:h="16838" w:orient="portrait"/>
          <w:cols w:equalWidth="0" w:num="1">
            <w:col w:w="11380"/>
          </w:cols>
          <w:pgMar w:left="240" w:top="625" w:right="279" w:bottom="1440" w:gutter="0" w:footer="0" w:header="0"/>
        </w:sectPr>
      </w:pPr>
    </w:p>
    <w:bookmarkStart w:id="9" w:name="page10"/>
    <w:bookmarkEnd w:id="9"/>
    <w:p>
      <w:pPr>
        <w:ind w:right="514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gridSpan w:val="2"/>
            <w:vMerge w:val="restart"/>
          </w:tcPr>
          <w:p>
            <w:pPr>
              <w:jc w:val="right"/>
              <w:ind w:right="30"/>
              <w:spacing w:after="0"/>
              <w:rPr>
                <w:sz w:val="20"/>
                <w:szCs w:val="20"/>
                <w:color w:val="auto"/>
              </w:rPr>
            </w:pPr>
            <w:r>
              <w:rPr>
                <w:rFonts w:ascii="Arial" w:cs="Arial" w:eastAsia="Arial" w:hAnsi="Arial"/>
                <w:sz w:val="16"/>
                <w:szCs w:val="16"/>
                <w:b w:val="1"/>
                <w:bCs w:val="1"/>
                <w:color w:val="auto"/>
                <w:w w:val="95"/>
              </w:rPr>
              <w:t>December 31, 2018</w:t>
            </w:r>
          </w:p>
        </w:tc>
        <w:tc>
          <w:tcPr>
            <w:tcW w:w="0" w:type="dxa"/>
            <w:vAlign w:val="bottom"/>
          </w:tcPr>
          <w:p>
            <w:pPr>
              <w:spacing w:after="0"/>
              <w:rPr>
                <w:sz w:val="1"/>
                <w:szCs w:val="1"/>
                <w:color w:val="auto"/>
              </w:rPr>
            </w:pPr>
          </w:p>
        </w:tc>
      </w:tr>
      <w:tr>
        <w:trPr>
          <w:trHeight w:val="102"/>
        </w:trPr>
        <w:tc>
          <w:tcPr>
            <w:tcW w:w="7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vMerge w:val="restart"/>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52,449</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12,872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117,661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139,739</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15,701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$7,144 and $6,462</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tcPr>
          <w:p>
            <w:pPr>
              <w:ind w:left="7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177,313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84"/>
        </w:trPr>
        <w:tc>
          <w:tcPr>
            <w:tcW w:w="7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21"/>
                <w:szCs w:val="21"/>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Compensation and benefits payable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6,858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27,254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$0.01 par value, authorized 25,000,000 shares, issued 10,314,305 and outstanding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0"/>
              </w:rPr>
              <w:t>8,906,152 shares at September 30, 2019; issued 10,182,583 and outstanding 8,904,902 shares at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202,278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194,116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- 1,408,152 shares at September 30, 2019; 1,277,681 shares at December 31,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(58,711)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150,059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161,149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177,313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882" w:right="47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35"/>
        </w:trPr>
        <w:tc>
          <w:tcPr>
            <w:tcW w:w="83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99"/>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5"/>
                <w:szCs w:val="15"/>
                <w:b w:val="1"/>
                <w:bCs w:val="1"/>
                <w:color w:val="auto"/>
              </w:rPr>
              <w:t>2018</w:t>
            </w:r>
          </w:p>
        </w:tc>
      </w:tr>
      <w:tr>
        <w:trPr>
          <w:trHeight w:val="35"/>
        </w:trPr>
        <w:tc>
          <w:tcPr>
            <w:tcW w:w="8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21,338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Non-cash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Gain on sale of subsidiary</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Net sales (purchases) of investments- trading securities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23,438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(19,824)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1,537</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4,185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(6,157)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15,070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10,013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to internally developed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(5,425)</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(18,825)</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54,249</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58,372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48,086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5,634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dividends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8,644</w:t>
            </w:r>
          </w:p>
        </w:tc>
      </w:tr>
      <w:tr>
        <w:trPr>
          <w:trHeight w:val="33"/>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jc w:val="center"/>
              <w:ind w:left="19"/>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7"/>
        </w:trPr>
        <w:tc>
          <w:tcPr>
            <w:tcW w:w="2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Add: Stock based compensation expense</w:t>
            </w: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3,695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4,773</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9,541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8,470,673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8,476,777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8,598,230</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r>
      <w:tr>
        <w:trPr>
          <w:trHeight w:val="656"/>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6"/>
          </w:tcPr>
          <w:p>
            <w:pPr>
              <w:jc w:val="right"/>
              <w:ind w:right="332"/>
              <w:spacing w:after="0"/>
              <w:rPr>
                <w:sz w:val="20"/>
                <w:szCs w:val="20"/>
                <w:color w:val="auto"/>
              </w:rPr>
            </w:pPr>
            <w:r>
              <w:rPr>
                <w:rFonts w:ascii="Arial" w:cs="Arial" w:eastAsia="Arial" w:hAnsi="Arial"/>
                <w:sz w:val="16"/>
                <w:szCs w:val="16"/>
                <w:b w:val="1"/>
                <w:bCs w:val="1"/>
                <w:color w:val="auto"/>
                <w:w w:val="92"/>
              </w:rPr>
              <w:t>Nine Months Ended September 30,</w:t>
            </w: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Add: Stock based compensation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11,658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34,428</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8,467,823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8,561,918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21"/>
                <w:szCs w:val="21"/>
                <w:color w:val="auto"/>
              </w:rPr>
            </w:pPr>
          </w:p>
        </w:tc>
      </w:tr>
    </w:tbl>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2019-12-28T04:33:12Z</dcterms:created>
  <dcterms:modified xsi:type="dcterms:W3CDTF">2019-12-28T04:33:12Z</dcterms:modified>
</cp:coreProperties>
</file>