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April 26, 2023</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5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8"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976"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976"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976"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6"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3"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786130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76" w:right="539" w:bottom="1440" w:gutter="0" w:footer="0" w:header="0"/>
          <w:type w:val="continuous"/>
        </w:sectPr>
      </w:pPr>
    </w:p>
    <w:bookmarkStart w:id="1" w:name="page2"/>
    <w:bookmarkEnd w:id="1"/>
    <w:p>
      <w:pPr>
        <w:ind w:left="900" w:right="18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1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previously announced and as further described under Item 5.07, on April 26, 2023, Westwood Holdings Group, Inc. (the “Company”) virtually held its annual meeting of stockholders (the “Annual Meeting”).</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stockholders approved the Ninth Amended and Restated Westwood Holdings Group, Inc. Stock Incentive Plan (the “Incentive Plan”). The material revisions included:</w:t>
      </w:r>
    </w:p>
    <w:p>
      <w:pPr>
        <w:spacing w:after="0" w:line="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350,000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17, 2023.</w:t>
      </w:r>
    </w:p>
    <w:p>
      <w:pPr>
        <w:spacing w:after="0" w:line="21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the Annual Meeting, the following Proposals 1, 2, 3, 4 and 5 were approved by the Company’s stockholders. No other business was brought before the Annual Meeting. The Proposals are described in detail in the Company’s definitive proxy statement filed with the SEC on March 17, 2023. The voting results for the Annual Meeting are set forth below.</w:t>
      </w:r>
    </w:p>
    <w:p>
      <w:pPr>
        <w:spacing w:after="0" w:line="143" w:lineRule="exact"/>
        <w:rPr>
          <w:sz w:val="20"/>
          <w:szCs w:val="20"/>
          <w:color w:val="auto"/>
        </w:rPr>
      </w:pPr>
    </w:p>
    <w:p>
      <w:pPr>
        <w:ind w:left="580" w:right="380" w:hanging="329"/>
        <w:spacing w:after="0" w:line="269" w:lineRule="auto"/>
        <w:tabs>
          <w:tab w:leader="none" w:pos="57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tbl>
      <w:tblPr>
        <w:tblLayout w:type="fixed"/>
        <w:tblInd w:w="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Nominee</w:t>
            </w:r>
          </w:p>
        </w:tc>
        <w:tc>
          <w:tcPr>
            <w:tcW w:w="1660" w:type="dxa"/>
            <w:vAlign w:val="bottom"/>
            <w:gridSpan w:val="2"/>
          </w:tcPr>
          <w:p>
            <w:pPr>
              <w:ind w:left="660"/>
              <w:spacing w:after="0"/>
              <w:rPr>
                <w:sz w:val="20"/>
                <w:szCs w:val="20"/>
                <w:color w:val="auto"/>
              </w:rPr>
            </w:pPr>
            <w:r>
              <w:rPr>
                <w:rFonts w:ascii="Arial" w:cs="Arial" w:eastAsia="Arial" w:hAnsi="Arial"/>
                <w:sz w:val="14"/>
                <w:szCs w:val="14"/>
                <w:b w:val="1"/>
                <w:bCs w:val="1"/>
                <w:color w:val="auto"/>
              </w:rPr>
              <w:t>For</w:t>
            </w: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Against</w:t>
            </w: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Abstain</w:t>
            </w:r>
          </w:p>
        </w:tc>
        <w:tc>
          <w:tcPr>
            <w:tcW w:w="1560" w:type="dxa"/>
            <w:vAlign w:val="bottom"/>
          </w:tcPr>
          <w:p>
            <w:pPr>
              <w:jc w:val="right"/>
              <w:ind w:right="173"/>
              <w:spacing w:after="0"/>
              <w:rPr>
                <w:sz w:val="20"/>
                <w:szCs w:val="20"/>
                <w:color w:val="auto"/>
              </w:rPr>
            </w:pPr>
            <w:r>
              <w:rPr>
                <w:rFonts w:ascii="Arial" w:cs="Arial" w:eastAsia="Arial" w:hAnsi="Arial"/>
                <w:sz w:val="14"/>
                <w:szCs w:val="14"/>
                <w:b w:val="1"/>
                <w:bCs w:val="1"/>
                <w:color w:val="auto"/>
              </w:rPr>
              <w:t>Broker Non-Vote</w:t>
            </w:r>
          </w:p>
        </w:tc>
      </w:tr>
      <w:tr>
        <w:trPr>
          <w:trHeight w:val="26"/>
        </w:trPr>
        <w:tc>
          <w:tcPr>
            <w:tcW w:w="4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5,080,423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1,229,505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795,504</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Richard M. Frank</w:t>
            </w:r>
          </w:p>
        </w:tc>
        <w:tc>
          <w:tcPr>
            <w:tcW w:w="1560" w:type="dxa"/>
            <w:vAlign w:val="bottom"/>
          </w:tcPr>
          <w:p>
            <w:pPr>
              <w:jc w:val="right"/>
              <w:spacing w:after="0"/>
              <w:rPr>
                <w:sz w:val="20"/>
                <w:szCs w:val="20"/>
                <w:color w:val="auto"/>
              </w:rPr>
            </w:pPr>
            <w:r>
              <w:rPr>
                <w:rFonts w:ascii="Arial" w:cs="Arial" w:eastAsia="Arial" w:hAnsi="Arial"/>
                <w:sz w:val="18"/>
                <w:szCs w:val="18"/>
                <w:color w:val="auto"/>
              </w:rPr>
              <w:t>4,912,032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1,408,977</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795,504</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4,384,377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1,851,765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195,968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795,504</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Ellen H. Masterson</w:t>
            </w:r>
          </w:p>
        </w:tc>
        <w:tc>
          <w:tcPr>
            <w:tcW w:w="1560" w:type="dxa"/>
            <w:vAlign w:val="bottom"/>
          </w:tcPr>
          <w:p>
            <w:pPr>
              <w:jc w:val="right"/>
              <w:spacing w:after="0"/>
              <w:rPr>
                <w:sz w:val="20"/>
                <w:szCs w:val="20"/>
                <w:color w:val="auto"/>
              </w:rPr>
            </w:pPr>
            <w:r>
              <w:rPr>
                <w:rFonts w:ascii="Arial" w:cs="Arial" w:eastAsia="Arial" w:hAnsi="Arial"/>
                <w:sz w:val="18"/>
                <w:szCs w:val="18"/>
                <w:color w:val="auto"/>
              </w:rPr>
              <w:t>4,968,480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1,352,529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111,101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795,504</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4,938,950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1,382,015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795,504</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Randy A. Bowman</w:t>
            </w:r>
          </w:p>
        </w:tc>
        <w:tc>
          <w:tcPr>
            <w:tcW w:w="1560" w:type="dxa"/>
            <w:vAlign w:val="bottom"/>
          </w:tcPr>
          <w:p>
            <w:pPr>
              <w:jc w:val="right"/>
              <w:spacing w:after="0"/>
              <w:rPr>
                <w:sz w:val="20"/>
                <w:szCs w:val="20"/>
                <w:color w:val="auto"/>
              </w:rPr>
            </w:pPr>
            <w:r>
              <w:rPr>
                <w:rFonts w:ascii="Arial" w:cs="Arial" w:eastAsia="Arial" w:hAnsi="Arial"/>
                <w:sz w:val="18"/>
                <w:szCs w:val="18"/>
                <w:color w:val="auto"/>
              </w:rPr>
              <w:t>5,167,865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1,137,933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126,312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795,504</w:t>
            </w:r>
          </w:p>
        </w:tc>
      </w:tr>
    </w:tbl>
    <w:p>
      <w:pPr>
        <w:spacing w:after="0" w:line="200" w:lineRule="exact"/>
        <w:rPr>
          <w:sz w:val="20"/>
          <w:szCs w:val="20"/>
          <w:color w:val="auto"/>
        </w:rPr>
      </w:pPr>
    </w:p>
    <w:p>
      <w:pPr>
        <w:spacing w:after="0" w:line="244" w:lineRule="exact"/>
        <w:rPr>
          <w:sz w:val="20"/>
          <w:szCs w:val="20"/>
          <w:color w:val="auto"/>
        </w:rPr>
      </w:pPr>
    </w:p>
    <w:p>
      <w:pPr>
        <w:ind w:left="580" w:right="160" w:hanging="323"/>
        <w:spacing w:after="0" w:line="26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BDO USA, LLP as the Company’s independent auditors for the year ending December 31, 2023. The voting results for this Proposal 2 were as follows:</w:t>
      </w:r>
    </w:p>
    <w:tbl>
      <w:tblPr>
        <w:tblLayout w:type="fixed"/>
        <w:tblInd w:w="40" w:type="dxa"/>
        <w:tblCellMar>
          <w:top w:w="0" w:type="dxa"/>
          <w:left w:w="0" w:type="dxa"/>
          <w:bottom w:w="0" w:type="dxa"/>
          <w:right w:w="0" w:type="dxa"/>
        </w:tblCellMar>
      </w:tblPr>
      <w:tr>
        <w:trPr>
          <w:trHeight w:val="186"/>
        </w:trPr>
        <w:tc>
          <w:tcPr>
            <w:tcW w:w="3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Against</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5"/>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3"/>
        </w:trPr>
        <w:tc>
          <w:tcPr>
            <w:tcW w:w="3640" w:type="dxa"/>
            <w:vAlign w:val="bottom"/>
            <w:shd w:val="clear" w:color="auto" w:fill="CCEEFF"/>
          </w:tcPr>
          <w:p>
            <w:pPr>
              <w:jc w:val="right"/>
              <w:ind w:right="1379"/>
              <w:spacing w:after="0"/>
              <w:rPr>
                <w:sz w:val="20"/>
                <w:szCs w:val="20"/>
                <w:color w:val="auto"/>
              </w:rPr>
            </w:pPr>
            <w:r>
              <w:rPr>
                <w:rFonts w:ascii="Arial" w:cs="Arial" w:eastAsia="Arial" w:hAnsi="Arial"/>
                <w:sz w:val="18"/>
                <w:szCs w:val="18"/>
                <w:color w:val="auto"/>
              </w:rPr>
              <w:t>6,989,735</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right"/>
              <w:ind w:right="1539"/>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right"/>
              <w:ind w:right="1459"/>
              <w:spacing w:after="0"/>
              <w:rPr>
                <w:sz w:val="20"/>
                <w:szCs w:val="20"/>
                <w:color w:val="auto"/>
              </w:rPr>
            </w:pPr>
            <w:r>
              <w:rPr>
                <w:rFonts w:ascii="Arial" w:cs="Arial" w:eastAsia="Arial" w:hAnsi="Arial"/>
                <w:sz w:val="18"/>
                <w:szCs w:val="18"/>
                <w:color w:val="auto"/>
              </w:rPr>
              <w:t>236,300</w:t>
            </w:r>
          </w:p>
        </w:tc>
      </w:tr>
    </w:tbl>
    <w:p>
      <w:pPr>
        <w:spacing w:after="0" w:line="200" w:lineRule="exact"/>
        <w:rPr>
          <w:sz w:val="20"/>
          <w:szCs w:val="20"/>
          <w:color w:val="auto"/>
        </w:rPr>
      </w:pPr>
    </w:p>
    <w:p>
      <w:pPr>
        <w:spacing w:after="0" w:line="231" w:lineRule="exact"/>
        <w:rPr>
          <w:sz w:val="20"/>
          <w:szCs w:val="20"/>
          <w:color w:val="auto"/>
        </w:rPr>
      </w:pPr>
    </w:p>
    <w:p>
      <w:pPr>
        <w:ind w:left="580" w:right="120" w:hanging="323"/>
        <w:spacing w:after="0" w:line="26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Ninth Amended and Restated Westwood Holdings Group, Inc. Stock Incentive Plan. The voting results for this Proposal 3 were as follows:</w:t>
      </w:r>
    </w:p>
    <w:tbl>
      <w:tblPr>
        <w:tblLayout w:type="fixed"/>
        <w:tblInd w:w="20" w:type="dxa"/>
        <w:tblCellMar>
          <w:top w:w="0" w:type="dxa"/>
          <w:left w:w="0" w:type="dxa"/>
          <w:bottom w:w="0" w:type="dxa"/>
          <w:right w:w="0" w:type="dxa"/>
        </w:tblCellMar>
      </w:tblPr>
      <w:tr>
        <w:trPr>
          <w:trHeight w:val="186"/>
        </w:trPr>
        <w:tc>
          <w:tcPr>
            <w:tcW w:w="2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840" w:type="dxa"/>
            <w:vAlign w:val="bottom"/>
            <w:gridSpan w:val="2"/>
          </w:tcPr>
          <w:p>
            <w:pPr>
              <w:ind w:left="1120"/>
              <w:spacing w:after="0"/>
              <w:rPr>
                <w:sz w:val="20"/>
                <w:szCs w:val="20"/>
                <w:color w:val="auto"/>
              </w:rPr>
            </w:pPr>
            <w:r>
              <w:rPr>
                <w:rFonts w:ascii="Arial" w:cs="Arial" w:eastAsia="Arial" w:hAnsi="Arial"/>
                <w:sz w:val="14"/>
                <w:szCs w:val="14"/>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w:t>
            </w:r>
          </w:p>
        </w:tc>
      </w:tr>
      <w:tr>
        <w:trPr>
          <w:trHeight w:val="25"/>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3,977,405</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rPr>
              <w:t>2,393,562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61,143</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rPr>
              <w:t>795,504</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Proposal 4</w:t>
      </w:r>
      <w:r>
        <w:rPr>
          <w:rFonts w:ascii="Arial" w:cs="Arial" w:eastAsia="Arial" w:hAnsi="Arial"/>
          <w:sz w:val="17"/>
          <w:szCs w:val="17"/>
          <w:color w:val="auto"/>
        </w:rPr>
        <w:t>: The stockholders approved, on a non-binding, advisory basis, the Company's executive compensation. The voting results for this</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Proposal 4 were as follows: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Against</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w:t>
            </w:r>
          </w:p>
        </w:tc>
      </w:tr>
      <w:tr>
        <w:trPr>
          <w:trHeight w:val="25"/>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7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4,364,605</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rPr>
              <w:t>1,900,789</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rPr>
              <w:t>166,716</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rPr>
              <w:t>795,504</w:t>
            </w:r>
          </w:p>
        </w:tc>
      </w:tr>
    </w:tbl>
    <w:p>
      <w:pPr>
        <w:spacing w:after="0" w:line="188" w:lineRule="exact"/>
        <w:rPr>
          <w:sz w:val="20"/>
          <w:szCs w:val="20"/>
          <w:color w:val="auto"/>
        </w:rPr>
      </w:pPr>
    </w:p>
    <w:p>
      <w:pPr>
        <w:ind w:left="540" w:hanging="251"/>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Proposal 5</w:t>
      </w:r>
      <w:r>
        <w:rPr>
          <w:rFonts w:ascii="Arial" w:cs="Arial" w:eastAsia="Arial" w:hAnsi="Arial"/>
          <w:sz w:val="17"/>
          <w:szCs w:val="17"/>
          <w:color w:val="auto"/>
        </w:rPr>
        <w:t>: The stockholders voted, on a non-binding, advisory basis, on the frequency of future advisory votes on the Company's executive</w:t>
      </w:r>
    </w:p>
    <w:p>
      <w:pPr>
        <w:spacing w:after="0" w:line="34" w:lineRule="exact"/>
        <w:rPr>
          <w:rFonts w:ascii="Arial" w:cs="Arial" w:eastAsia="Arial" w:hAnsi="Arial"/>
          <w:sz w:val="17"/>
          <w:szCs w:val="17"/>
          <w:color w:val="auto"/>
        </w:rPr>
      </w:pPr>
    </w:p>
    <w:p>
      <w:pPr>
        <w:ind w:left="3140"/>
        <w:spacing w:after="0"/>
        <w:rPr>
          <w:rFonts w:ascii="Arial" w:cs="Arial" w:eastAsia="Arial" w:hAnsi="Arial"/>
          <w:sz w:val="17"/>
          <w:szCs w:val="17"/>
          <w:color w:val="auto"/>
        </w:rPr>
      </w:pPr>
      <w:r>
        <w:rPr>
          <w:rFonts w:ascii="Arial" w:cs="Arial" w:eastAsia="Arial" w:hAnsi="Arial"/>
          <w:sz w:val="18"/>
          <w:szCs w:val="18"/>
          <w:color w:val="auto"/>
        </w:rPr>
        <w:t>compensation. The voting results for this Proposal 5 were as follows: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1 Year</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2 Years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3 Years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5"/>
              </w:rPr>
              <w:t>Broker Non-Vote</w:t>
            </w:r>
          </w:p>
        </w:tc>
      </w:tr>
      <w:tr>
        <w:trPr>
          <w:trHeight w:val="25"/>
        </w:trPr>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3"/>
        </w:trPr>
        <w:tc>
          <w:tcPr>
            <w:tcW w:w="20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5,167,990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431,691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827,958</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795,504</w:t>
            </w:r>
          </w:p>
        </w:tc>
      </w:tr>
    </w:tbl>
    <w:p>
      <w:pPr>
        <w:spacing w:after="0" w:line="31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8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19"/>
        </w:trPr>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WESTWOOD HOLDINGS GROUP, INC.</w:t>
            </w:r>
          </w:p>
        </w:tc>
      </w:tr>
      <w:tr>
        <w:trPr>
          <w:trHeight w:val="499"/>
        </w:trPr>
        <w:tc>
          <w:tcPr>
            <w:tcW w:w="6680" w:type="dxa"/>
            <w:vAlign w:val="bottom"/>
          </w:tcPr>
          <w:p>
            <w:pPr>
              <w:spacing w:after="0"/>
              <w:rPr>
                <w:sz w:val="20"/>
                <w:szCs w:val="20"/>
                <w:color w:val="auto"/>
              </w:rPr>
            </w:pPr>
            <w:r>
              <w:rPr>
                <w:rFonts w:ascii="Arial" w:cs="Arial" w:eastAsia="Arial" w:hAnsi="Arial"/>
                <w:sz w:val="18"/>
                <w:szCs w:val="18"/>
                <w:color w:val="auto"/>
              </w:rPr>
              <w:t>Date: May 2, 2023</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O. Casey</w:t>
            </w:r>
          </w:p>
        </w:tc>
      </w:tr>
      <w:tr>
        <w:trPr>
          <w:trHeight w:val="222"/>
        </w:trPr>
        <w:tc>
          <w:tcPr>
            <w:tcW w:w="668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30"/>
        </w:trPr>
        <w:tc>
          <w:tcPr>
            <w:tcW w:w="6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0760"/>
      </w:cols>
      <w:pgMar w:left="320" w:top="89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2023-05-02T15:21:45Z</dcterms:created>
  <dcterms:modified xsi:type="dcterms:W3CDTF">2023-05-02T15:21:45Z</dcterms:modified>
</cp:coreProperties>
</file>