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Times New Roman" w:cs="Times New Roman" w:eastAsia="Times New Roman" w:hAnsi="Times New Roman"/>
                <w:sz w:val="22"/>
                <w:szCs w:val="22"/>
                <w:color w:val="auto"/>
                <w:w w:val="95"/>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7"/>
        </w:trPr>
        <w:tc>
          <w:tcPr>
            <w:tcW w:w="5440" w:type="dxa"/>
            <w:vAlign w:val="bottom"/>
            <w:gridSpan w:val="2"/>
          </w:tcPr>
          <w:p>
            <w:pPr>
              <w:jc w:val="center"/>
              <w:ind w:right="1000"/>
              <w:spacing w:after="0"/>
              <w:rPr>
                <w:sz w:val="20"/>
                <w:szCs w:val="20"/>
                <w:color w:val="auto"/>
              </w:rPr>
            </w:pPr>
            <w:r>
              <w:rPr>
                <w:rFonts w:ascii="Times New Roman" w:cs="Times New Roman" w:eastAsia="Times New Roman" w:hAnsi="Times New Roman"/>
                <w:sz w:val="22"/>
                <w:szCs w:val="22"/>
                <w:color w:val="auto"/>
                <w:w w:val="98"/>
              </w:rPr>
              <w:t>SECURITIES AND EXCHANGE COMMISSION</w:t>
            </w:r>
          </w:p>
        </w:tc>
        <w:tc>
          <w:tcPr>
            <w:tcW w:w="18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OMB Number:</w:t>
            </w:r>
          </w:p>
        </w:tc>
        <w:tc>
          <w:tcPr>
            <w:tcW w:w="1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440" w:type="dxa"/>
            <w:vAlign w:val="bottom"/>
            <w:gridSpan w:val="2"/>
            <w:vMerge w:val="restart"/>
          </w:tcPr>
          <w:p>
            <w:pPr>
              <w:jc w:val="center"/>
              <w:ind w:right="1000"/>
              <w:spacing w:after="0"/>
              <w:rPr>
                <w:sz w:val="20"/>
                <w:szCs w:val="20"/>
                <w:color w:val="auto"/>
              </w:rPr>
            </w:pPr>
            <w:r>
              <w:rPr>
                <w:rFonts w:ascii="Times New Roman" w:cs="Times New Roman" w:eastAsia="Times New Roman" w:hAnsi="Times New Roman"/>
                <w:sz w:val="22"/>
                <w:szCs w:val="22"/>
                <w:color w:val="auto"/>
                <w:w w:val="96"/>
              </w:rPr>
              <w:t>Washington, D.C. 20549</w:t>
            </w:r>
          </w:p>
        </w:tc>
        <w:tc>
          <w:tcPr>
            <w:tcW w:w="18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Expires:</w:t>
            </w:r>
          </w:p>
        </w:tc>
        <w:tc>
          <w:tcPr>
            <w:tcW w:w="1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March 31, 2018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5440" w:type="dxa"/>
            <w:vAlign w:val="bottom"/>
            <w:gridSpan w:val="2"/>
          </w:tcPr>
          <w:p>
            <w:pPr>
              <w:jc w:val="center"/>
              <w:ind w:right="1000"/>
              <w:spacing w:after="0"/>
              <w:rPr>
                <w:sz w:val="20"/>
                <w:szCs w:val="20"/>
                <w:color w:val="auto"/>
              </w:rPr>
            </w:pPr>
            <w:r>
              <w:rPr>
                <w:rFonts w:ascii="Times New Roman" w:cs="Times New Roman" w:eastAsia="Times New Roman" w:hAnsi="Times New Roman"/>
                <w:sz w:val="22"/>
                <w:szCs w:val="22"/>
                <w:color w:val="auto"/>
                <w:w w:val="97"/>
              </w:rPr>
              <w:t>FORM 25</w:t>
            </w:r>
          </w:p>
        </w:tc>
        <w:tc>
          <w:tcPr>
            <w:tcW w:w="186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22"/>
                <w:szCs w:val="22"/>
                <w:color w:val="auto"/>
              </w:rPr>
              <w:t>hours per response:</w:t>
            </w:r>
          </w:p>
        </w:tc>
        <w:tc>
          <w:tcPr>
            <w:tcW w:w="17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4567555</wp:posOffset>
            </wp:positionH>
            <wp:positionV relativeFrom="page">
              <wp:posOffset>170180</wp:posOffset>
            </wp:positionV>
            <wp:extent cx="239141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1088390"/>
                    </a:xfrm>
                    <a:prstGeom prst="rect">
                      <a:avLst/>
                    </a:prstGeom>
                    <a:noFill/>
                  </pic:spPr>
                </pic:pic>
              </a:graphicData>
            </a:graphic>
          </wp:anchor>
        </w:drawing>
      </w:r>
    </w:p>
    <w:p>
      <w:pPr>
        <w:ind w:left="1520"/>
        <w:spacing w:after="0"/>
        <w:rPr>
          <w:sz w:val="20"/>
          <w:szCs w:val="20"/>
          <w:color w:val="auto"/>
        </w:rPr>
      </w:pPr>
      <w:r>
        <w:rPr>
          <w:rFonts w:ascii="Times New Roman" w:cs="Times New Roman" w:eastAsia="Times New Roman" w:hAnsi="Times New Roman"/>
          <w:sz w:val="22"/>
          <w:szCs w:val="22"/>
          <w:color w:val="auto"/>
        </w:rPr>
        <w:t>NOTIFICATION OF REMOVAL FROM LISTING AND/OR REGISTRATION</w:t>
      </w:r>
    </w:p>
    <w:p>
      <w:pPr>
        <w:spacing w:after="0" w:line="14"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22"/>
          <w:szCs w:val="22"/>
          <w:color w:val="auto"/>
        </w:rPr>
        <w:t>UNDER SECTION 12(b) OF THE SECURITIES EXCHANGE ACT OF 1934.</w:t>
      </w:r>
    </w:p>
    <w:p>
      <w:pPr>
        <w:spacing w:after="0" w:line="20" w:lineRule="exact"/>
        <w:rPr>
          <w:sz w:val="24"/>
          <w:szCs w:val="24"/>
          <w:color w:val="auto"/>
        </w:rPr>
      </w:pPr>
    </w:p>
    <w:p>
      <w:pPr>
        <w:ind w:left="40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Commission File Number </w:t>
      </w:r>
      <w:hyperlink r:id="rId9">
        <w:r>
          <w:rPr>
            <w:rFonts w:ascii="Times New Roman" w:cs="Times New Roman" w:eastAsia="Times New Roman" w:hAnsi="Times New Roman"/>
            <w:sz w:val="22"/>
            <w:szCs w:val="22"/>
            <w:u w:val="single" w:color="auto"/>
            <w:color w:val="0000EE"/>
          </w:rPr>
          <w:t>001-31234</w:t>
        </w:r>
      </w:hyperlink>
    </w:p>
    <w:p>
      <w:pPr>
        <w:spacing w:after="0" w:line="125" w:lineRule="exact"/>
        <w:rPr>
          <w:sz w:val="24"/>
          <w:szCs w:val="24"/>
          <w:color w:val="auto"/>
        </w:rPr>
      </w:pPr>
    </w:p>
    <w:p>
      <w:pPr>
        <w:jc w:val="center"/>
        <w:ind w:left="2660"/>
        <w:spacing w:after="0"/>
        <w:tabs>
          <w:tab w:leader="none" w:pos="380" w:val="left"/>
        </w:tabs>
        <w:rPr>
          <w:rFonts w:ascii="Times New Roman" w:cs="Times New Roman" w:eastAsia="Times New Roman" w:hAnsi="Times New Roman"/>
          <w:sz w:val="22"/>
          <w:szCs w:val="22"/>
          <w:u w:val="single" w:color="auto"/>
          <w:color w:val="0000EE"/>
        </w:rPr>
      </w:pPr>
      <w:r>
        <w:rPr>
          <w:rFonts w:ascii="Times New Roman" w:cs="Times New Roman" w:eastAsia="Times New Roman" w:hAnsi="Times New Roman"/>
          <w:sz w:val="22"/>
          <w:szCs w:val="22"/>
          <w:color w:val="auto"/>
        </w:rPr>
        <w:t>Issuer:</w:t>
      </w:r>
      <w:r>
        <w:rPr>
          <w:sz w:val="20"/>
          <w:szCs w:val="20"/>
          <w:color w:val="auto"/>
        </w:rPr>
        <w:tab/>
      </w:r>
      <w:hyperlink r:id="rId10">
        <w:r>
          <w:rPr>
            <w:rFonts w:ascii="Times New Roman" w:cs="Times New Roman" w:eastAsia="Times New Roman" w:hAnsi="Times New Roman"/>
            <w:sz w:val="22"/>
            <w:szCs w:val="22"/>
            <w:u w:val="single" w:color="auto"/>
            <w:color w:val="0000EE"/>
          </w:rPr>
          <w:t>WESTWOOD HOLDINGS GROUP INC</w:t>
        </w:r>
      </w:hyperlink>
    </w:p>
    <w:p>
      <w:pPr>
        <w:spacing w:after="0" w:line="44"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45085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22"/>
          <w:szCs w:val="22"/>
          <w:color w:val="auto"/>
        </w:rPr>
        <w:t>(Exact name of Issuer as specified in its charter, and name of Exchange where security is listed</w:t>
      </w:r>
    </w:p>
    <w:p>
      <w:pPr>
        <w:spacing w:after="0" w:line="1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color w:val="auto"/>
        </w:rPr>
        <w:t>and/or registered)</w:t>
      </w:r>
    </w:p>
    <w:p>
      <w:pPr>
        <w:spacing w:after="0" w:line="6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22"/>
          <w:szCs w:val="22"/>
          <w:color w:val="auto"/>
        </w:rPr>
        <w:t>Address: 200 Crescent Court Suite 1200</w:t>
      </w:r>
    </w:p>
    <w:p>
      <w:pPr>
        <w:spacing w:after="0" w:line="44" w:lineRule="exact"/>
        <w:rPr>
          <w:sz w:val="24"/>
          <w:szCs w:val="24"/>
          <w:color w:val="auto"/>
        </w:rPr>
      </w:pPr>
    </w:p>
    <w:tbl>
      <w:tblPr>
        <w:tblLayout w:type="fixed"/>
        <w:tblInd w:w="2120" w:type="dxa"/>
        <w:tblCellMar>
          <w:top w:w="0" w:type="dxa"/>
          <w:left w:w="0" w:type="dxa"/>
          <w:bottom w:w="0" w:type="dxa"/>
          <w:right w:w="0" w:type="dxa"/>
        </w:tblCellMar>
      </w:tblPr>
      <w:tr>
        <w:trPr>
          <w:trHeight w:val="282"/>
        </w:trPr>
        <w:tc>
          <w:tcPr>
            <w:tcW w:w="342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Dallas   TEXAS</w:t>
            </w:r>
          </w:p>
        </w:tc>
        <w:tc>
          <w:tcPr>
            <w:tcW w:w="23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75201</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Telephone number:</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(214) 756-6900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26670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62" w:lineRule="exact"/>
        <w:rPr>
          <w:sz w:val="24"/>
          <w:szCs w:val="24"/>
          <w:color w:val="auto"/>
        </w:rPr>
      </w:pPr>
    </w:p>
    <w:p>
      <w:pPr>
        <w:jc w:val="center"/>
        <w:spacing w:after="0" w:line="256" w:lineRule="auto"/>
        <w:rPr>
          <w:sz w:val="20"/>
          <w:szCs w:val="20"/>
          <w:color w:val="auto"/>
        </w:rPr>
      </w:pPr>
      <w:r>
        <w:rPr>
          <w:rFonts w:ascii="Times New Roman" w:cs="Times New Roman" w:eastAsia="Times New Roman" w:hAnsi="Times New Roman"/>
          <w:sz w:val="22"/>
          <w:szCs w:val="22"/>
          <w:color w:val="auto"/>
        </w:rPr>
        <w:t>(Address, including zip code, and telephone number, including area code, of Issuer's principal executive offices)</w:t>
      </w:r>
    </w:p>
    <w:p>
      <w:pPr>
        <w:jc w:val="center"/>
        <w:spacing w:after="0"/>
        <w:rPr>
          <w:sz w:val="20"/>
          <w:szCs w:val="20"/>
          <w:color w:val="auto"/>
        </w:rPr>
      </w:pPr>
      <w:r>
        <w:rPr>
          <w:rFonts w:ascii="Times New Roman" w:cs="Times New Roman" w:eastAsia="Times New Roman" w:hAnsi="Times New Roman"/>
          <w:sz w:val="22"/>
          <w:szCs w:val="22"/>
          <w:color w:val="auto"/>
        </w:rPr>
        <w:t>Preferred Stock Purchase Rights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19685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(Description of class of securities)</w:t>
      </w:r>
    </w:p>
    <w:p>
      <w:pPr>
        <w:spacing w:after="0" w:line="85" w:lineRule="exact"/>
        <w:rPr>
          <w:sz w:val="24"/>
          <w:szCs w:val="24"/>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Please place an X in the box to designate the rule provision relied upon to strike the class of securities from listing and registration:</w:t>
      </w:r>
    </w:p>
    <w:p>
      <w:pPr>
        <w:spacing w:after="0" w:line="172"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240.12d2-2(a)(4)</w:t>
      </w:r>
    </w:p>
    <w:p>
      <w:pPr>
        <w:spacing w:after="0" w:line="179" w:lineRule="exact"/>
        <w:rPr>
          <w:sz w:val="24"/>
          <w:szCs w:val="24"/>
          <w:color w:val="auto"/>
        </w:rPr>
      </w:pPr>
    </w:p>
    <w:p>
      <w:pPr>
        <w:ind w:left="780" w:right="1200" w:firstLine="54"/>
        <w:spacing w:after="0" w:line="266" w:lineRule="auto"/>
        <w:rPr>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Pursuant to 17 CFR 240.12d2-2(b), the Exchange has complied with its rules to strike the class of securities from listing and/or withdraw registration on the Exchange. </w:t>
      </w:r>
      <w:r>
        <w:rPr>
          <w:rFonts w:ascii="Times New Roman" w:cs="Times New Roman" w:eastAsia="Times New Roman" w:hAnsi="Times New Roman"/>
          <w:sz w:val="35"/>
          <w:szCs w:val="35"/>
          <w:u w:val="single" w:color="auto"/>
          <w:color w:val="0000EE"/>
          <w:vertAlign w:val="superscript"/>
        </w:rPr>
        <w:t>1</w:t>
      </w:r>
    </w:p>
    <w:p>
      <w:pPr>
        <w:spacing w:after="0" w:line="3" w:lineRule="exact"/>
        <w:rPr>
          <w:sz w:val="24"/>
          <w:szCs w:val="24"/>
          <w:color w:val="auto"/>
        </w:rPr>
      </w:pPr>
    </w:p>
    <w:p>
      <w:pPr>
        <w:ind w:left="780" w:right="800" w:firstLine="54"/>
        <w:spacing w:after="0" w:line="244"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0" w:lineRule="exact"/>
        <w:rPr>
          <w:sz w:val="24"/>
          <w:szCs w:val="24"/>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42" w:lineRule="exact"/>
        <w:rPr>
          <w:sz w:val="24"/>
          <w:szCs w:val="24"/>
          <w:color w:val="auto"/>
        </w:rPr>
      </w:pPr>
    </w:p>
    <w:tbl>
      <w:tblPr>
        <w:tblLayout w:type="fixed"/>
        <w:tblInd w:w="640" w:type="dxa"/>
        <w:tblCellMar>
          <w:top w:w="0" w:type="dxa"/>
          <w:left w:w="0" w:type="dxa"/>
          <w:bottom w:w="0" w:type="dxa"/>
          <w:right w:w="0" w:type="dxa"/>
        </w:tblCellMar>
      </w:tblPr>
      <w:tr>
        <w:trPr>
          <w:trHeight w:val="253"/>
        </w:trPr>
        <w:tc>
          <w:tcPr>
            <w:tcW w:w="2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Senior Analyst, Market</w:t>
            </w:r>
          </w:p>
        </w:tc>
      </w:tr>
      <w:tr>
        <w:trPr>
          <w:trHeight w:val="243"/>
        </w:trPr>
        <w:tc>
          <w:tcPr>
            <w:tcW w:w="2060" w:type="dxa"/>
            <w:vAlign w:val="bottom"/>
          </w:tcPr>
          <w:p>
            <w:pPr>
              <w:spacing w:after="0"/>
              <w:rPr>
                <w:sz w:val="21"/>
                <w:szCs w:val="21"/>
                <w:color w:val="auto"/>
              </w:rPr>
            </w:pPr>
          </w:p>
        </w:tc>
        <w:tc>
          <w:tcPr>
            <w:tcW w:w="9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By</w:t>
            </w:r>
          </w:p>
        </w:tc>
        <w:tc>
          <w:tcPr>
            <w:tcW w:w="3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Watch and Proxy</w:t>
            </w:r>
          </w:p>
        </w:tc>
      </w:tr>
      <w:tr>
        <w:trPr>
          <w:trHeight w:val="283"/>
        </w:trPr>
        <w:tc>
          <w:tcPr>
            <w:tcW w:w="2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2022-05-11</w:t>
            </w:r>
          </w:p>
        </w:tc>
        <w:tc>
          <w:tcPr>
            <w:tcW w:w="940" w:type="dxa"/>
            <w:vAlign w:val="bottom"/>
          </w:tcPr>
          <w:p>
            <w:pPr>
              <w:spacing w:after="0"/>
              <w:rPr>
                <w:sz w:val="24"/>
                <w:szCs w:val="24"/>
                <w:color w:val="auto"/>
              </w:rPr>
            </w:pPr>
          </w:p>
        </w:tc>
        <w:tc>
          <w:tcPr>
            <w:tcW w:w="34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22"/>
                <w:szCs w:val="22"/>
                <w:color w:val="auto"/>
              </w:rPr>
              <w:t>Christopher Rances</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Compliance</w:t>
            </w:r>
          </w:p>
        </w:tc>
      </w:tr>
      <w:tr>
        <w:trPr>
          <w:trHeight w:val="290"/>
        </w:trPr>
        <w:tc>
          <w:tcPr>
            <w:tcW w:w="3000" w:type="dxa"/>
            <w:vAlign w:val="bottom"/>
            <w:gridSpan w:val="2"/>
          </w:tcPr>
          <w:p>
            <w:pPr>
              <w:jc w:val="center"/>
              <w:ind w:right="812"/>
              <w:spacing w:after="0"/>
              <w:rPr>
                <w:sz w:val="20"/>
                <w:szCs w:val="20"/>
                <w:color w:val="auto"/>
              </w:rPr>
            </w:pPr>
            <w:r>
              <w:rPr>
                <w:rFonts w:ascii="Times New Roman" w:cs="Times New Roman" w:eastAsia="Times New Roman" w:hAnsi="Times New Roman"/>
                <w:sz w:val="22"/>
                <w:szCs w:val="22"/>
                <w:color w:val="auto"/>
                <w:w w:val="96"/>
              </w:rPr>
              <w:t>Date</w:t>
            </w:r>
          </w:p>
        </w:tc>
        <w:tc>
          <w:tcPr>
            <w:tcW w:w="340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Title</w:t>
            </w:r>
          </w:p>
        </w:tc>
      </w:tr>
    </w:tbl>
    <w:p>
      <w:pPr>
        <w:spacing w:after="0" w:line="96" w:lineRule="exact"/>
        <w:rPr>
          <w:sz w:val="24"/>
          <w:szCs w:val="24"/>
          <w:color w:val="auto"/>
        </w:rPr>
      </w:pPr>
    </w:p>
    <w:p>
      <w:pPr>
        <w:ind w:left="1260" w:right="900" w:hanging="597"/>
        <w:spacing w:after="0" w:line="258" w:lineRule="auto"/>
        <w:tabs>
          <w:tab w:leader="none" w:pos="1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Form 25 and attached Notice will be considered compliance with the provisions of 17 CFR 240.19d-1 as applicable. </w:t>
      </w:r>
      <w:r>
        <w:rPr>
          <w:rFonts w:ascii="Times New Roman" w:cs="Times New Roman" w:eastAsia="Times New Roman" w:hAnsi="Times New Roman"/>
          <w:sz w:val="22"/>
          <w:szCs w:val="22"/>
          <w:u w:val="single" w:color="auto"/>
          <w:color w:val="0000EE"/>
        </w:rPr>
        <w:t>See</w:t>
      </w:r>
      <w:r>
        <w:rPr>
          <w:rFonts w:ascii="Times New Roman" w:cs="Times New Roman" w:eastAsia="Times New Roman" w:hAnsi="Times New Roman"/>
          <w:sz w:val="22"/>
          <w:szCs w:val="22"/>
          <w:color w:val="auto"/>
        </w:rPr>
        <w:t xml:space="preserve"> General Instructions.</w:t>
      </w:r>
    </w:p>
    <w:p>
      <w:pPr>
        <w:spacing w:after="0" w:line="37" w:lineRule="exact"/>
        <w:rPr>
          <w:sz w:val="24"/>
          <w:szCs w:val="24"/>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line="235" w:lineRule="auto"/>
        <w:rPr>
          <w:sz w:val="20"/>
          <w:szCs w:val="20"/>
          <w:color w:val="auto"/>
        </w:rPr>
      </w:pPr>
      <w:r>
        <w:rPr>
          <w:rFonts w:ascii="Times New Roman" w:cs="Times New Roman" w:eastAsia="Times New Roman" w:hAnsi="Times New Roman"/>
          <w:sz w:val="22"/>
          <w:szCs w:val="22"/>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May 23, 2022, pursuant to the provisions of Rule 12d2-2 (a). [ X ] 17 CFR 240.12d2-2(a)(4) That the entire class of this security was redeemed or expired on May 2, 2022. The removal of the Preferred Stock Purchase Rights of Westwood Holdings Group, Inc. is being effected because the Exchange knows or is reliably informed that on May 2, 2022, all rights pertaining to the entire class of this security were extinguished. The Exchange also notifies the Securities and Exchange Commission that as a result of the above indicated conditions this security was suspended on May 2, 2022.</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1234" TargetMode="External"/><Relationship Id="rId10" Type="http://schemas.openxmlformats.org/officeDocument/2006/relationships/hyperlink" Target="http://www.sec.gov/cgi-bin/browse-edgar?action=getcompany&amp;CIK=00011650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2022-05-11T15:39:34Z</dcterms:created>
  <dcterms:modified xsi:type="dcterms:W3CDTF">2022-05-11T15:39:34Z</dcterms:modified>
</cp:coreProperties>
</file>