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177165</wp:posOffset>
            </wp:positionV>
            <wp:extent cx="1440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13D/A</w:t>
      </w:r>
    </w:p>
    <w:p>
      <w:pPr>
        <w:spacing w:after="0" w:line="22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TO RULE 13d-1(a) AND AMENDMENTS THERETO FILED PURSUANT TO</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13d-2(a)</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Westwood Holdings Group,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961765104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Hoak Public Equities, L.P.</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3963 Maple Avenue, Suite 450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Dallas, Texas 75219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(214) 855-2284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May 9,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Rule 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8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Hoak Public Equities, L.P.</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8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4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WC</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8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2(e)</w:t>
            </w:r>
          </w:p>
        </w:tc>
        <w:tc>
          <w:tcPr>
            <w:tcW w:w="66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Texas</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580" w:type="dxa"/>
            <w:vAlign w:val="bottom"/>
            <w:tcBorders>
              <w:right w:val="single" w:sz="8" w:color="auto"/>
            </w:tcBorders>
          </w:tcPr>
          <w:p>
            <w:pPr>
              <w:spacing w:after="0"/>
              <w:rPr>
                <w:sz w:val="18"/>
                <w:szCs w:val="18"/>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15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16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right w:val="single" w:sz="8" w:color="auto"/>
            </w:tcBorders>
            <w:vMerge w:val="continue"/>
          </w:tcPr>
          <w:p>
            <w:pPr>
              <w:spacing w:after="0"/>
              <w:rPr>
                <w:sz w:val="9"/>
                <w:szCs w:val="9"/>
                <w:color w:val="auto"/>
              </w:rPr>
            </w:pPr>
          </w:p>
        </w:tc>
        <w:tc>
          <w:tcPr>
            <w:tcW w:w="6660" w:type="dxa"/>
            <w:vAlign w:val="bottom"/>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6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673,068</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240" w:type="dxa"/>
            <w:vAlign w:val="bottom"/>
            <w:tcBorders>
              <w:bottom w:val="single" w:sz="8" w:color="auto"/>
            </w:tcBorders>
            <w:gridSpan w:val="2"/>
          </w:tcPr>
          <w:p>
            <w:pPr>
              <w:ind w:left="40"/>
              <w:spacing w:after="0" w:line="331"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p>
        </w:tc>
        <w:tc>
          <w:tcPr>
            <w:tcW w:w="840" w:type="dxa"/>
            <w:vAlign w:val="bottom"/>
            <w:tcBorders>
              <w:bottom w:val="single" w:sz="8" w:color="auto"/>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PN</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8"/>
        <w:spacing w:after="0" w:line="266"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9,313,223 shares of Common Stock, $0.01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Westwood Holdings Group,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outstanding as of April 24, 2024 as disclosed on the Issuer’s Form 10-Q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May 1, 2024.</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8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Hoak Fund Management, L.P.</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8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4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8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2(e)</w:t>
            </w:r>
          </w:p>
        </w:tc>
        <w:tc>
          <w:tcPr>
            <w:tcW w:w="66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Texas</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580" w:type="dxa"/>
            <w:vAlign w:val="bottom"/>
            <w:tcBorders>
              <w:right w:val="single" w:sz="8" w:color="auto"/>
            </w:tcBorders>
          </w:tcPr>
          <w:p>
            <w:pPr>
              <w:spacing w:after="0"/>
              <w:rPr>
                <w:sz w:val="18"/>
                <w:szCs w:val="18"/>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15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16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right w:val="single" w:sz="8" w:color="auto"/>
            </w:tcBorders>
            <w:vMerge w:val="continue"/>
          </w:tcPr>
          <w:p>
            <w:pPr>
              <w:spacing w:after="0"/>
              <w:rPr>
                <w:sz w:val="9"/>
                <w:szCs w:val="9"/>
                <w:color w:val="auto"/>
              </w:rPr>
            </w:pPr>
          </w:p>
        </w:tc>
        <w:tc>
          <w:tcPr>
            <w:tcW w:w="6660" w:type="dxa"/>
            <w:vAlign w:val="bottom"/>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6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673,068</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240" w:type="dxa"/>
            <w:vAlign w:val="bottom"/>
            <w:tcBorders>
              <w:bottom w:val="single" w:sz="8" w:color="auto"/>
            </w:tcBorders>
            <w:gridSpan w:val="2"/>
          </w:tcPr>
          <w:p>
            <w:pPr>
              <w:ind w:left="40"/>
              <w:spacing w:after="0" w:line="331"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p>
        </w:tc>
        <w:tc>
          <w:tcPr>
            <w:tcW w:w="840" w:type="dxa"/>
            <w:vAlign w:val="bottom"/>
            <w:tcBorders>
              <w:bottom w:val="single" w:sz="8" w:color="auto"/>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PN</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9,313,223 shares of Common Stock of the Issuer outstanding as of April 24, 2024 as disclosed on the Issuer’s Form 10-Q filed with the SEC on May 1, 2024.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8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Hoak &amp; Co.</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8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4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8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2(e)</w:t>
            </w:r>
          </w:p>
        </w:tc>
        <w:tc>
          <w:tcPr>
            <w:tcW w:w="66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Texas</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580" w:type="dxa"/>
            <w:vAlign w:val="bottom"/>
            <w:tcBorders>
              <w:right w:val="single" w:sz="8" w:color="auto"/>
            </w:tcBorders>
          </w:tcPr>
          <w:p>
            <w:pPr>
              <w:spacing w:after="0"/>
              <w:rPr>
                <w:sz w:val="18"/>
                <w:szCs w:val="18"/>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15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16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right w:val="single" w:sz="8" w:color="auto"/>
            </w:tcBorders>
            <w:vMerge w:val="continue"/>
          </w:tcPr>
          <w:p>
            <w:pPr>
              <w:spacing w:after="0"/>
              <w:rPr>
                <w:sz w:val="9"/>
                <w:szCs w:val="9"/>
                <w:color w:val="auto"/>
              </w:rPr>
            </w:pPr>
          </w:p>
        </w:tc>
        <w:tc>
          <w:tcPr>
            <w:tcW w:w="6660" w:type="dxa"/>
            <w:vAlign w:val="bottom"/>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6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673,068</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240" w:type="dxa"/>
            <w:vAlign w:val="bottom"/>
            <w:tcBorders>
              <w:bottom w:val="single" w:sz="8" w:color="auto"/>
            </w:tcBorders>
            <w:gridSpan w:val="2"/>
          </w:tcPr>
          <w:p>
            <w:pPr>
              <w:ind w:left="40"/>
              <w:spacing w:after="0" w:line="331"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p>
        </w:tc>
        <w:tc>
          <w:tcPr>
            <w:tcW w:w="840" w:type="dxa"/>
            <w:vAlign w:val="bottom"/>
            <w:tcBorders>
              <w:bottom w:val="single" w:sz="8" w:color="auto"/>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9,313,223 shares of Common Stock of the Issuer outstanding as of April 24, 2024 as disclosed on the Issuer’s Form 10-Q filed with the SEC on May 1, 2024.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8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J. Hale Hoak</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8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4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8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2(e)</w:t>
            </w:r>
          </w:p>
        </w:tc>
        <w:tc>
          <w:tcPr>
            <w:tcW w:w="66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580" w:type="dxa"/>
            <w:vAlign w:val="bottom"/>
            <w:tcBorders>
              <w:right w:val="single" w:sz="8" w:color="auto"/>
            </w:tcBorders>
          </w:tcPr>
          <w:p>
            <w:pPr>
              <w:spacing w:after="0"/>
              <w:rPr>
                <w:sz w:val="18"/>
                <w:szCs w:val="18"/>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725,351*</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15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16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right w:val="single" w:sz="8" w:color="auto"/>
            </w:tcBorders>
            <w:vMerge w:val="continue"/>
          </w:tcPr>
          <w:p>
            <w:pPr>
              <w:spacing w:after="0"/>
              <w:rPr>
                <w:sz w:val="9"/>
                <w:szCs w:val="9"/>
                <w:color w:val="auto"/>
              </w:rPr>
            </w:pPr>
          </w:p>
        </w:tc>
        <w:tc>
          <w:tcPr>
            <w:tcW w:w="6660" w:type="dxa"/>
            <w:vAlign w:val="bottom"/>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6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725,351*</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725,351</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240" w:type="dxa"/>
            <w:vAlign w:val="bottom"/>
            <w:tcBorders>
              <w:bottom w:val="single" w:sz="8" w:color="auto"/>
            </w:tcBorders>
            <w:gridSpan w:val="2"/>
          </w:tcPr>
          <w:p>
            <w:pPr>
              <w:ind w:left="40"/>
              <w:spacing w:after="0" w:line="331"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p>
        </w:tc>
        <w:tc>
          <w:tcPr>
            <w:tcW w:w="840" w:type="dxa"/>
            <w:vAlign w:val="bottom"/>
            <w:tcBorders>
              <w:bottom w:val="single" w:sz="8" w:color="auto"/>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7.8%**</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673,068 shares of Common Stock of the Issuer held directly by Hoak Public Equities, L.P., and (2) 52,283 shares of Common Stock of the Issuer held by J. Hale Hoak (of which 25,000 shares of Common Stock are held in the name of J. Hale Hoak Child’s Trust).</w:t>
      </w:r>
    </w:p>
    <w:p>
      <w:pPr>
        <w:spacing w:after="0" w:line="162" w:lineRule="exact"/>
        <w:rPr>
          <w:sz w:val="20"/>
          <w:szCs w:val="20"/>
          <w:color w:val="auto"/>
        </w:rPr>
      </w:pPr>
    </w:p>
    <w:p>
      <w:pPr>
        <w:ind w:firstLine="8"/>
        <w:spacing w:after="0" w:line="282" w:lineRule="auto"/>
        <w:tabs>
          <w:tab w:leader="none" w:pos="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9,313,223 shares of Common Stock of the Issuer outstanding as of April 24, 2024 as disclosed on the Issuer’s Form 10-Q filed with the SEC on May 1, 2024.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8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James M. Hoak, Jr.</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8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4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8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2(e)</w:t>
            </w:r>
          </w:p>
        </w:tc>
        <w:tc>
          <w:tcPr>
            <w:tcW w:w="66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8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580" w:type="dxa"/>
            <w:vAlign w:val="bottom"/>
            <w:tcBorders>
              <w:right w:val="single" w:sz="8" w:color="auto"/>
            </w:tcBorders>
          </w:tcPr>
          <w:p>
            <w:pPr>
              <w:spacing w:after="0"/>
              <w:rPr>
                <w:sz w:val="18"/>
                <w:szCs w:val="18"/>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158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16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right w:val="single" w:sz="8" w:color="auto"/>
            </w:tcBorders>
            <w:vMerge w:val="continue"/>
          </w:tcPr>
          <w:p>
            <w:pPr>
              <w:spacing w:after="0"/>
              <w:rPr>
                <w:sz w:val="9"/>
                <w:szCs w:val="9"/>
                <w:color w:val="auto"/>
              </w:rPr>
            </w:pPr>
          </w:p>
        </w:tc>
        <w:tc>
          <w:tcPr>
            <w:tcW w:w="6660" w:type="dxa"/>
            <w:vAlign w:val="bottom"/>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6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673,068</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673,068</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240" w:type="dxa"/>
            <w:vAlign w:val="bottom"/>
            <w:tcBorders>
              <w:bottom w:val="single" w:sz="8" w:color="auto"/>
            </w:tcBorders>
            <w:gridSpan w:val="2"/>
          </w:tcPr>
          <w:p>
            <w:pPr>
              <w:ind w:left="40"/>
              <w:spacing w:after="0" w:line="331"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p>
        </w:tc>
        <w:tc>
          <w:tcPr>
            <w:tcW w:w="840" w:type="dxa"/>
            <w:vAlign w:val="bottom"/>
            <w:tcBorders>
              <w:bottom w:val="single" w:sz="8" w:color="auto"/>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160" w:type="dxa"/>
            <w:vAlign w:val="bottom"/>
            <w:tcBorders>
              <w:left w:val="single" w:sz="8" w:color="auto"/>
              <w:right w:val="single" w:sz="8" w:color="auto"/>
            </w:tcBorders>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w:t>
            </w:r>
          </w:p>
        </w:tc>
        <w:tc>
          <w:tcPr>
            <w:tcW w:w="66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8"/>
        <w:spacing w:after="0" w:line="282"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9,313,223 shares of Common Stock of the Issuer outstanding as of April 24, 2024 as disclosed on the Issuer’s Form 10-Q filed with the SEC on May 1, 2024.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to Schedule 13D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amends and supplements the Schedule 13D originally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December 12, 2023 (the “</w:t>
      </w:r>
      <w:r>
        <w:rPr>
          <w:rFonts w:ascii="Times New Roman" w:cs="Times New Roman" w:eastAsia="Times New Roman" w:hAnsi="Times New Roman"/>
          <w:sz w:val="18"/>
          <w:szCs w:val="18"/>
          <w:u w:val="single" w:color="auto"/>
          <w:color w:val="auto"/>
        </w:rPr>
        <w:t>Original 13D</w:t>
      </w:r>
      <w:r>
        <w:rPr>
          <w:rFonts w:ascii="Times New Roman" w:cs="Times New Roman" w:eastAsia="Times New Roman" w:hAnsi="Times New Roman"/>
          <w:sz w:val="18"/>
          <w:szCs w:val="18"/>
          <w:color w:val="auto"/>
        </w:rPr>
        <w:t>”, and together with Amendment No. 1,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Unless otherwise indicated, all capitalized terms used but not defined herein shall have the meanings ascribed to them in the Original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1 is being filed to make amendments to the Schedule 13D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in its entirety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total amount of funds used for the purchase of Common Stock by HPE was $7,426,092.73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costs of commissions and expenses). All of the shares of Common Stock beneficially owned by HPE were paid for using working capital of HPE. Hoak Management, Hoak &amp; Co. and James M. Hoak, Jr., do not directly hold any Common Stock but may be deemed to beneficially own the Common Stock owned by HPE.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J. Hale Hoak may also be deemed to beneficially own the Common Stock owned by HPE. The total amount of funds used for the purchase of the remaining Common Stock reported by J. Hale Hoak (of which 25,000 shares are held in J. Hale Hoak Child’s Trust), was $602,557.81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costs of commissions and expenses), such shares being paid for using personal funds.</w:t>
      </w:r>
    </w:p>
    <w:p>
      <w:pPr>
        <w:spacing w:after="0" w:line="17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by amending and replacing in their entirety each of Items 5(a) and 5(c) as follows:</w:t>
      </w:r>
    </w:p>
    <w:p>
      <w:pPr>
        <w:spacing w:after="0" w:line="225"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Schedule 13D, based upon 9,313,223 shares of Common Stock of the Issuer outstanding as of April 24, 2024 as disclosed on the Issuer’s Form 10-Q filed with the SEC on May 1, 2024:</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HPE directly owns an aggregate of 673,068 shares of Common Stock, representing approximately 7.2% of the outstanding Common Stock.</w:t>
      </w:r>
    </w:p>
    <w:p>
      <w:pPr>
        <w:spacing w:after="0" w:line="161"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Management, in its capacity as HPE’s general partner, may be deemed to beneficially own an aggregate of 673,068 shares of Common Stock, representing approximately 7.2% of the outstanding Common Stock.</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and Co., in its capacity as the general partner of Hoak Management, may be deemed to beneficially own an aggregate of 673,068 shares of Common Stock, representing approximately 7.2% of the outstanding Common Stock.</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Hoak, Jr., in his capacity as Hoak &amp; Co.’s controlling shareholder and Chairman, may be deemed to beneficially own 673,068 shares of Common Stock, representing approximately 7.2% of the outstanding Common Stock.</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Hale Hoak (1) owns an aggregate of 52,283 shares of Common Stock (of which 25,000 shares are held in J. Hale Hoak Child’s Trust) and (2) in his capacity as Hoak &amp; Co.’s President may be deemed to beneficially own an aggregate of 673,068 shares of Common Stock, for an aggregate of 725,351 shares of Common Stock representing approximately 7.8% of the outstanding Common Stock.</w:t>
      </w:r>
    </w:p>
    <w:p>
      <w:pPr>
        <w:spacing w:after="0" w:line="180"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hereto sets forth all transactions in the Common Stock within the past 60 days by any Reporting Person. Except for the transactions set forth on Schedule A, none of the Reporting Persons effected any transaction in the Common Stock during the past 60 days.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Joint Filing Agreement dated May 13, 2024, by and among Hoak Public Equities, L.P., Hoak Fund Management, L.P., Hoak &amp; Co.,</w:t>
            </w:r>
          </w:p>
        </w:tc>
      </w:tr>
      <w:tr>
        <w:trPr>
          <w:trHeight w:val="237"/>
        </w:trPr>
        <w:tc>
          <w:tcPr>
            <w:tcW w:w="32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10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James M. Hoak, Jr., and J. Hale Hoak</w:t>
            </w:r>
          </w:p>
        </w:tc>
      </w:tr>
      <w:tr>
        <w:trPr>
          <w:trHeight w:val="432"/>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May 13, 2024</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Hoak Public Equities, L.P.</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Hoak Fund Management, L.P.</w:t>
            </w: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Hoak Fund Management, L.P., its general partner</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Hoak &amp; Co., its general partner</w:t>
            </w: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Hoak &amp; Co., its general partner</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/s/ J. Hale Hoak</w:t>
            </w:r>
          </w:p>
        </w:tc>
      </w:tr>
      <w:tr>
        <w:trPr>
          <w:trHeight w:val="191"/>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 Hale Hoak</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191"/>
        </w:trPr>
        <w:tc>
          <w:tcPr>
            <w:tcW w:w="340" w:type="dxa"/>
            <w:vAlign w:val="bottom"/>
          </w:tcPr>
          <w:p>
            <w:pPr>
              <w:spacing w:after="0"/>
              <w:rPr>
                <w:sz w:val="16"/>
                <w:szCs w:val="16"/>
                <w:color w:val="auto"/>
              </w:rPr>
            </w:pPr>
          </w:p>
        </w:tc>
        <w:tc>
          <w:tcPr>
            <w:tcW w:w="41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Hoak &amp; Co.</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James M. Hoak, Jr.</w:t>
            </w: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 Hale Hoak</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/s/ James M. Hoak, Jr</w:t>
            </w:r>
          </w:p>
        </w:tc>
      </w:tr>
      <w:tr>
        <w:trPr>
          <w:trHeight w:val="191"/>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M. Hoak, Jr.</w:t>
            </w:r>
          </w:p>
        </w:tc>
      </w:tr>
      <w:tr>
        <w:trPr>
          <w:trHeight w:val="234"/>
        </w:trPr>
        <w:tc>
          <w:tcPr>
            <w:tcW w:w="34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 Hale Hoak</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 Hale Hoak</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4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 Hale Hoak</w:t>
            </w: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 Last 60 days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0" w:type="dxa"/>
            <w:vAlign w:val="bottom"/>
            <w:tcBorders>
              <w:right w:val="single" w:sz="8" w:color="auto"/>
            </w:tcBorders>
          </w:tcPr>
          <w:p>
            <w:pPr>
              <w:spacing w:after="0"/>
              <w:rPr>
                <w:sz w:val="21"/>
                <w:szCs w:val="21"/>
                <w:color w:val="auto"/>
              </w:rPr>
            </w:pPr>
          </w:p>
        </w:tc>
        <w:tc>
          <w:tcPr>
            <w:tcW w:w="3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36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Price Per</w:t>
            </w:r>
          </w:p>
        </w:tc>
        <w:tc>
          <w:tcPr>
            <w:tcW w:w="560" w:type="dxa"/>
            <w:vAlign w:val="bottom"/>
          </w:tcPr>
          <w:p>
            <w:pPr>
              <w:spacing w:after="0"/>
              <w:rPr>
                <w:sz w:val="21"/>
                <w:szCs w:val="21"/>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Share (including</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costs of</w:t>
            </w:r>
          </w:p>
        </w:tc>
        <w:tc>
          <w:tcPr>
            <w:tcW w:w="56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commissions and</w:t>
            </w:r>
          </w:p>
        </w:tc>
        <w:tc>
          <w:tcPr>
            <w:tcW w:w="560" w:type="dxa"/>
            <w:vAlign w:val="bottom"/>
          </w:tcPr>
          <w:p>
            <w:pPr>
              <w:spacing w:after="0"/>
              <w:rPr>
                <w:sz w:val="18"/>
                <w:szCs w:val="18"/>
                <w:color w:val="auto"/>
              </w:rPr>
            </w:pPr>
          </w:p>
        </w:tc>
      </w:tr>
      <w:tr>
        <w:trPr>
          <w:trHeight w:val="238"/>
        </w:trPr>
        <w:tc>
          <w:tcPr>
            <w:tcW w:w="60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560" w:type="dxa"/>
            <w:vAlign w:val="bottom"/>
          </w:tcPr>
          <w:p>
            <w:pPr>
              <w:spacing w:after="0"/>
              <w:rPr>
                <w:sz w:val="20"/>
                <w:szCs w:val="20"/>
                <w:color w:val="auto"/>
              </w:rPr>
            </w:pPr>
          </w:p>
        </w:tc>
      </w:tr>
      <w:tr>
        <w:trPr>
          <w:trHeight w:val="40"/>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Hale Hoak</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3/14/2024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315</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$11.99</w:t>
            </w:r>
          </w:p>
        </w:tc>
        <w:tc>
          <w:tcPr>
            <w:tcW w:w="560" w:type="dxa"/>
            <w:vAlign w:val="bottom"/>
          </w:tcPr>
          <w:p>
            <w:pPr>
              <w:spacing w:after="0"/>
              <w:rPr>
                <w:sz w:val="21"/>
                <w:szCs w:val="21"/>
                <w:color w:val="auto"/>
              </w:rPr>
            </w:pPr>
          </w:p>
        </w:tc>
      </w:tr>
      <w:tr>
        <w:trPr>
          <w:trHeight w:val="41"/>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4/30/2024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3,200</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$12.60</w:t>
            </w:r>
          </w:p>
        </w:tc>
        <w:tc>
          <w:tcPr>
            <w:tcW w:w="560" w:type="dxa"/>
            <w:vAlign w:val="bottom"/>
          </w:tcPr>
          <w:p>
            <w:pPr>
              <w:spacing w:after="0"/>
              <w:rPr>
                <w:sz w:val="21"/>
                <w:szCs w:val="21"/>
                <w:color w:val="auto"/>
              </w:rPr>
            </w:pPr>
          </w:p>
        </w:tc>
      </w:tr>
      <w:tr>
        <w:trPr>
          <w:trHeight w:val="40"/>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4/30/2024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12,185</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$12.72</w:t>
            </w:r>
          </w:p>
        </w:tc>
        <w:tc>
          <w:tcPr>
            <w:tcW w:w="560" w:type="dxa"/>
            <w:vAlign w:val="bottom"/>
          </w:tcPr>
          <w:p>
            <w:pPr>
              <w:spacing w:after="0"/>
              <w:rPr>
                <w:sz w:val="21"/>
                <w:szCs w:val="21"/>
                <w:color w:val="auto"/>
              </w:rPr>
            </w:pPr>
          </w:p>
        </w:tc>
      </w:tr>
      <w:tr>
        <w:trPr>
          <w:trHeight w:val="41"/>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6,974</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$12.49</w:t>
            </w:r>
          </w:p>
        </w:tc>
        <w:tc>
          <w:tcPr>
            <w:tcW w:w="560" w:type="dxa"/>
            <w:vAlign w:val="bottom"/>
          </w:tcPr>
          <w:p>
            <w:pPr>
              <w:spacing w:after="0"/>
              <w:rPr>
                <w:sz w:val="21"/>
                <w:szCs w:val="21"/>
                <w:color w:val="auto"/>
              </w:rPr>
            </w:pPr>
          </w:p>
        </w:tc>
      </w:tr>
      <w:tr>
        <w:trPr>
          <w:trHeight w:val="40"/>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6,751</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tcPr>
          <w:p>
            <w:pPr>
              <w:spacing w:after="0"/>
              <w:rPr>
                <w:sz w:val="21"/>
                <w:szCs w:val="21"/>
                <w:color w:val="auto"/>
              </w:rPr>
            </w:pPr>
          </w:p>
        </w:tc>
      </w:tr>
      <w:tr>
        <w:trPr>
          <w:trHeight w:val="41"/>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5/6/2024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4,220</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$11.73</w:t>
            </w:r>
          </w:p>
        </w:tc>
        <w:tc>
          <w:tcPr>
            <w:tcW w:w="560" w:type="dxa"/>
            <w:vAlign w:val="bottom"/>
          </w:tcPr>
          <w:p>
            <w:pPr>
              <w:spacing w:after="0"/>
              <w:rPr>
                <w:sz w:val="21"/>
                <w:szCs w:val="21"/>
                <w:color w:val="auto"/>
              </w:rPr>
            </w:pPr>
          </w:p>
        </w:tc>
      </w:tr>
      <w:tr>
        <w:trPr>
          <w:trHeight w:val="40"/>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5/6/2024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1,320</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$11.79</w:t>
            </w:r>
          </w:p>
        </w:tc>
        <w:tc>
          <w:tcPr>
            <w:tcW w:w="560" w:type="dxa"/>
            <w:vAlign w:val="bottom"/>
          </w:tcPr>
          <w:p>
            <w:pPr>
              <w:spacing w:after="0"/>
              <w:rPr>
                <w:sz w:val="21"/>
                <w:szCs w:val="21"/>
                <w:color w:val="auto"/>
              </w:rPr>
            </w:pPr>
          </w:p>
        </w:tc>
      </w:tr>
      <w:tr>
        <w:trPr>
          <w:trHeight w:val="40"/>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133</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$11.81</w:t>
            </w:r>
          </w:p>
        </w:tc>
        <w:tc>
          <w:tcPr>
            <w:tcW w:w="560" w:type="dxa"/>
            <w:vAlign w:val="bottom"/>
          </w:tcPr>
          <w:p>
            <w:pPr>
              <w:spacing w:after="0"/>
              <w:rPr>
                <w:sz w:val="21"/>
                <w:szCs w:val="21"/>
                <w:color w:val="auto"/>
              </w:rPr>
            </w:pPr>
          </w:p>
        </w:tc>
      </w:tr>
      <w:tr>
        <w:trPr>
          <w:trHeight w:val="41"/>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12,514</w:t>
            </w:r>
          </w:p>
        </w:tc>
        <w:tc>
          <w:tcPr>
            <w:tcW w:w="1520" w:type="dxa"/>
            <w:vAlign w:val="bottom"/>
            <w:tcBorders>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$12.00</w:t>
            </w:r>
          </w:p>
        </w:tc>
        <w:tc>
          <w:tcPr>
            <w:tcW w:w="560" w:type="dxa"/>
            <w:vAlign w:val="bottom"/>
          </w:tcPr>
          <w:p>
            <w:pPr>
              <w:spacing w:after="0"/>
              <w:rPr>
                <w:sz w:val="21"/>
                <w:szCs w:val="21"/>
                <w:color w:val="auto"/>
              </w:rPr>
            </w:pPr>
          </w:p>
        </w:tc>
      </w:tr>
      <w:tr>
        <w:trPr>
          <w:trHeight w:val="40"/>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5/10/2024</w:t>
            </w:r>
          </w:p>
        </w:tc>
        <w:tc>
          <w:tcPr>
            <w:tcW w:w="3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771</w:t>
            </w:r>
          </w:p>
        </w:tc>
        <w:tc>
          <w:tcPr>
            <w:tcW w:w="1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$12.06</w:t>
            </w:r>
          </w:p>
        </w:tc>
        <w:tc>
          <w:tcPr>
            <w:tcW w:w="560" w:type="dxa"/>
            <w:vAlign w:val="bottom"/>
          </w:tcPr>
          <w:p>
            <w:pPr>
              <w:spacing w:after="0"/>
              <w:rPr>
                <w:sz w:val="21"/>
                <w:szCs w:val="21"/>
                <w:color w:val="auto"/>
              </w:rPr>
            </w:pPr>
          </w:p>
        </w:tc>
      </w:tr>
      <w:tr>
        <w:trPr>
          <w:trHeight w:val="41"/>
        </w:trPr>
        <w:tc>
          <w:tcPr>
            <w:tcW w:w="600" w:type="dxa"/>
            <w:vAlign w:val="bottom"/>
            <w:tcBorders>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641"/>
        </w:trPr>
        <w:tc>
          <w:tcPr>
            <w:tcW w:w="6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Hoak Public Equities, L.P. SC 13D/A</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824"/>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dated May 13, 2024 (including amendments thereto) with respect to the Common Stock of Westwood Holdings Group, Inc. This Joint Filing Agreement shall be filed as an Exhibit to such Statement.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May 13, 2024</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Hoak Public Equities, L.P.</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Hoak Fund Management, L.P.</w:t>
            </w: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Hoak Fund Management, L.P., its general partner</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Hoak &amp; Co., its general partner</w:t>
            </w: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Hoak &amp; Co., its general partner</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/s/ J. Hale Hoak</w:t>
            </w:r>
          </w:p>
        </w:tc>
      </w:tr>
      <w:tr>
        <w:trPr>
          <w:trHeight w:val="191"/>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 Hale Hoak</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191"/>
        </w:trPr>
        <w:tc>
          <w:tcPr>
            <w:tcW w:w="340" w:type="dxa"/>
            <w:vAlign w:val="bottom"/>
          </w:tcPr>
          <w:p>
            <w:pPr>
              <w:spacing w:after="0"/>
              <w:rPr>
                <w:sz w:val="16"/>
                <w:szCs w:val="16"/>
                <w:color w:val="auto"/>
              </w:rPr>
            </w:pPr>
          </w:p>
        </w:tc>
        <w:tc>
          <w:tcPr>
            <w:tcW w:w="41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Hoak &amp; Co.</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James M. Hoak, Jr.</w:t>
            </w: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 Hale Hoak</w:t>
            </w: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/s/ James M. Hoak, Jr</w:t>
            </w:r>
          </w:p>
        </w:tc>
      </w:tr>
      <w:tr>
        <w:trPr>
          <w:trHeight w:val="191"/>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M. Hoak, Jr.</w:t>
            </w:r>
          </w:p>
        </w:tc>
      </w:tr>
      <w:tr>
        <w:trPr>
          <w:trHeight w:val="234"/>
        </w:trPr>
        <w:tc>
          <w:tcPr>
            <w:tcW w:w="34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 Hale Hoak</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 Hale Hoak</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4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 Hale Hoak</w:t>
            </w: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2466"/>
        </w:trPr>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2024-05-13T21:03:22Z</dcterms:created>
  <dcterms:modified xsi:type="dcterms:W3CDTF">2024-05-13T21:03:22Z</dcterms:modified>
</cp:coreProperties>
</file>