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rPr/>
      </w:pPr>
      <w:r>
        <w:rPr>
          <w:color w:val="000000"/>
        </w:rPr>
        <w:t> </w:t>
      </w: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February 13,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WESTWOOD HOLDINGS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rPr/>
      </w:pPr>
      <w:r>
        <w:rPr/>
      </w:r>
    </w:p>
    <w:tbl>
      <w:tblPr>
        <w:tblW w:w="8092" w:type="dxa"/>
        <w:jc w:val="left"/>
        <w:tblInd w:w="0" w:type="dxa"/>
        <w:tblLayout w:type="fixed"/>
        <w:tblCellMar>
          <w:top w:w="28" w:type="dxa"/>
          <w:left w:w="28" w:type="dxa"/>
          <w:bottom w:w="28" w:type="dxa"/>
          <w:right w:w="28" w:type="dxa"/>
        </w:tblCellMar>
      </w:tblPr>
      <w:tblGrid>
        <w:gridCol w:w="812"/>
        <w:gridCol w:w="715"/>
        <w:gridCol w:w="722"/>
        <w:gridCol w:w="109"/>
        <w:gridCol w:w="109"/>
        <w:gridCol w:w="109"/>
        <w:gridCol w:w="762"/>
        <w:gridCol w:w="762"/>
        <w:gridCol w:w="770"/>
        <w:gridCol w:w="109"/>
        <w:gridCol w:w="109"/>
        <w:gridCol w:w="109"/>
        <w:gridCol w:w="845"/>
        <w:gridCol w:w="845"/>
        <w:gridCol w:w="1205"/>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001-31234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75-2969997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 Crescent Court, Suite 1200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Dallas, Texas 75201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 756-6900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1252"/>
        <w:gridCol w:w="1103"/>
        <w:gridCol w:w="1109"/>
        <w:gridCol w:w="539"/>
        <w:gridCol w:w="539"/>
        <w:gridCol w:w="541"/>
        <w:gridCol w:w="1138"/>
        <w:gridCol w:w="1138"/>
        <w:gridCol w:w="1609"/>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WHG</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12" w:before="180" w:after="283"/>
        <w:jc w:val="left"/>
        <w:rPr/>
      </w:pPr>
      <w:r>
        <w:rPr>
          <w:rFonts w:ascii="Times New Roman;serif" w:hAnsi="Times New Roman;serif"/>
          <w:b w:val="false"/>
          <w:color w:val="000000"/>
          <w:sz w:val="18"/>
        </w:rPr>
        <w:t>Emerging growth company  </w:t>
      </w:r>
      <w:r>
        <w:rPr>
          <w:color w:val="000000"/>
        </w:rPr>
        <w:t>☐</w:t>
      </w:r>
    </w:p>
    <w:p>
      <w:pPr>
        <w:pStyle w:val="TextBody"/>
        <w:bidi w:val="0"/>
        <w:spacing w:lineRule="auto" w:line="312" w:before="180" w:after="283"/>
        <w:jc w:val="left"/>
        <w:rPr/>
      </w:pPr>
      <w:r>
        <w:rPr>
          <w:rFonts w:ascii="Times New Roman;serif" w:hAnsi="Times New Roman;serif"/>
          <w:b w:val="false"/>
          <w:color w:val="000000"/>
          <w:sz w:val="20"/>
        </w:rPr>
        <w:t>If an emerging growth company, indicate by checkmark if the registrant has elected not to use the extended transition period for complying with any new revised financial accounting standards provided pursuant to Section 13(a) of the Exchange Act.</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February 13, 2026, Westwood Holdings Group, Inc. (“Westwood”) announced its financial results for the quarter ended December 31, 2025, a copy of which is furnished with this Current Report on Form 8-K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ITEM 7.01:    REGULATION FD DISCLOSURE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Westwood announced today that its Board of Directors has approved the payment of a quarterly cash dividend of $0.15 per common share, payable on April 1, 2026 to stockholders of record on March 3,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 The following exhibit is furnished with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Number                    Description</w:t>
      </w:r>
    </w:p>
    <w:p>
      <w:pPr>
        <w:pStyle w:val="TextBody"/>
        <w:bidi w:val="0"/>
        <w:spacing w:before="0" w:after="0"/>
        <w:jc w:val="left"/>
        <w:rPr/>
      </w:pPr>
      <w:r>
        <w:rPr/>
      </w:r>
    </w:p>
    <w:p>
      <w:pPr>
        <w:pStyle w:val="TextBody"/>
        <w:bidi w:val="0"/>
        <w:spacing w:lineRule="auto" w:line="288" w:before="0" w:after="0"/>
        <w:ind w:left="0" w:right="0" w:hanging="1440"/>
        <w:jc w:val="left"/>
        <w:rPr/>
      </w:pPr>
      <w:r>
        <w:rPr>
          <w:rFonts w:ascii="Times New Roman;serif" w:hAnsi="Times New Roman;serif"/>
          <w:b w:val="false"/>
          <w:color w:val="000000"/>
          <w:sz w:val="22"/>
        </w:rPr>
        <w:t>99.1    </w:t>
      </w:r>
      <w:hyperlink w:anchor="a4q25earningsrelease.htm">
        <w:r>
          <w:rPr>
            <w:rStyle w:val="InternetLink"/>
          </w:rPr>
          <w:t>Press Release Dated February 1</w:t>
        </w:r>
      </w:hyperlink>
      <w:hyperlink w:anchor="a4q25earningsrelease.htm">
        <w:r>
          <w:rPr>
            <w:rStyle w:val="InternetLink"/>
          </w:rPr>
          <w:t>3</w:t>
        </w:r>
      </w:hyperlink>
      <w:hyperlink w:anchor="a4q25earningsrelease.htm">
        <w:r>
          <w:rPr>
            <w:rStyle w:val="InternetLink"/>
          </w:rPr>
          <w:t>, 20</w:t>
        </w:r>
      </w:hyperlink>
      <w:hyperlink w:anchor="a4q25earningsrelease.htm">
        <w:r>
          <w:rPr>
            <w:rStyle w:val="InternetLink"/>
          </w:rPr>
          <w:t>26</w:t>
        </w:r>
      </w:hyperlink>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104    Cover Page Interactive Date File (embedded within the Inline XBRL document)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February 13,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40" w:type="dxa"/>
        <w:jc w:val="right"/>
        <w:tblInd w:w="0" w:type="dxa"/>
        <w:tblLayout w:type="fixed"/>
        <w:tblCellMar>
          <w:top w:w="28" w:type="dxa"/>
          <w:left w:w="28" w:type="dxa"/>
          <w:bottom w:w="28" w:type="dxa"/>
          <w:right w:w="28" w:type="dxa"/>
        </w:tblCellMar>
      </w:tblPr>
      <w:tblGrid>
        <w:gridCol w:w="151"/>
        <w:gridCol w:w="134"/>
        <w:gridCol w:w="135"/>
        <w:gridCol w:w="1001"/>
        <w:gridCol w:w="1001"/>
        <w:gridCol w:w="141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WESTWOOD HOLDINGS GROUP,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524125"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24125" cy="8001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Westwood Holdings Group Reports Fourth Quarter and Full Year 2025 Results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Our expanded ETF platform now exceeds $200 million in AUM</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Successful year-end close of WES II with over $300 million in commitments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Managed Investment Solutions team secured its first institutional client</w:t>
      </w:r>
    </w:p>
    <w:p>
      <w:pPr>
        <w:pStyle w:val="TextBody"/>
        <w:bidi w:val="0"/>
        <w:spacing w:before="120" w:after="283"/>
        <w:jc w:val="center"/>
        <w:rPr/>
      </w:pPr>
      <w:r>
        <w:rPr/>
      </w:r>
    </w:p>
    <w:p>
      <w:pPr>
        <w:pStyle w:val="TextBody"/>
        <w:bidi w:val="0"/>
        <w:spacing w:lineRule="auto" w:line="288" w:before="120" w:after="220"/>
        <w:jc w:val="both"/>
        <w:rPr>
          <w:rFonts w:ascii="Times New Roman;serif" w:hAnsi="Times New Roman;serif"/>
          <w:b w:val="false"/>
          <w:color w:val="000000"/>
          <w:sz w:val="24"/>
        </w:rPr>
      </w:pPr>
      <w:r>
        <w:rPr>
          <w:rFonts w:ascii="Times New Roman;serif" w:hAnsi="Times New Roman;serif"/>
          <w:b w:val="false"/>
          <w:color w:val="000000"/>
          <w:sz w:val="24"/>
        </w:rPr>
        <w:t>Dallas, TX, February 13, 2026 – Westwood Holdings Group, Inc. (NYSE: WHG) today reported fourth quarter and fiscal year 2025 earnings. Significant items include:</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4"/>
        </w:rPr>
        <w:t>Investment strategies beating their primary benchmarks in the fourth quarter included Enhanced Balanced, Total Return, Income Opportunity, Multi-Asset Income, Alternative Income, MLP &amp; Energy Infrastructure, Westwood Salient Enhanced Midstream Income ETF and Westwood Salient Enhanced Energy Income ETF.</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Income Opportunity posted a top quartile ranking vs. peers and Total Return posted a top decile ranking in the quarter.</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4"/>
        </w:rPr>
        <w:t>Quarterly revenues totaled $27.1 million versus the third quarter's $24.3 million and $25.6 million a year ago. Income of $1.9 million compared with $3.7 million in the third quarter and $2.1 million in the fourth quarter of 2024.</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4"/>
        </w:rPr>
        <w:t>Non-GAAP Economic Earnings of $3.3 million for the quarter compared with $5.7 million in the third quarter and $3.4 million in the fourth quarter of 2024.</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4"/>
        </w:rPr>
        <w:t>Westwood held $44.1 million in cash and liquid investments at December 31, 2025, up $4.5 million from September 30, 2025. Westwood's stockholders' equity totaled $125.6 million as of December 31, 2025 and we continue to have no debt.</w:t>
      </w:r>
    </w:p>
    <w:p>
      <w:pPr>
        <w:pStyle w:val="TextBody"/>
        <w:bidi w:val="0"/>
        <w:spacing w:lineRule="auto" w:line="288" w:before="120" w:after="180"/>
        <w:ind w:left="0" w:right="0" w:hanging="360"/>
        <w:jc w:val="both"/>
        <w:rPr/>
      </w:pPr>
      <w:r>
        <w:rPr>
          <w:color w:val="000000"/>
        </w:rPr>
        <w:t>▪</w:t>
      </w:r>
      <w:r>
        <w:rPr>
          <w:rFonts w:ascii="Times New Roman;serif" w:hAnsi="Times New Roman;serif"/>
          <w:b w:val="false"/>
          <w:color w:val="000000"/>
          <w:sz w:val="24"/>
        </w:rPr>
        <w:t>We declared a cash dividend of $0.15 per common share, payable on April 1, 2026 to stockholders of record on March 3, 2026.</w:t>
      </w:r>
    </w:p>
    <w:p>
      <w:pPr>
        <w:pStyle w:val="TextBody"/>
        <w:bidi w:val="0"/>
        <w:spacing w:lineRule="auto" w:line="268" w:before="0" w:after="0"/>
        <w:jc w:val="left"/>
        <w:rPr/>
      </w:pPr>
      <w:r>
        <w:rPr>
          <w:rFonts w:ascii="Times New Roman;serif" w:hAnsi="Times New Roman;serif"/>
          <w:b w:val="false"/>
          <w:color w:val="000000"/>
          <w:sz w:val="24"/>
        </w:rPr>
        <w:t>Brian Casey, Westwood’s CEO, commented, "</w:t>
      </w:r>
      <w:r>
        <w:rPr>
          <w:rFonts w:ascii="Times New Roman;serif" w:hAnsi="Times New Roman;serif"/>
          <w:b w:val="false"/>
          <w:color w:val="000000"/>
          <w:sz w:val="24"/>
          <w:shd w:fill="FFFFFF" w:val="clear"/>
        </w:rPr>
        <w:t>We strengthened our competitive position throughout last year, expanding our ETF platform with the launch of YLDW,</w:t>
      </w:r>
      <w:r>
        <w:rPr>
          <w:color w:val="000000"/>
        </w:rPr>
        <w:t xml:space="preserve"> </w:t>
      </w:r>
      <w:r>
        <w:rPr>
          <w:rFonts w:ascii="Times New Roman;serif" w:hAnsi="Times New Roman;serif"/>
          <w:b w:val="false"/>
          <w:color w:val="000000"/>
          <w:sz w:val="24"/>
          <w:shd w:fill="FFFFFF" w:val="clear"/>
        </w:rPr>
        <w:t xml:space="preserve">our Enhanced Income Opportunity ETF, and we now have more than $200 million in ETF assets. We closed our second flagship energy secondaries fund </w:t>
      </w:r>
      <w:r>
        <w:rPr>
          <w:rFonts w:ascii="Times New Roman;serif" w:hAnsi="Times New Roman;serif"/>
          <w:b w:val="false"/>
          <w:color w:val="000000"/>
          <w:sz w:val="24"/>
        </w:rPr>
        <w:t>and two co-investment funds with over $300 million in capital commitments</w:t>
      </w:r>
      <w:r>
        <w:rPr>
          <w:rFonts w:ascii="Times New Roman;serif" w:hAnsi="Times New Roman;serif"/>
          <w:b w:val="false"/>
          <w:color w:val="000000"/>
          <w:sz w:val="24"/>
          <w:shd w:fill="FFFFFF" w:val="clear"/>
        </w:rPr>
        <w:t>, well above our initial target, and our Managed Investment Solutions business scored its first institutional client win. These achievements underscore our team’s disciplined execution abilities and our commitment to deliver innovative, high</w:t>
        <w:noBreakHyphen/>
        <w:t>quality investment solutions for our clients. As we begin this new year, we are well</w:t>
        <w:noBreakHyphen/>
        <w:t>positioned to build on these new initiatives</w:t>
      </w:r>
      <w:r>
        <w:rPr>
          <w:rFonts w:ascii="Times New Roman;serif" w:hAnsi="Times New Roman;serif"/>
          <w:b w:val="false"/>
          <w:color w:val="000000"/>
          <w:sz w:val="24"/>
        </w:rPr>
        <w:t>."</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Revenues increased from the third quarter due to significant investor interest in our exchange-traded funds ("ETFs") and private energy secondaries funds, along with higher performance fees. Revenues increased from 2024's fourth quarter primarily due to higher average assets under management ("AUM") and higher revenues from our ETFs and private energy secondaries funds, partially offset by lower performance fees.</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Firmwide assets under management and advisement totaled $17.4 billion, consisting of $16.5 billion in AUM and assets under advisement ("AUA") of $0.9 billion.</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Fourth quarter income of $1.9 million compared to $3.7 million in the third quarter due to higher performance-related incentive compensation in the fourth quarter and unrealized appreciation on strategic private investments in the third quarter, offset by higher revenues. Diluted EPS of $0.21 compared to $0.41 per share for the third quarter. Non-GAAP Economic Earnings were $3.3 million, or $0.36 per share, compared to the third quarter's $5.7 million, or $0.64 per share.</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Fourth quarter income of $1.9 million compared to last year's fourth quarter of $2.1 million as a result of higher revenues and the impact in 2024 of changes in the fair value of contingent consideration, offset by higher performance-related incentive compensation expenses and additional professional service costs. Diluted EPS of $0.21 compared with $0.24 per share for 2024's fourth quarter. Non-GAAP Economic Earnings of $3.3 million, or $0.36 per share, compared to $3.4 million, or $0.39 per share, in the fourth quarter of 2024.</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2025 income of $7.1 million compared to $2.2 million in 2024 on higher revenues, unrealized appreciation on strategic private investments, and the impact in 2024 of changes in the fair value of contingent consideration, offset by higher professional service and information technology costs. Diluted EPS was $0.79 per share compared with $0.26 per share for 2024. Economic EPS of $1.61 compared with $0.82 in 2024.</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Economic Earnings and Economic EPS are non-GAAP performance measures that are explained and reconciled with the most comparable GAAP numbers in the attached tables.</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Westwood will host a conference call to discuss fourth quarter and fiscal year 2025 results and other business matters at 4:30 p.m. Eastern time today. To join the conference call, please register here:</w:t>
      </w:r>
    </w:p>
    <w:p>
      <w:pPr>
        <w:pStyle w:val="TextBody"/>
        <w:bidi w:val="0"/>
        <w:spacing w:lineRule="auto" w:line="288" w:before="12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https://register-conf.media-server.com/register/BI07b829e2b37f4ae6966af1ad4c72fd74</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After registering, you will be provided with a dial-in number containing a personalized PIN.</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To view the webcast, please register here:</w:t>
      </w:r>
    </w:p>
    <w:p>
      <w:pPr>
        <w:pStyle w:val="TextBody"/>
        <w:bidi w:val="0"/>
        <w:spacing w:lineRule="auto" w:line="288" w:before="12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https://edge.media-server.com/mmc/p/qe4gtv6e</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Once registered, an email will be sent with important details for this conference call, as well as a unique Registrant ID.</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 xml:space="preserve">ABOUT WESTWOOD HOLDINGS GROUP </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Westwood Holdings Group (NYSE: WHG) is a boutique asset management firm that offers a diverse array of actively-managed and outcome-oriented investment strategies, along with white-glove trust and wealth services, to institutional, intermediary and private wealth clients. For over 40 years, Westwood’s client-first approach has fostered strong, long-term client relationships due to our unwavering commitment to delivering bespoke investment strategies with a vehicle-optimized approach, exceptional counsel and unparalleled client service. Our flexible and agile approach to investing allows us to adapt to constantly changing markets, while continually seeking innovative strategies that meet our investors’ short and long-term needs. </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Our team at Westwood comes from varied backgrounds and life experiences, which reflects our origins as a woman-founded firm. We are committed to incorporating diverse insights and knowledge into all aspects of our services and solutions. Our culture and approach to our business reflect our core values - integrity, reliability, responsiveness, adaptability, teamwork and driving results - and underpin our constant pursuit of excellence.</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For more information on Westwood, please visit westwoodgroup.com.</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2024 and its quarterly report on Form 10-Q for the quarters ended March 31, 2025, June 30, 2025 and September 30, 2025.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SOURCE: Westwood Holdings Group, Inc.</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(WHG-G)</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CONTACT:</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Westwood Holdings Group, Inc.</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Terry Forbes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Chief Financial Officer and Treasurer</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(214) 756-6900</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 except per share and share amounts)</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37"/>
        <w:gridCol w:w="1616"/>
        <w:gridCol w:w="1629"/>
        <w:gridCol w:w="300"/>
        <w:gridCol w:w="991"/>
        <w:gridCol w:w="167"/>
        <w:gridCol w:w="109"/>
        <w:gridCol w:w="109"/>
        <w:gridCol w:w="109"/>
        <w:gridCol w:w="309"/>
        <w:gridCol w:w="1020"/>
        <w:gridCol w:w="172"/>
        <w:gridCol w:w="109"/>
        <w:gridCol w:w="109"/>
        <w:gridCol w:w="109"/>
        <w:gridCol w:w="296"/>
        <w:gridCol w:w="976"/>
        <w:gridCol w:w="238"/>
      </w:tblGrid>
      <w:tr>
        <w:trPr/>
        <w:tc>
          <w:tcPr>
            <w:tcW w:w="1837"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Advisory fees: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Asset-based</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Performance-based</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fees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performance-based</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25,582 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Westwood funds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Information technology</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change in fair value of contingent consideration</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2,561 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appreciation (depreciation) on private investments</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3,373 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(loss) attributable to noncontrolling interest</w:t>
            </w:r>
          </w:p>
        </w:tc>
        <w:tc>
          <w:tcPr>
            <w:tcW w:w="12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attributable to Westwood Holdings Group, Inc.</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share:</w:t>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outstanding:</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8,418,874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8,418,174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8,271,614</w:t>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9,003,337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8,941,347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8,756,976</w:t>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Earnings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EPS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share</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 except per share and share amounts)</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left"/>
        <w:rPr/>
      </w:pPr>
      <w:r>
        <w:rPr/>
      </w:r>
    </w:p>
    <w:tbl>
      <w:tblPr>
        <w:tblW w:w="7643" w:type="dxa"/>
        <w:jc w:val="center"/>
        <w:tblInd w:w="0" w:type="dxa"/>
        <w:tblLayout w:type="fixed"/>
        <w:tblCellMar>
          <w:top w:w="28" w:type="dxa"/>
          <w:left w:w="28" w:type="dxa"/>
          <w:bottom w:w="28" w:type="dxa"/>
          <w:right w:w="28" w:type="dxa"/>
        </w:tblCellMar>
      </w:tblPr>
      <w:tblGrid>
        <w:gridCol w:w="1941"/>
        <w:gridCol w:w="1707"/>
        <w:gridCol w:w="1721"/>
        <w:gridCol w:w="196"/>
        <w:gridCol w:w="646"/>
        <w:gridCol w:w="109"/>
        <w:gridCol w:w="109"/>
        <w:gridCol w:w="109"/>
        <w:gridCol w:w="109"/>
        <w:gridCol w:w="196"/>
        <w:gridCol w:w="646"/>
        <w:gridCol w:w="154"/>
      </w:tblGrid>
      <w:tr>
        <w:trPr/>
        <w:tc>
          <w:tcPr>
            <w:tcW w:w="194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Advisory fees: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Asset-based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Performance-based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performance-based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Westwood funds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Information technology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change in fair value of contingent consideration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appreciation (depreciation) on private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(loss) attributable to noncontrolling interest</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attributable to Westwood Holdings Group,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share:</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outstanding: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8,374,352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8,163,465</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8,885,580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8,515,779</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Earnings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WESTWOOD HOLDINGS GROUP, INC.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 thousands, except par value and share amounts)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783"/>
        <w:gridCol w:w="2167"/>
        <w:gridCol w:w="2193"/>
        <w:gridCol w:w="242"/>
        <w:gridCol w:w="912"/>
        <w:gridCol w:w="135"/>
        <w:gridCol w:w="109"/>
        <w:gridCol w:w="109"/>
        <w:gridCol w:w="109"/>
        <w:gridCol w:w="242"/>
        <w:gridCol w:w="912"/>
        <w:gridCol w:w="135"/>
        <w:gridCol w:w="157"/>
      </w:tblGrid>
      <w:tr>
        <w:trPr/>
        <w:tc>
          <w:tcPr>
            <w:tcW w:w="2783"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at fair value (amortized cost of $19,923 and $26,788)</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under measurement alternative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15,697 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 method investments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receivable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 of accumulated depreciation of $8,952 and $8,424</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163,250 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149,989 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Liabilities: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liabilities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7,584 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payable</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and benefits payable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payable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Contingent consideration</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27,657 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$0.01 par value, authorized 25,000,000 shares, issued 12,337,758 and 12,137,080, respectively and outstanding 9,394,066 and 9,234,575, respectively</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206,120 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202,239 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stock, at cost – 2,983,692 and 2,902,505 shares, respectively</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(89,612)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(88,277)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8,983 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Westwood Holdings Group, Inc. stockholders' equity</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125,615 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120,291 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Noncontrolling interest in consolidated subsidiary</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equity</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127,675 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122,332 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and stockholders’ equity</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163,250 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149,989 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WESTWOOD HOLDINGS GROUP, INC.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(unaudited)</w:t>
      </w:r>
    </w:p>
    <w:tbl>
      <w:tblPr>
        <w:tblW w:w="7989" w:type="dxa"/>
        <w:jc w:val="center"/>
        <w:tblInd w:w="0" w:type="dxa"/>
        <w:tblLayout w:type="fixed"/>
        <w:tblCellMar>
          <w:top w:w="28" w:type="dxa"/>
          <w:left w:w="28" w:type="dxa"/>
          <w:bottom w:w="28" w:type="dxa"/>
          <w:right w:w="28" w:type="dxa"/>
        </w:tblCellMar>
      </w:tblPr>
      <w:tblGrid>
        <w:gridCol w:w="2069"/>
        <w:gridCol w:w="1820"/>
        <w:gridCol w:w="1826"/>
        <w:gridCol w:w="196"/>
        <w:gridCol w:w="646"/>
        <w:gridCol w:w="109"/>
        <w:gridCol w:w="109"/>
        <w:gridCol w:w="109"/>
        <w:gridCol w:w="109"/>
        <w:gridCol w:w="196"/>
        <w:gridCol w:w="646"/>
        <w:gridCol w:w="154"/>
      </w:tblGrid>
      <w:tr>
        <w:trPr/>
        <w:tc>
          <w:tcPr>
            <w:tcW w:w="206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(appreciation) depreciation on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change of contingent consideration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 and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of trading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internally developed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returned for payment of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 in acquisition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change in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dividends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WESTWOOD HOLDINGS GROUP,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Income Attributable to Westwood Holdings Group, Inc. to Economic Earnings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 thousands, except per share and share amounts)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supplemental information, we are providing non-GAAP performance measures that we refer to as Economic earnings and Economic earnings per share. We provide these measures in addition to, not as a substitute for, income attributable to Westwood Holdings Group, Inc. and earnings per share, which are reported on a GAAP basis. Our management and Board of Directors review Economic earnings and Economic earnings per share to evaluate our ongoing performance, allocate resources, and review our dividend policy. We believe that these non-GAAP performance measures, while not substitutes for GAAP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define Economic earnings as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earnings per share represents Economic earnings divided by diluted weighted average shares outstanding.</w:t>
      </w:r>
    </w:p>
    <w:tbl>
      <w:tblPr>
        <w:tblW w:w="8557" w:type="dxa"/>
        <w:jc w:val="center"/>
        <w:tblInd w:w="0" w:type="dxa"/>
        <w:tblLayout w:type="fixed"/>
        <w:tblCellMar>
          <w:top w:w="28" w:type="dxa"/>
          <w:left w:w="28" w:type="dxa"/>
          <w:bottom w:w="28" w:type="dxa"/>
          <w:right w:w="28" w:type="dxa"/>
        </w:tblCellMar>
      </w:tblPr>
      <w:tblGrid>
        <w:gridCol w:w="1585"/>
        <w:gridCol w:w="1395"/>
        <w:gridCol w:w="1399"/>
        <w:gridCol w:w="259"/>
        <w:gridCol w:w="736"/>
        <w:gridCol w:w="145"/>
        <w:gridCol w:w="109"/>
        <w:gridCol w:w="109"/>
        <w:gridCol w:w="109"/>
        <w:gridCol w:w="272"/>
        <w:gridCol w:w="775"/>
        <w:gridCol w:w="153"/>
        <w:gridCol w:w="109"/>
        <w:gridCol w:w="109"/>
        <w:gridCol w:w="109"/>
        <w:gridCol w:w="256"/>
        <w:gridCol w:w="727"/>
        <w:gridCol w:w="201"/>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adjustments to GAAP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Earnings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adjustments to GAAP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EPS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w:t>
            </w:r>
          </w:p>
        </w:tc>
        <w:tc>
          <w:tcPr>
            <w:tcW w:w="11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9,003,337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8,756,976</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6563" w:type="dxa"/>
        <w:jc w:val="center"/>
        <w:tblInd w:w="0" w:type="dxa"/>
        <w:tblLayout w:type="fixed"/>
        <w:tblCellMar>
          <w:top w:w="28" w:type="dxa"/>
          <w:left w:w="28" w:type="dxa"/>
          <w:bottom w:w="28" w:type="dxa"/>
          <w:right w:w="28" w:type="dxa"/>
        </w:tblCellMar>
      </w:tblPr>
      <w:tblGrid>
        <w:gridCol w:w="1585"/>
        <w:gridCol w:w="1395"/>
        <w:gridCol w:w="1399"/>
        <w:gridCol w:w="196"/>
        <w:gridCol w:w="646"/>
        <w:gridCol w:w="109"/>
        <w:gridCol w:w="109"/>
        <w:gridCol w:w="109"/>
        <w:gridCol w:w="109"/>
        <w:gridCol w:w="196"/>
        <w:gridCol w:w="556"/>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adjustments to GAAP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Earnings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 of adjustments to GAAP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EPS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w:t>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8,885,580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8,515,779</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3451</Words>
  <Characters>20171</Characters>
  <CharactersWithSpaces>23296</CharactersWithSpaces>
  <Paragraphs>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