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4" w:lineRule="exact"/>
        <w:rPr>
          <w:sz w:val="24"/>
          <w:szCs w:val="24"/>
          <w:color w:val="auto"/>
        </w:rPr>
      </w:pPr>
    </w:p>
    <w:p>
      <w:pPr>
        <w:ind w:left="500" w:hanging="350"/>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3140" w:type="dxa"/>
            <w:vAlign w:val="bottom"/>
            <w:gridSpan w:val="3"/>
          </w:tcPr>
          <w:p>
            <w:pPr>
              <w:ind w:left="600"/>
              <w:spacing w:after="0"/>
              <w:rPr>
                <w:sz w:val="20"/>
                <w:szCs w:val="20"/>
                <w:color w:val="auto"/>
              </w:rPr>
            </w:pPr>
            <w:r>
              <w:rPr>
                <w:rFonts w:ascii="Arial" w:cs="Arial" w:eastAsia="Arial" w:hAnsi="Arial"/>
                <w:sz w:val="18"/>
                <w:szCs w:val="18"/>
                <w:b w:val="1"/>
                <w:bCs w:val="1"/>
                <w:color w:val="auto"/>
                <w:w w:val="8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WESTWOOD HOLDINGS GROUP,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45"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3"/>
              </w:rPr>
              <w:t>Delaware</w:t>
            </w:r>
          </w:p>
        </w:tc>
        <w:tc>
          <w:tcPr>
            <w:tcW w:w="6080" w:type="dxa"/>
            <w:vAlign w:val="bottom"/>
          </w:tcPr>
          <w:p>
            <w:pPr>
              <w:jc w:val="right"/>
              <w:ind w:right="479"/>
              <w:spacing w:after="0"/>
              <w:rPr>
                <w:sz w:val="20"/>
                <w:szCs w:val="20"/>
                <w:color w:val="auto"/>
              </w:rPr>
            </w:pPr>
            <w:r>
              <w:rPr>
                <w:rFonts w:ascii="Arial" w:cs="Arial" w:eastAsia="Arial" w:hAnsi="Arial"/>
                <w:sz w:val="18"/>
                <w:szCs w:val="18"/>
                <w:b w:val="1"/>
                <w:bCs w:val="1"/>
                <w:color w:val="auto"/>
              </w:rPr>
              <w:t>75-2969997</w:t>
            </w:r>
          </w:p>
        </w:tc>
      </w:tr>
      <w:tr>
        <w:trPr>
          <w:trHeight w:val="218"/>
        </w:trPr>
        <w:tc>
          <w:tcPr>
            <w:tcW w:w="3560" w:type="dxa"/>
            <w:vAlign w:val="bottom"/>
          </w:tcPr>
          <w:p>
            <w:pPr>
              <w:jc w:val="center"/>
              <w:ind w:right="3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6080" w:type="dxa"/>
            <w:vAlign w:val="bottom"/>
          </w:tcPr>
          <w:p>
            <w:pPr>
              <w:jc w:val="center"/>
              <w:ind w:left="4019"/>
              <w:spacing w:after="0"/>
              <w:rPr>
                <w:sz w:val="20"/>
                <w:szCs w:val="20"/>
                <w:color w:val="auto"/>
              </w:rPr>
            </w:pPr>
            <w:r>
              <w:rPr>
                <w:rFonts w:ascii="Arial" w:cs="Arial" w:eastAsia="Arial" w:hAnsi="Arial"/>
                <w:sz w:val="14"/>
                <w:szCs w:val="14"/>
                <w:color w:val="auto"/>
                <w:w w:val="97"/>
              </w:rPr>
              <w:t>(IRS Employer Identification No.)</w:t>
            </w:r>
          </w:p>
        </w:tc>
      </w:tr>
      <w:tr>
        <w:trPr>
          <w:trHeight w:val="458"/>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7"/>
              </w:rPr>
              <w:t>200 CRESCENT COURT, SUITE 1200</w:t>
            </w:r>
          </w:p>
        </w:tc>
        <w:tc>
          <w:tcPr>
            <w:tcW w:w="6080" w:type="dxa"/>
            <w:vAlign w:val="bottom"/>
          </w:tcPr>
          <w:p>
            <w:pPr>
              <w:spacing w:after="0"/>
              <w:rPr>
                <w:sz w:val="24"/>
                <w:szCs w:val="24"/>
                <w:color w:val="auto"/>
              </w:rPr>
            </w:pPr>
          </w:p>
        </w:tc>
      </w:tr>
      <w:tr>
        <w:trPr>
          <w:trHeight w:val="270"/>
        </w:trPr>
        <w:tc>
          <w:tcPr>
            <w:tcW w:w="3560" w:type="dxa"/>
            <w:vAlign w:val="bottom"/>
          </w:tcPr>
          <w:p>
            <w:pPr>
              <w:ind w:left="940"/>
              <w:spacing w:after="0"/>
              <w:rPr>
                <w:sz w:val="20"/>
                <w:szCs w:val="20"/>
                <w:color w:val="auto"/>
              </w:rPr>
            </w:pPr>
            <w:r>
              <w:rPr>
                <w:rFonts w:ascii="Arial" w:cs="Arial" w:eastAsia="Arial" w:hAnsi="Arial"/>
                <w:sz w:val="18"/>
                <w:szCs w:val="18"/>
                <w:b w:val="1"/>
                <w:bCs w:val="1"/>
                <w:color w:val="auto"/>
              </w:rPr>
              <w:t>DALLAS, Texas</w:t>
            </w:r>
          </w:p>
        </w:tc>
        <w:tc>
          <w:tcPr>
            <w:tcW w:w="6080" w:type="dxa"/>
            <w:vAlign w:val="bottom"/>
          </w:tcPr>
          <w:p>
            <w:pPr>
              <w:jc w:val="right"/>
              <w:ind w:right="679"/>
              <w:spacing w:after="0"/>
              <w:rPr>
                <w:sz w:val="20"/>
                <w:szCs w:val="20"/>
                <w:color w:val="auto"/>
              </w:rPr>
            </w:pPr>
            <w:r>
              <w:rPr>
                <w:rFonts w:ascii="Arial" w:cs="Arial" w:eastAsia="Arial" w:hAnsi="Arial"/>
                <w:sz w:val="18"/>
                <w:szCs w:val="18"/>
                <w:b w:val="1"/>
                <w:bCs w:val="1"/>
                <w:color w:val="auto"/>
              </w:rPr>
              <w:t>75201</w:t>
            </w:r>
          </w:p>
        </w:tc>
      </w:tr>
      <w:tr>
        <w:trPr>
          <w:trHeight w:val="218"/>
        </w:trPr>
        <w:tc>
          <w:tcPr>
            <w:tcW w:w="3560" w:type="dxa"/>
            <w:vAlign w:val="bottom"/>
          </w:tcPr>
          <w:p>
            <w:pPr>
              <w:jc w:val="center"/>
              <w:ind w:right="17"/>
              <w:spacing w:after="0"/>
              <w:rPr>
                <w:sz w:val="20"/>
                <w:szCs w:val="20"/>
                <w:color w:val="auto"/>
              </w:rPr>
            </w:pPr>
            <w:r>
              <w:rPr>
                <w:rFonts w:ascii="Arial" w:cs="Arial" w:eastAsia="Arial" w:hAnsi="Arial"/>
                <w:sz w:val="14"/>
                <w:szCs w:val="14"/>
                <w:color w:val="auto"/>
                <w:w w:val="95"/>
              </w:rPr>
              <w:t>(Address of principal executive office)</w:t>
            </w:r>
          </w:p>
        </w:tc>
        <w:tc>
          <w:tcPr>
            <w:tcW w:w="6080" w:type="dxa"/>
            <w:vAlign w:val="bottom"/>
          </w:tcPr>
          <w:p>
            <w:pPr>
              <w:jc w:val="center"/>
              <w:ind w:left="4039"/>
              <w:spacing w:after="0"/>
              <w:rPr>
                <w:sz w:val="20"/>
                <w:szCs w:val="20"/>
                <w:color w:val="auto"/>
              </w:rPr>
            </w:pPr>
            <w:r>
              <w:rPr>
                <w:rFonts w:ascii="Arial" w:cs="Arial" w:eastAsia="Arial" w:hAnsi="Arial"/>
                <w:sz w:val="14"/>
                <w:szCs w:val="14"/>
                <w:color w:val="auto"/>
                <w:w w:val="96"/>
              </w:rPr>
              <w:t>(Zip Code)</w:t>
            </w:r>
          </w:p>
        </w:tc>
      </w:tr>
      <w:tr>
        <w:trPr>
          <w:trHeight w:val="317"/>
        </w:trPr>
        <w:tc>
          <w:tcPr>
            <w:tcW w:w="3560" w:type="dxa"/>
            <w:vAlign w:val="bottom"/>
          </w:tcPr>
          <w:p>
            <w:pPr>
              <w:spacing w:after="0"/>
              <w:rPr>
                <w:sz w:val="24"/>
                <w:szCs w:val="24"/>
                <w:color w:val="auto"/>
              </w:rPr>
            </w:pPr>
          </w:p>
        </w:tc>
        <w:tc>
          <w:tcPr>
            <w:tcW w:w="6080" w:type="dxa"/>
            <w:vAlign w:val="bottom"/>
          </w:tcPr>
          <w:p>
            <w:pPr>
              <w:jc w:val="right"/>
              <w:ind w:right="3819"/>
              <w:spacing w:after="0"/>
              <w:rPr>
                <w:sz w:val="20"/>
                <w:szCs w:val="20"/>
                <w:color w:val="auto"/>
              </w:rPr>
            </w:pPr>
            <w:r>
              <w:rPr>
                <w:rFonts w:ascii="Arial" w:cs="Arial" w:eastAsia="Arial" w:hAnsi="Arial"/>
                <w:sz w:val="18"/>
                <w:szCs w:val="18"/>
                <w:b w:val="1"/>
                <w:bCs w:val="1"/>
                <w:color w:val="auto"/>
              </w:rPr>
              <w:t>(214) 756-6900</w:t>
            </w:r>
          </w:p>
        </w:tc>
      </w:tr>
      <w:tr>
        <w:trPr>
          <w:trHeight w:val="182"/>
        </w:trPr>
        <w:tc>
          <w:tcPr>
            <w:tcW w:w="3560" w:type="dxa"/>
            <w:vAlign w:val="bottom"/>
          </w:tcPr>
          <w:p>
            <w:pPr>
              <w:spacing w:after="0"/>
              <w:rPr>
                <w:sz w:val="15"/>
                <w:szCs w:val="15"/>
                <w:color w:val="auto"/>
              </w:rPr>
            </w:pPr>
          </w:p>
        </w:tc>
        <w:tc>
          <w:tcPr>
            <w:tcW w:w="6080" w:type="dxa"/>
            <w:vAlign w:val="bottom"/>
          </w:tcPr>
          <w:p>
            <w:pPr>
              <w:jc w:val="center"/>
              <w:ind w:right="2759"/>
              <w:spacing w:after="0"/>
              <w:rPr>
                <w:sz w:val="20"/>
                <w:szCs w:val="20"/>
                <w:color w:val="auto"/>
              </w:rPr>
            </w:pPr>
            <w:r>
              <w:rPr>
                <w:rFonts w:ascii="Arial" w:cs="Arial" w:eastAsia="Arial" w:hAnsi="Arial"/>
                <w:sz w:val="14"/>
                <w:szCs w:val="14"/>
                <w:color w:val="auto"/>
                <w:w w:val="92"/>
              </w:rPr>
              <w:t>(Registrant’s telephone number, including area code)</w:t>
            </w: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8" w:lineRule="exact"/>
        <w:rPr>
          <w:sz w:val="24"/>
          <w:szCs w:val="24"/>
          <w:color w:val="auto"/>
        </w:rPr>
      </w:pPr>
    </w:p>
    <w:tbl>
      <w:tblPr>
        <w:tblLayout w:type="fixed"/>
        <w:tblInd w:w="580" w:type="dxa"/>
        <w:tblCellMar>
          <w:top w:w="0" w:type="dxa"/>
          <w:left w:w="0" w:type="dxa"/>
          <w:bottom w:w="0" w:type="dxa"/>
          <w:right w:w="0" w:type="dxa"/>
        </w:tblCellMar>
      </w:tblPr>
      <w:tr>
        <w:trPr>
          <w:trHeight w:val="206"/>
        </w:trPr>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80" w:type="dxa"/>
            <w:vAlign w:val="bottom"/>
            <w:gridSpan w:val="3"/>
          </w:tcPr>
          <w:p>
            <w:pPr>
              <w:jc w:val="center"/>
              <w:ind w:right="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020" w:type="dxa"/>
            <w:vAlign w:val="bottom"/>
          </w:tcPr>
          <w:p>
            <w:pPr>
              <w:spacing w:after="0"/>
              <w:rPr>
                <w:sz w:val="17"/>
                <w:szCs w:val="17"/>
                <w:color w:val="auto"/>
              </w:rPr>
            </w:pPr>
          </w:p>
        </w:tc>
      </w:tr>
      <w:tr>
        <w:trPr>
          <w:trHeight w:val="263"/>
        </w:trPr>
        <w:tc>
          <w:tcPr>
            <w:tcW w:w="900" w:type="dxa"/>
            <w:vAlign w:val="bottom"/>
          </w:tcPr>
          <w:p>
            <w:pPr>
              <w:spacing w:after="0"/>
              <w:rPr>
                <w:sz w:val="22"/>
                <w:szCs w:val="22"/>
                <w:color w:val="auto"/>
              </w:rPr>
            </w:pPr>
          </w:p>
        </w:tc>
        <w:tc>
          <w:tcPr>
            <w:tcW w:w="2200" w:type="dxa"/>
            <w:vAlign w:val="bottom"/>
            <w:gridSpan w:val="2"/>
          </w:tcPr>
          <w:p>
            <w:pPr>
              <w:jc w:val="center"/>
              <w:ind w:right="980"/>
              <w:spacing w:after="0"/>
              <w:rPr>
                <w:sz w:val="20"/>
                <w:szCs w:val="20"/>
                <w:color w:val="auto"/>
              </w:rPr>
            </w:pPr>
            <w:r>
              <w:rPr>
                <w:rFonts w:ascii="Arial" w:cs="Arial" w:eastAsia="Arial" w:hAnsi="Arial"/>
                <w:sz w:val="16"/>
                <w:szCs w:val="16"/>
                <w:color w:val="auto"/>
                <w:w w:val="91"/>
              </w:rPr>
              <w:t>Title of Each Class</w:t>
            </w:r>
          </w:p>
        </w:tc>
        <w:tc>
          <w:tcPr>
            <w:tcW w:w="3980" w:type="dxa"/>
            <w:vAlign w:val="bottom"/>
            <w:gridSpan w:val="3"/>
          </w:tcPr>
          <w:p>
            <w:pPr>
              <w:jc w:val="center"/>
              <w:ind w:right="60"/>
              <w:spacing w:after="0"/>
              <w:rPr>
                <w:sz w:val="20"/>
                <w:szCs w:val="20"/>
                <w:color w:val="auto"/>
              </w:rPr>
            </w:pPr>
            <w:r>
              <w:rPr>
                <w:rFonts w:ascii="Arial" w:cs="Arial" w:eastAsia="Arial" w:hAnsi="Arial"/>
                <w:sz w:val="16"/>
                <w:szCs w:val="16"/>
                <w:color w:val="auto"/>
                <w:w w:val="92"/>
              </w:rPr>
              <w:t>Trading Symbol</w:t>
            </w:r>
          </w:p>
        </w:tc>
        <w:tc>
          <w:tcPr>
            <w:tcW w:w="3020" w:type="dxa"/>
            <w:vAlign w:val="bottom"/>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91"/>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440" w:type="dxa"/>
            <w:vAlign w:val="bottom"/>
          </w:tcPr>
          <w:p>
            <w:pPr>
              <w:spacing w:after="0"/>
              <w:rPr>
                <w:sz w:val="24"/>
                <w:szCs w:val="24"/>
                <w:color w:val="auto"/>
              </w:rPr>
            </w:pPr>
          </w:p>
        </w:tc>
        <w:tc>
          <w:tcPr>
            <w:tcW w:w="2540" w:type="dxa"/>
            <w:vAlign w:val="bottom"/>
            <w:gridSpan w:val="2"/>
          </w:tcPr>
          <w:p>
            <w:pPr>
              <w:jc w:val="center"/>
              <w:ind w:right="1500"/>
              <w:spacing w:after="0"/>
              <w:rPr>
                <w:sz w:val="20"/>
                <w:szCs w:val="20"/>
                <w:color w:val="auto"/>
              </w:rPr>
            </w:pPr>
            <w:r>
              <w:rPr>
                <w:rFonts w:ascii="Arial" w:cs="Arial" w:eastAsia="Arial" w:hAnsi="Arial"/>
                <w:sz w:val="18"/>
                <w:szCs w:val="18"/>
                <w:color w:val="auto"/>
                <w:w w:val="99"/>
              </w:rPr>
              <w:t>WHG</w:t>
            </w: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5"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70" w:lineRule="exact"/>
        <w:rPr>
          <w:sz w:val="24"/>
          <w:szCs w:val="24"/>
          <w:color w:val="auto"/>
        </w:rPr>
      </w:pPr>
    </w:p>
    <w:p>
      <w:pPr>
        <w:ind w:right="40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right="120"/>
        <w:spacing w:after="0" w:line="33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06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196" w:lineRule="exact"/>
        <w:tabs>
          <w:tab w:leader="none" w:pos="84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par value $0.01 per share, outstanding as of July 22, 2020: 8,445,149.</w:t>
      </w:r>
    </w:p>
    <w:p>
      <w:pPr>
        <w:spacing w:after="0" w:line="2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20" w:type="dxa"/>
            <w:vAlign w:val="bottom"/>
          </w:tcPr>
          <w:p>
            <w:pPr>
              <w:ind w:left="280"/>
              <w:spacing w:after="0"/>
              <w:rPr>
                <w:sz w:val="20"/>
                <w:szCs w:val="20"/>
                <w:color w:val="auto"/>
              </w:rPr>
            </w:pPr>
            <w:r>
              <w:rPr>
                <w:rFonts w:ascii="Arial" w:cs="Arial" w:eastAsia="Arial" w:hAnsi="Arial"/>
                <w:sz w:val="16"/>
                <w:szCs w:val="16"/>
                <w:color w:val="auto"/>
              </w:rPr>
              <w:t>PART I</w:t>
            </w:r>
          </w:p>
        </w:tc>
        <w:tc>
          <w:tcPr>
            <w:tcW w:w="8860" w:type="dxa"/>
            <w:vAlign w:val="bottom"/>
            <w:gridSpan w:val="7"/>
          </w:tcPr>
          <w:p>
            <w:pPr>
              <w:spacing w:after="0"/>
              <w:rPr>
                <w:sz w:val="20"/>
                <w:szCs w:val="20"/>
                <w:color w:val="auto"/>
              </w:rPr>
            </w:pPr>
            <w:r>
              <w:rPr>
                <w:rFonts w:ascii="Arial" w:cs="Arial" w:eastAsia="Arial" w:hAnsi="Arial"/>
                <w:sz w:val="16"/>
                <w:szCs w:val="16"/>
                <w:color w:val="auto"/>
              </w:rPr>
              <w:t>FINANCIAL INFORMATION</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PAGE</w:t>
            </w:r>
          </w:p>
        </w:tc>
      </w:tr>
      <w:tr>
        <w:trPr>
          <w:trHeight w:val="324"/>
        </w:trPr>
        <w:tc>
          <w:tcPr>
            <w:tcW w:w="1320" w:type="dxa"/>
            <w:vAlign w:val="bottom"/>
          </w:tcPr>
          <w:p>
            <w:pPr>
              <w:ind w:left="280"/>
              <w:spacing w:after="0"/>
              <w:rPr>
                <w:sz w:val="20"/>
                <w:szCs w:val="20"/>
                <w:color w:val="auto"/>
              </w:rPr>
            </w:pPr>
            <w:r>
              <w:rPr>
                <w:rFonts w:ascii="Arial" w:cs="Arial" w:eastAsia="Arial" w:hAnsi="Arial"/>
                <w:sz w:val="16"/>
                <w:szCs w:val="16"/>
                <w:color w:val="auto"/>
              </w:rPr>
              <w:t>Item 1.</w:t>
            </w:r>
          </w:p>
        </w:tc>
        <w:tc>
          <w:tcPr>
            <w:tcW w:w="8860" w:type="dxa"/>
            <w:vAlign w:val="bottom"/>
            <w:gridSpan w:val="7"/>
          </w:tcPr>
          <w:p>
            <w:pPr>
              <w:spacing w:after="0"/>
              <w:rPr>
                <w:sz w:val="20"/>
                <w:szCs w:val="20"/>
                <w:color w:val="auto"/>
              </w:rPr>
            </w:pPr>
            <w:r>
              <w:rPr>
                <w:rFonts w:ascii="Arial" w:cs="Arial" w:eastAsia="Arial" w:hAnsi="Arial"/>
                <w:sz w:val="16"/>
                <w:szCs w:val="16"/>
                <w:color w:val="auto"/>
              </w:rPr>
              <w:t>Financial Statements</w:t>
            </w:r>
          </w:p>
        </w:tc>
        <w:tc>
          <w:tcPr>
            <w:tcW w:w="1060" w:type="dxa"/>
            <w:vAlign w:val="bottom"/>
          </w:tcPr>
          <w:p>
            <w:pPr>
              <w:spacing w:after="0"/>
              <w:rPr>
                <w:sz w:val="24"/>
                <w:szCs w:val="24"/>
                <w:color w:val="auto"/>
              </w:rPr>
            </w:pPr>
          </w:p>
        </w:tc>
      </w:tr>
      <w:tr>
        <w:trPr>
          <w:trHeight w:val="289"/>
        </w:trPr>
        <w:tc>
          <w:tcPr>
            <w:tcW w:w="1320" w:type="dxa"/>
            <w:vAlign w:val="bottom"/>
          </w:tcPr>
          <w:p>
            <w:pPr>
              <w:spacing w:after="0"/>
              <w:rPr>
                <w:sz w:val="24"/>
                <w:szCs w:val="24"/>
                <w:color w:val="auto"/>
              </w:rPr>
            </w:pPr>
          </w:p>
        </w:tc>
        <w:tc>
          <w:tcPr>
            <w:tcW w:w="8860" w:type="dxa"/>
            <w:vAlign w:val="bottom"/>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 xml:space="preserve">Condensed Consolidated Balance Sheets as of June 30, </w:t>
              </w:r>
              <w:r>
                <w:rPr>
                  <w:rFonts w:ascii="Arial" w:cs="Arial" w:eastAsia="Arial" w:hAnsi="Arial"/>
                  <w:sz w:val="16"/>
                  <w:szCs w:val="16"/>
                  <w:u w:val="single" w:color="auto"/>
                  <w:color w:val="0000FF"/>
                </w:rPr>
                <w:t>2020 and December 31, 2019</w:t>
              </w:r>
            </w:hyperlink>
          </w:p>
        </w:tc>
        <w:tc>
          <w:tcPr>
            <w:tcW w:w="1060" w:type="dxa"/>
            <w:vAlign w:val="bottom"/>
          </w:tcPr>
          <w:p>
            <w:pPr>
              <w:jc w:val="right"/>
              <w:ind w:right="139"/>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r>
      <w:tr>
        <w:trPr>
          <w:trHeight w:val="20"/>
        </w:trPr>
        <w:tc>
          <w:tcPr>
            <w:tcW w:w="1320" w:type="dxa"/>
            <w:vAlign w:val="bottom"/>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320" w:type="dxa"/>
            <w:vAlign w:val="bottom"/>
          </w:tcPr>
          <w:p>
            <w:pPr>
              <w:spacing w:after="0"/>
              <w:rPr>
                <w:sz w:val="21"/>
                <w:szCs w:val="21"/>
                <w:color w:val="auto"/>
              </w:rPr>
            </w:pPr>
          </w:p>
        </w:tc>
        <w:tc>
          <w:tcPr>
            <w:tcW w:w="8860" w:type="dxa"/>
            <w:vAlign w:val="bottom"/>
            <w:gridSpan w:val="7"/>
          </w:tcPr>
          <w:p>
            <w:pPr>
              <w:spacing w:after="0"/>
              <w:rPr>
                <w:rFonts w:ascii="Arial" w:cs="Arial" w:eastAsia="Arial" w:hAnsi="Arial"/>
                <w:sz w:val="16"/>
                <w:szCs w:val="16"/>
                <w:color w:val="0000FF"/>
                <w:w w:val="93"/>
              </w:rPr>
            </w:pPr>
            <w:hyperlink w:anchor="page3">
              <w:r>
                <w:rPr>
                  <w:rFonts w:ascii="Arial" w:cs="Arial" w:eastAsia="Arial" w:hAnsi="Arial"/>
                  <w:sz w:val="16"/>
                  <w:szCs w:val="16"/>
                  <w:u w:val="single" w:color="auto"/>
                  <w:color w:val="0000FF"/>
                  <w:w w:val="93"/>
                </w:rPr>
                <w:t>Condensed Consolidated Statements of Comprehensive Income (Loss) for the Three</w:t>
              </w:r>
              <w:r>
                <w:rPr>
                  <w:rFonts w:ascii="Arial" w:cs="Arial" w:eastAsia="Arial" w:hAnsi="Arial"/>
                  <w:sz w:val="16"/>
                  <w:szCs w:val="16"/>
                  <w:color w:val="0000FF"/>
                  <w:w w:val="93"/>
                </w:rPr>
                <w:t xml:space="preserve"> and </w:t>
              </w:r>
            </w:hyperlink>
            <w:r>
              <w:rPr>
                <w:rFonts w:ascii="Arial" w:cs="Arial" w:eastAsia="Arial" w:hAnsi="Arial"/>
                <w:sz w:val="16"/>
                <w:szCs w:val="16"/>
                <w:color w:val="0000FF"/>
                <w:w w:val="93"/>
              </w:rPr>
              <w:t xml:space="preserve">Six </w:t>
            </w:r>
            <w:hyperlink w:anchor="page3">
              <w:r>
                <w:rPr>
                  <w:rFonts w:ascii="Arial" w:cs="Arial" w:eastAsia="Arial" w:hAnsi="Arial"/>
                  <w:sz w:val="16"/>
                  <w:szCs w:val="16"/>
                  <w:color w:val="0000FF"/>
                  <w:w w:val="93"/>
                </w:rPr>
                <w:t xml:space="preserve">Months Ended June 30, </w:t>
              </w:r>
              <w:r>
                <w:rPr>
                  <w:rFonts w:ascii="Arial" w:cs="Arial" w:eastAsia="Arial" w:hAnsi="Arial"/>
                  <w:sz w:val="16"/>
                  <w:szCs w:val="16"/>
                  <w:u w:val="single" w:color="auto"/>
                  <w:color w:val="0000FF"/>
                  <w:w w:val="93"/>
                </w:rPr>
                <w:t>2020 and 2019</w:t>
              </w:r>
            </w:hyperlink>
          </w:p>
        </w:tc>
        <w:tc>
          <w:tcPr>
            <w:tcW w:w="1060" w:type="dxa"/>
            <w:vAlign w:val="bottom"/>
          </w:tcPr>
          <w:p>
            <w:pPr>
              <w:jc w:val="right"/>
              <w:ind w:right="139"/>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r>
      <w:tr>
        <w:trPr>
          <w:trHeight w:val="20"/>
        </w:trPr>
        <w:tc>
          <w:tcPr>
            <w:tcW w:w="13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320" w:type="dxa"/>
            <w:vAlign w:val="bottom"/>
          </w:tcPr>
          <w:p>
            <w:pPr>
              <w:spacing w:after="0"/>
              <w:rPr>
                <w:sz w:val="21"/>
                <w:szCs w:val="21"/>
                <w:color w:val="auto"/>
              </w:rPr>
            </w:pPr>
          </w:p>
        </w:tc>
        <w:tc>
          <w:tcPr>
            <w:tcW w:w="8860" w:type="dxa"/>
            <w:vAlign w:val="bottom"/>
            <w:gridSpan w:val="7"/>
          </w:tcPr>
          <w:p>
            <w:pPr>
              <w:spacing w:after="0"/>
              <w:rPr>
                <w:rFonts w:ascii="Arial" w:cs="Arial" w:eastAsia="Arial" w:hAnsi="Arial"/>
                <w:sz w:val="16"/>
                <w:szCs w:val="16"/>
                <w:color w:val="0000FF"/>
              </w:rPr>
            </w:pPr>
            <w:hyperlink w:anchor="page4">
              <w:r>
                <w:rPr>
                  <w:rFonts w:ascii="Arial" w:cs="Arial" w:eastAsia="Arial" w:hAnsi="Arial"/>
                  <w:sz w:val="16"/>
                  <w:szCs w:val="16"/>
                  <w:u w:val="single" w:color="auto"/>
                  <w:color w:val="0000FF"/>
                </w:rPr>
                <w:t>Condensed Consolidated Statement of Stockholders’ Equity for the</w:t>
              </w:r>
              <w:r>
                <w:rPr>
                  <w:rFonts w:ascii="Arial" w:cs="Arial" w:eastAsia="Arial" w:hAnsi="Arial"/>
                  <w:sz w:val="16"/>
                  <w:szCs w:val="16"/>
                  <w:color w:val="0000FF"/>
                </w:rPr>
                <w:t xml:space="preserve"> Three and Six Months Ended June 30, </w:t>
              </w:r>
              <w:r>
                <w:rPr>
                  <w:rFonts w:ascii="Arial" w:cs="Arial" w:eastAsia="Arial" w:hAnsi="Arial"/>
                  <w:sz w:val="16"/>
                  <w:szCs w:val="16"/>
                  <w:u w:val="single" w:color="auto"/>
                  <w:color w:val="0000FF"/>
                </w:rPr>
                <w:t>2020 and 2019</w:t>
              </w:r>
            </w:hyperlink>
          </w:p>
        </w:tc>
        <w:tc>
          <w:tcPr>
            <w:tcW w:w="1060" w:type="dxa"/>
            <w:vAlign w:val="bottom"/>
          </w:tcPr>
          <w:p>
            <w:pPr>
              <w:jc w:val="right"/>
              <w:ind w:right="139"/>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r>
      <w:tr>
        <w:trPr>
          <w:trHeight w:val="20"/>
        </w:trPr>
        <w:tc>
          <w:tcPr>
            <w:tcW w:w="13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320" w:type="dxa"/>
            <w:vAlign w:val="bottom"/>
          </w:tcPr>
          <w:p>
            <w:pPr>
              <w:spacing w:after="0"/>
              <w:rPr>
                <w:sz w:val="21"/>
                <w:szCs w:val="21"/>
                <w:color w:val="auto"/>
              </w:rPr>
            </w:pPr>
          </w:p>
        </w:tc>
        <w:tc>
          <w:tcPr>
            <w:tcW w:w="8860" w:type="dxa"/>
            <w:vAlign w:val="bottom"/>
            <w:gridSpan w:val="7"/>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 xml:space="preserve">Condensed Consolidated Statements of Cash Flows for the </w:t>
              </w:r>
            </w:hyperlink>
            <w:r>
              <w:rPr>
                <w:rFonts w:ascii="Arial" w:cs="Arial" w:eastAsia="Arial" w:hAnsi="Arial"/>
                <w:sz w:val="16"/>
                <w:szCs w:val="16"/>
                <w:color w:val="0000FF"/>
              </w:rPr>
              <w:t xml:space="preserve">Six </w:t>
            </w:r>
            <w:hyperlink w:anchor="page6">
              <w:r>
                <w:rPr>
                  <w:rFonts w:ascii="Arial" w:cs="Arial" w:eastAsia="Arial" w:hAnsi="Arial"/>
                  <w:sz w:val="16"/>
                  <w:szCs w:val="16"/>
                  <w:color w:val="0000FF"/>
                </w:rPr>
                <w:t xml:space="preserve">Months Ended June 30, </w:t>
              </w:r>
              <w:r>
                <w:rPr>
                  <w:rFonts w:ascii="Arial" w:cs="Arial" w:eastAsia="Arial" w:hAnsi="Arial"/>
                  <w:sz w:val="16"/>
                  <w:szCs w:val="16"/>
                  <w:u w:val="single" w:color="auto"/>
                  <w:color w:val="0000FF"/>
                </w:rPr>
                <w:t>2020 and 2019</w:t>
              </w:r>
            </w:hyperlink>
          </w:p>
        </w:tc>
        <w:tc>
          <w:tcPr>
            <w:tcW w:w="1060" w:type="dxa"/>
            <w:vAlign w:val="bottom"/>
          </w:tcPr>
          <w:p>
            <w:pPr>
              <w:jc w:val="right"/>
              <w:ind w:right="139"/>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r>
      <w:tr>
        <w:trPr>
          <w:trHeight w:val="285"/>
        </w:trPr>
        <w:tc>
          <w:tcPr>
            <w:tcW w:w="1320" w:type="dxa"/>
            <w:vAlign w:val="bottom"/>
          </w:tcPr>
          <w:p>
            <w:pPr>
              <w:spacing w:after="0"/>
              <w:rPr>
                <w:sz w:val="24"/>
                <w:szCs w:val="24"/>
                <w:color w:val="auto"/>
              </w:rPr>
            </w:pPr>
          </w:p>
        </w:tc>
        <w:tc>
          <w:tcPr>
            <w:tcW w:w="5600" w:type="dxa"/>
            <w:vAlign w:val="bottom"/>
            <w:tcBorders>
              <w:top w:val="single" w:sz="8" w:color="0000FF"/>
            </w:tcBorders>
            <w:gridSpan w:val="4"/>
          </w:tcPr>
          <w:p>
            <w:pPr>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Notes to Condensed Consolidated Financial Statements</w:t>
              </w:r>
            </w:hyperlink>
          </w:p>
        </w:tc>
        <w:tc>
          <w:tcPr>
            <w:tcW w:w="3260" w:type="dxa"/>
            <w:vAlign w:val="bottom"/>
            <w:gridSpan w:val="3"/>
          </w:tcPr>
          <w:p>
            <w:pPr>
              <w:spacing w:after="0"/>
              <w:rPr>
                <w:sz w:val="24"/>
                <w:szCs w:val="24"/>
                <w:color w:val="auto"/>
              </w:rPr>
            </w:pPr>
          </w:p>
        </w:tc>
        <w:tc>
          <w:tcPr>
            <w:tcW w:w="1060" w:type="dxa"/>
            <w:vAlign w:val="bottom"/>
          </w:tcPr>
          <w:p>
            <w:pPr>
              <w:jc w:val="right"/>
              <w:ind w:right="139"/>
              <w:spacing w:after="0"/>
              <w:rPr>
                <w:rFonts w:ascii="Arial" w:cs="Arial" w:eastAsia="Arial" w:hAnsi="Arial"/>
                <w:sz w:val="16"/>
                <w:szCs w:val="16"/>
                <w:color w:val="0000FF"/>
              </w:rPr>
            </w:pPr>
            <w:hyperlink w:anchor="page7">
              <w:r>
                <w:rPr>
                  <w:rFonts w:ascii="Arial" w:cs="Arial" w:eastAsia="Arial" w:hAnsi="Arial"/>
                  <w:sz w:val="16"/>
                  <w:szCs w:val="16"/>
                  <w:color w:val="0000FF"/>
                </w:rPr>
                <w:t>6</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2.</w:t>
            </w:r>
          </w:p>
        </w:tc>
        <w:tc>
          <w:tcPr>
            <w:tcW w:w="8860" w:type="dxa"/>
            <w:vAlign w:val="bottom"/>
            <w:gridSpan w:val="7"/>
          </w:tcPr>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Management’s Discussion and Analysis of Financial Condition and Results of Operations</w:t>
              </w:r>
            </w:hyperlink>
          </w:p>
        </w:tc>
        <w:tc>
          <w:tcPr>
            <w:tcW w:w="1060" w:type="dxa"/>
            <w:vAlign w:val="bottom"/>
          </w:tcPr>
          <w:p>
            <w:pPr>
              <w:jc w:val="right"/>
              <w:ind w:right="139"/>
              <w:spacing w:after="0"/>
              <w:rPr>
                <w:rFonts w:ascii="Arial" w:cs="Arial" w:eastAsia="Arial" w:hAnsi="Arial"/>
                <w:sz w:val="16"/>
                <w:szCs w:val="16"/>
                <w:color w:val="0000FF"/>
              </w:rPr>
            </w:pPr>
            <w:hyperlink w:anchor="page19">
              <w:r>
                <w:rPr>
                  <w:rFonts w:ascii="Arial" w:cs="Arial" w:eastAsia="Arial" w:hAnsi="Arial"/>
                  <w:sz w:val="16"/>
                  <w:szCs w:val="16"/>
                  <w:color w:val="0000FF"/>
                </w:rPr>
                <w:t>18</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3.</w:t>
            </w:r>
          </w:p>
        </w:tc>
        <w:tc>
          <w:tcPr>
            <w:tcW w:w="8860" w:type="dxa"/>
            <w:vAlign w:val="bottom"/>
            <w:gridSpan w:val="7"/>
          </w:tcPr>
          <w:p>
            <w:pPr>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Quantitative and Qualitative Disclosures About Market Risk</w:t>
              </w:r>
            </w:hyperlink>
          </w:p>
        </w:tc>
        <w:tc>
          <w:tcPr>
            <w:tcW w:w="1060" w:type="dxa"/>
            <w:vAlign w:val="bottom"/>
          </w:tcPr>
          <w:p>
            <w:pPr>
              <w:jc w:val="right"/>
              <w:ind w:right="139"/>
              <w:spacing w:after="0"/>
              <w:rPr>
                <w:rFonts w:ascii="Arial" w:cs="Arial" w:eastAsia="Arial" w:hAnsi="Arial"/>
                <w:sz w:val="16"/>
                <w:szCs w:val="16"/>
                <w:color w:val="0000FF"/>
              </w:rPr>
            </w:pPr>
            <w:hyperlink w:anchor="page27">
              <w:r>
                <w:rPr>
                  <w:rFonts w:ascii="Arial" w:cs="Arial" w:eastAsia="Arial" w:hAnsi="Arial"/>
                  <w:sz w:val="16"/>
                  <w:szCs w:val="16"/>
                  <w:color w:val="0000FF"/>
                </w:rPr>
                <w:t>25</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4.</w:t>
            </w:r>
          </w:p>
        </w:tc>
        <w:tc>
          <w:tcPr>
            <w:tcW w:w="8860" w:type="dxa"/>
            <w:vAlign w:val="bottom"/>
            <w:gridSpan w:val="7"/>
          </w:tcPr>
          <w:p>
            <w:pPr>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Controls and Procedures</w:t>
              </w:r>
            </w:hyperlink>
          </w:p>
        </w:tc>
        <w:tc>
          <w:tcPr>
            <w:tcW w:w="1060" w:type="dxa"/>
            <w:vAlign w:val="bottom"/>
          </w:tcPr>
          <w:p>
            <w:pPr>
              <w:jc w:val="right"/>
              <w:ind w:right="139"/>
              <w:spacing w:after="0"/>
              <w:rPr>
                <w:rFonts w:ascii="Arial" w:cs="Arial" w:eastAsia="Arial" w:hAnsi="Arial"/>
                <w:sz w:val="16"/>
                <w:szCs w:val="16"/>
                <w:color w:val="0000FF"/>
              </w:rPr>
            </w:pPr>
            <w:hyperlink w:anchor="page28">
              <w:r>
                <w:rPr>
                  <w:rFonts w:ascii="Arial" w:cs="Arial" w:eastAsia="Arial" w:hAnsi="Arial"/>
                  <w:sz w:val="16"/>
                  <w:szCs w:val="16"/>
                  <w:color w:val="0000FF"/>
                </w:rPr>
                <w:t>26</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PART II</w:t>
            </w:r>
          </w:p>
        </w:tc>
        <w:tc>
          <w:tcPr>
            <w:tcW w:w="8860" w:type="dxa"/>
            <w:vAlign w:val="bottom"/>
            <w:gridSpan w:val="7"/>
          </w:tcPr>
          <w:p>
            <w:pPr>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OTHER INFORMATION</w:t>
              </w:r>
            </w:hyperlink>
          </w:p>
        </w:tc>
        <w:tc>
          <w:tcPr>
            <w:tcW w:w="1060" w:type="dxa"/>
            <w:vAlign w:val="bottom"/>
          </w:tcPr>
          <w:p>
            <w:pPr>
              <w:jc w:val="right"/>
              <w:ind w:right="139"/>
              <w:spacing w:after="0"/>
              <w:rPr>
                <w:rFonts w:ascii="Arial" w:cs="Arial" w:eastAsia="Arial" w:hAnsi="Arial"/>
                <w:sz w:val="16"/>
                <w:szCs w:val="16"/>
                <w:color w:val="0000FF"/>
              </w:rPr>
            </w:pPr>
            <w:hyperlink w:anchor="page28">
              <w:r>
                <w:rPr>
                  <w:rFonts w:ascii="Arial" w:cs="Arial" w:eastAsia="Arial" w:hAnsi="Arial"/>
                  <w:sz w:val="16"/>
                  <w:szCs w:val="16"/>
                  <w:color w:val="0000FF"/>
                </w:rPr>
                <w:t>27</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1.</w:t>
            </w:r>
          </w:p>
        </w:tc>
        <w:tc>
          <w:tcPr>
            <w:tcW w:w="8860" w:type="dxa"/>
            <w:vAlign w:val="bottom"/>
            <w:gridSpan w:val="7"/>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Legal Proceedings</w:t>
              </w:r>
            </w:hyperlink>
          </w:p>
        </w:tc>
        <w:tc>
          <w:tcPr>
            <w:tcW w:w="1060" w:type="dxa"/>
            <w:vAlign w:val="bottom"/>
          </w:tcPr>
          <w:p>
            <w:pPr>
              <w:jc w:val="right"/>
              <w:ind w:right="139"/>
              <w:spacing w:after="0"/>
              <w:rPr>
                <w:rFonts w:ascii="Arial" w:cs="Arial" w:eastAsia="Arial" w:hAnsi="Arial"/>
                <w:sz w:val="16"/>
                <w:szCs w:val="16"/>
                <w:color w:val="0000FF"/>
              </w:rPr>
            </w:pPr>
            <w:hyperlink w:anchor="page29">
              <w:r>
                <w:rPr>
                  <w:rFonts w:ascii="Arial" w:cs="Arial" w:eastAsia="Arial" w:hAnsi="Arial"/>
                  <w:sz w:val="16"/>
                  <w:szCs w:val="16"/>
                  <w:color w:val="0000FF"/>
                </w:rPr>
                <w:t>27</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1A.</w:t>
            </w:r>
          </w:p>
        </w:tc>
        <w:tc>
          <w:tcPr>
            <w:tcW w:w="8860" w:type="dxa"/>
            <w:vAlign w:val="bottom"/>
            <w:gridSpan w:val="7"/>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Risk Factors</w:t>
              </w:r>
            </w:hyperlink>
          </w:p>
        </w:tc>
        <w:tc>
          <w:tcPr>
            <w:tcW w:w="1060" w:type="dxa"/>
            <w:vAlign w:val="bottom"/>
          </w:tcPr>
          <w:p>
            <w:pPr>
              <w:jc w:val="right"/>
              <w:ind w:right="139"/>
              <w:spacing w:after="0"/>
              <w:rPr>
                <w:rFonts w:ascii="Arial" w:cs="Arial" w:eastAsia="Arial" w:hAnsi="Arial"/>
                <w:sz w:val="16"/>
                <w:szCs w:val="16"/>
                <w:color w:val="0000FF"/>
              </w:rPr>
            </w:pPr>
            <w:hyperlink w:anchor="page29">
              <w:r>
                <w:rPr>
                  <w:rFonts w:ascii="Arial" w:cs="Arial" w:eastAsia="Arial" w:hAnsi="Arial"/>
                  <w:sz w:val="16"/>
                  <w:szCs w:val="16"/>
                  <w:color w:val="0000FF"/>
                </w:rPr>
                <w:t>27</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2.</w:t>
            </w:r>
          </w:p>
        </w:tc>
        <w:tc>
          <w:tcPr>
            <w:tcW w:w="8860" w:type="dxa"/>
            <w:vAlign w:val="bottom"/>
            <w:gridSpan w:val="7"/>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Unregistered Sales of Equity Securities and Use of Proceeds</w:t>
              </w:r>
            </w:hyperlink>
          </w:p>
        </w:tc>
        <w:tc>
          <w:tcPr>
            <w:tcW w:w="1060" w:type="dxa"/>
            <w:vAlign w:val="bottom"/>
          </w:tcPr>
          <w:p>
            <w:pPr>
              <w:jc w:val="right"/>
              <w:ind w:right="139"/>
              <w:spacing w:after="0"/>
              <w:rPr>
                <w:rFonts w:ascii="Arial" w:cs="Arial" w:eastAsia="Arial" w:hAnsi="Arial"/>
                <w:sz w:val="16"/>
                <w:szCs w:val="16"/>
                <w:color w:val="0000FF"/>
              </w:rPr>
            </w:pPr>
            <w:hyperlink w:anchor="page29">
              <w:r>
                <w:rPr>
                  <w:rFonts w:ascii="Arial" w:cs="Arial" w:eastAsia="Arial" w:hAnsi="Arial"/>
                  <w:sz w:val="16"/>
                  <w:szCs w:val="16"/>
                  <w:color w:val="0000FF"/>
                </w:rPr>
                <w:t>27</w:t>
              </w:r>
            </w:hyperlink>
          </w:p>
        </w:tc>
      </w:tr>
      <w:tr>
        <w:trPr>
          <w:trHeight w:val="311"/>
        </w:trPr>
        <w:tc>
          <w:tcPr>
            <w:tcW w:w="1320" w:type="dxa"/>
            <w:vAlign w:val="bottom"/>
          </w:tcPr>
          <w:p>
            <w:pPr>
              <w:ind w:left="240"/>
              <w:spacing w:after="0"/>
              <w:rPr>
                <w:sz w:val="20"/>
                <w:szCs w:val="20"/>
                <w:color w:val="auto"/>
              </w:rPr>
            </w:pPr>
            <w:r>
              <w:rPr>
                <w:rFonts w:ascii="Arial" w:cs="Arial" w:eastAsia="Arial" w:hAnsi="Arial"/>
                <w:sz w:val="16"/>
                <w:szCs w:val="16"/>
                <w:color w:val="auto"/>
              </w:rPr>
              <w:t>Item 6.</w:t>
            </w:r>
          </w:p>
        </w:tc>
        <w:tc>
          <w:tcPr>
            <w:tcW w:w="8860" w:type="dxa"/>
            <w:vAlign w:val="bottom"/>
            <w:gridSpan w:val="7"/>
          </w:tcPr>
          <w:p>
            <w:pPr>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Exhibits</w:t>
              </w:r>
            </w:hyperlink>
          </w:p>
        </w:tc>
        <w:tc>
          <w:tcPr>
            <w:tcW w:w="1060" w:type="dxa"/>
            <w:vAlign w:val="bottom"/>
          </w:tcPr>
          <w:p>
            <w:pPr>
              <w:jc w:val="right"/>
              <w:ind w:right="139"/>
              <w:spacing w:after="0"/>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r>
      <w:tr>
        <w:trPr>
          <w:trHeight w:val="270"/>
        </w:trPr>
        <w:tc>
          <w:tcPr>
            <w:tcW w:w="1320" w:type="dxa"/>
            <w:vAlign w:val="bottom"/>
          </w:tcPr>
          <w:p>
            <w:pPr>
              <w:ind w:left="28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Signatures</w:t>
              </w:r>
            </w:hyperlink>
          </w:p>
        </w:tc>
        <w:tc>
          <w:tcPr>
            <w:tcW w:w="3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jc w:val="right"/>
              <w:ind w:right="139"/>
              <w:spacing w:after="0"/>
              <w:rPr>
                <w:rFonts w:ascii="Arial" w:cs="Arial" w:eastAsia="Arial" w:hAnsi="Arial"/>
                <w:sz w:val="16"/>
                <w:szCs w:val="16"/>
                <w:color w:val="0000FF"/>
              </w:rPr>
            </w:pPr>
            <w:hyperlink w:anchor="page31">
              <w:r>
                <w:rPr>
                  <w:rFonts w:ascii="Arial" w:cs="Arial" w:eastAsia="Arial" w:hAnsi="Arial"/>
                  <w:sz w:val="16"/>
                  <w:szCs w:val="16"/>
                  <w:color w:val="0000FF"/>
                </w:rPr>
                <w:t>30</w:t>
              </w:r>
            </w:hyperlink>
          </w:p>
        </w:tc>
      </w:tr>
      <w:tr>
        <w:trPr>
          <w:trHeight w:val="2780"/>
        </w:trPr>
        <w:tc>
          <w:tcPr>
            <w:tcW w:w="13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40" w:type="dxa"/>
            <w:vAlign w:val="bottom"/>
          </w:tcPr>
          <w:p>
            <w:pPr>
              <w:jc w:val="right"/>
              <w:ind w:right="158"/>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8"/>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8"/>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0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43,926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49,766</w:t>
            </w:r>
          </w:p>
        </w:tc>
        <w:tc>
          <w:tcPr>
            <w:tcW w:w="0" w:type="dxa"/>
            <w:vAlign w:val="bottom"/>
          </w:tcPr>
          <w:p>
            <w:pPr>
              <w:spacing w:after="0"/>
              <w:rPr>
                <w:sz w:val="1"/>
                <w:szCs w:val="1"/>
                <w:color w:val="auto"/>
              </w:rPr>
            </w:pPr>
          </w:p>
        </w:tc>
      </w:tr>
      <w:tr>
        <w:trPr>
          <w:trHeight w:val="224"/>
        </w:trPr>
        <w:tc>
          <w:tcPr>
            <w:tcW w:w="810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10,751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13,177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Investments, at fair value</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30,228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50,324</w:t>
            </w:r>
          </w:p>
        </w:tc>
        <w:tc>
          <w:tcPr>
            <w:tcW w:w="0" w:type="dxa"/>
            <w:vAlign w:val="bottom"/>
          </w:tcPr>
          <w:p>
            <w:pPr>
              <w:spacing w:after="0"/>
              <w:rPr>
                <w:sz w:val="1"/>
                <w:szCs w:val="1"/>
                <w:color w:val="auto"/>
              </w:rPr>
            </w:pPr>
          </w:p>
        </w:tc>
      </w:tr>
      <w:tr>
        <w:trPr>
          <w:trHeight w:val="223"/>
        </w:trPr>
        <w:tc>
          <w:tcPr>
            <w:tcW w:w="8100" w:type="dxa"/>
            <w:vAlign w:val="bottom"/>
          </w:tcPr>
          <w:p>
            <w:pPr>
              <w:ind w:left="460"/>
              <w:spacing w:after="0"/>
              <w:rPr>
                <w:sz w:val="20"/>
                <w:szCs w:val="20"/>
                <w:color w:val="auto"/>
              </w:rPr>
            </w:pPr>
            <w:r>
              <w:rPr>
                <w:rFonts w:ascii="Arial" w:cs="Arial" w:eastAsia="Arial" w:hAnsi="Arial"/>
                <w:sz w:val="16"/>
                <w:szCs w:val="16"/>
                <w:color w:val="auto"/>
              </w:rPr>
              <w:t>Prepaid income taxes</w:t>
            </w:r>
          </w:p>
        </w:tc>
        <w:tc>
          <w:tcPr>
            <w:tcW w:w="28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1,764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217"/>
        </w:trPr>
        <w:tc>
          <w:tcPr>
            <w:tcW w:w="8100" w:type="dxa"/>
            <w:vAlign w:val="bottom"/>
          </w:tcPr>
          <w:p>
            <w:pPr>
              <w:ind w:left="7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87,378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116,961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8,154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224"/>
        </w:trPr>
        <w:tc>
          <w:tcPr>
            <w:tcW w:w="8100" w:type="dxa"/>
            <w:vAlign w:val="bottom"/>
          </w:tcPr>
          <w:p>
            <w:pPr>
              <w:ind w:left="20"/>
              <w:spacing w:after="0"/>
              <w:rPr>
                <w:sz w:val="20"/>
                <w:szCs w:val="20"/>
                <w:color w:val="auto"/>
              </w:rPr>
            </w:pPr>
            <w:r>
              <w:rPr>
                <w:rFonts w:ascii="Arial" w:cs="Arial" w:eastAsia="Arial" w:hAnsi="Arial"/>
                <w:sz w:val="16"/>
                <w:szCs w:val="16"/>
                <w:color w:val="auto"/>
              </w:rPr>
              <w:t>Noncurrent investments at fair value</w:t>
            </w:r>
          </w:p>
        </w:tc>
        <w:tc>
          <w:tcPr>
            <w:tcW w:w="28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4,238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19,804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3,139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2,216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6,981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7,562</w:t>
            </w:r>
          </w:p>
        </w:tc>
        <w:tc>
          <w:tcPr>
            <w:tcW w:w="0" w:type="dxa"/>
            <w:vAlign w:val="bottom"/>
          </w:tcPr>
          <w:p>
            <w:pPr>
              <w:spacing w:after="0"/>
              <w:rPr>
                <w:sz w:val="1"/>
                <w:szCs w:val="1"/>
                <w:color w:val="auto"/>
              </w:rPr>
            </w:pPr>
          </w:p>
        </w:tc>
      </w:tr>
      <w:tr>
        <w:trPr>
          <w:trHeight w:val="224"/>
        </w:trPr>
        <w:tc>
          <w:tcPr>
            <w:tcW w:w="8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14,398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15,256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$7,827 and $7,395</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3,741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4,152</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28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147,421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178,707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1,781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Dividends payable</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7,362</w:t>
            </w:r>
          </w:p>
        </w:tc>
        <w:tc>
          <w:tcPr>
            <w:tcW w:w="0" w:type="dxa"/>
            <w:vAlign w:val="bottom"/>
          </w:tcPr>
          <w:p>
            <w:pPr>
              <w:spacing w:after="0"/>
              <w:rPr>
                <w:sz w:val="1"/>
                <w:szCs w:val="1"/>
                <w:color w:val="auto"/>
              </w:rPr>
            </w:pPr>
          </w:p>
        </w:tc>
      </w:tr>
      <w:tr>
        <w:trPr>
          <w:trHeight w:val="223"/>
        </w:trPr>
        <w:tc>
          <w:tcPr>
            <w:tcW w:w="8100" w:type="dxa"/>
            <w:vAlign w:val="bottom"/>
          </w:tcPr>
          <w:p>
            <w:pPr>
              <w:ind w:left="460"/>
              <w:spacing w:after="0"/>
              <w:rPr>
                <w:sz w:val="20"/>
                <w:szCs w:val="20"/>
                <w:color w:val="auto"/>
              </w:rPr>
            </w:pPr>
            <w:r>
              <w:rPr>
                <w:rFonts w:ascii="Arial" w:cs="Arial" w:eastAsia="Arial" w:hAnsi="Arial"/>
                <w:sz w:val="16"/>
                <w:szCs w:val="16"/>
                <w:color w:val="auto"/>
              </w:rPr>
              <w:t>Compensation and benefits payable</w:t>
            </w:r>
          </w:p>
        </w:tc>
        <w:tc>
          <w:tcPr>
            <w:tcW w:w="28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3,912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9,975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1,666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23"/>
        </w:trPr>
        <w:tc>
          <w:tcPr>
            <w:tcW w:w="8100" w:type="dxa"/>
            <w:vAlign w:val="bottom"/>
          </w:tcPr>
          <w:p>
            <w:pPr>
              <w:ind w:left="46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8,678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21,355</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6"/>
                <w:szCs w:val="16"/>
                <w:color w:val="auto"/>
              </w:rPr>
              <w:t>Accrued dividends</w:t>
            </w:r>
          </w:p>
        </w:tc>
        <w:tc>
          <w:tcPr>
            <w:tcW w:w="28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6,943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7,762</w:t>
            </w:r>
          </w:p>
        </w:tc>
        <w:tc>
          <w:tcPr>
            <w:tcW w:w="0" w:type="dxa"/>
            <w:vAlign w:val="bottom"/>
          </w:tcPr>
          <w:p>
            <w:pPr>
              <w:spacing w:after="0"/>
              <w:rPr>
                <w:sz w:val="1"/>
                <w:szCs w:val="1"/>
                <w:color w:val="auto"/>
              </w:rPr>
            </w:pPr>
          </w:p>
        </w:tc>
      </w:tr>
      <w:tr>
        <w:trPr>
          <w:trHeight w:val="217"/>
        </w:trPr>
        <w:tc>
          <w:tcPr>
            <w:tcW w:w="8100" w:type="dxa"/>
            <w:vAlign w:val="bottom"/>
          </w:tcPr>
          <w:p>
            <w:pPr>
              <w:ind w:left="78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15,992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30,420</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11)</w:t>
            </w: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shd w:val="clear" w:color="auto" w:fill="CCEEFF"/>
          </w:tcPr>
          <w:p>
            <w:pPr>
              <w:ind w:left="480"/>
              <w:spacing w:after="0" w:line="166" w:lineRule="exact"/>
              <w:rPr>
                <w:sz w:val="20"/>
                <w:szCs w:val="20"/>
                <w:color w:val="auto"/>
              </w:rPr>
            </w:pPr>
            <w:r>
              <w:rPr>
                <w:rFonts w:ascii="Arial" w:cs="Arial" w:eastAsia="Arial" w:hAnsi="Arial"/>
                <w:sz w:val="16"/>
                <w:szCs w:val="16"/>
                <w:color w:val="auto"/>
                <w:w w:val="91"/>
              </w:rPr>
              <w:t>Common stock, $0.01 par value, authorized 25,000,000 shares, issued 10,558,111 and outstanding 8,382,342 shares</w:t>
            </w: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at June 30, 2020; issued 10,306,570 and outstanding 8,881,086 shares at December 31, 2019</w:t>
            </w:r>
          </w:p>
        </w:tc>
        <w:tc>
          <w:tcPr>
            <w:tcW w:w="2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208,572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203,441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Treasury stock, at cost - 2,175,758 shares at June 30, 2020; 1,425,483 shares at December 31, 2019</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(78,050)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(63,281)</w:t>
            </w:r>
          </w:p>
        </w:tc>
        <w:tc>
          <w:tcPr>
            <w:tcW w:w="0" w:type="dxa"/>
            <w:vAlign w:val="bottom"/>
          </w:tcPr>
          <w:p>
            <w:pPr>
              <w:spacing w:after="0"/>
              <w:rPr>
                <w:sz w:val="1"/>
                <w:szCs w:val="1"/>
                <w:color w:val="auto"/>
              </w:rPr>
            </w:pPr>
          </w:p>
        </w:tc>
      </w:tr>
      <w:tr>
        <w:trPr>
          <w:trHeight w:val="224"/>
        </w:trPr>
        <w:tc>
          <w:tcPr>
            <w:tcW w:w="8100" w:type="dxa"/>
            <w:vAlign w:val="bottom"/>
          </w:tcPr>
          <w:p>
            <w:pPr>
              <w:ind w:left="46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(4,814)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5,615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10,967</w:t>
            </w:r>
          </w:p>
        </w:tc>
        <w:tc>
          <w:tcPr>
            <w:tcW w:w="0" w:type="dxa"/>
            <w:vAlign w:val="bottom"/>
          </w:tcPr>
          <w:p>
            <w:pPr>
              <w:spacing w:after="0"/>
              <w:rPr>
                <w:sz w:val="1"/>
                <w:szCs w:val="1"/>
                <w:color w:val="auto"/>
              </w:rPr>
            </w:pPr>
          </w:p>
        </w:tc>
      </w:tr>
      <w:tr>
        <w:trPr>
          <w:trHeight w:val="217"/>
        </w:trPr>
        <w:tc>
          <w:tcPr>
            <w:tcW w:w="8100" w:type="dxa"/>
            <w:vAlign w:val="bottom"/>
          </w:tcPr>
          <w:p>
            <w:pPr>
              <w:ind w:left="78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131,429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148,287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147,421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178,707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440"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(LOSS) (In thousands, except per share data and share amounts)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8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Arial" w:cs="Arial" w:eastAsia="Arial" w:hAnsi="Arial"/>
                <w:sz w:val="16"/>
                <w:szCs w:val="16"/>
                <w:b w:val="1"/>
                <w:bCs w:val="1"/>
                <w:color w:val="auto"/>
              </w:rPr>
              <w:t>2019</w:t>
            </w:r>
          </w:p>
        </w:tc>
      </w:tr>
      <w:tr>
        <w:trPr>
          <w:trHeight w:val="33"/>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Advisory fees: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Asset-based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20,430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31,101</w:t>
            </w:r>
          </w:p>
        </w:tc>
      </w:tr>
      <w:tr>
        <w:trPr>
          <w:trHeight w:val="243"/>
        </w:trPr>
        <w:tc>
          <w:tcPr>
            <w:tcW w:w="5360" w:type="dxa"/>
            <w:vAlign w:val="bottom"/>
          </w:tcPr>
          <w:p>
            <w:pPr>
              <w:ind w:left="660"/>
              <w:spacing w:after="0"/>
              <w:rPr>
                <w:sz w:val="20"/>
                <w:szCs w:val="20"/>
                <w:color w:val="auto"/>
              </w:rPr>
            </w:pPr>
            <w:r>
              <w:rPr>
                <w:rFonts w:ascii="Arial" w:cs="Arial" w:eastAsia="Arial" w:hAnsi="Arial"/>
                <w:sz w:val="18"/>
                <w:szCs w:val="18"/>
                <w:color w:val="auto"/>
              </w:rPr>
              <w:t>Performance-based</w:t>
            </w:r>
          </w:p>
        </w:tc>
        <w:tc>
          <w:tcPr>
            <w:tcW w:w="24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300</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Trust fees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12,983</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Trust performance-based fees</w:t>
            </w:r>
          </w:p>
        </w:tc>
        <w:tc>
          <w:tcPr>
            <w:tcW w:w="24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1,187</w:t>
            </w:r>
          </w:p>
        </w:tc>
      </w:tr>
      <w:tr>
        <w:trPr>
          <w:trHeight w:val="237"/>
        </w:trPr>
        <w:tc>
          <w:tcPr>
            <w:tcW w:w="536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15,875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21,709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32,544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45,571</w:t>
            </w: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10,787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11,378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23,455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25,988</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1,044</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Westwood mutual funds</w:t>
            </w:r>
          </w:p>
        </w:tc>
        <w:tc>
          <w:tcPr>
            <w:tcW w:w="24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1,507</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Information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4,259</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2,318</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4,836</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(Gain) loss on foreign currency transactions</w:t>
            </w:r>
          </w:p>
        </w:tc>
        <w:tc>
          <w:tcPr>
            <w:tcW w:w="24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1,544</w:t>
            </w: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3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18,009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34,262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41,496</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Net operating income (loss)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4,075</w:t>
            </w: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gains (losses) on private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4,152</w:t>
            </w: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1,899</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2,253</w:t>
            </w:r>
          </w:p>
        </w:tc>
      </w:tr>
      <w:tr>
        <w:trPr>
          <w:trHeight w:val="27"/>
        </w:trPr>
        <w:tc>
          <w:tcPr>
            <w:tcW w:w="5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1,566</w:t>
            </w: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2,596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0.27</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7,879,698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8,446,610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8,147,045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8,406,367</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7,879,698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8,476,777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8,147,045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8,467,589</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5"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June 30, 2020 and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20" w:type="dxa"/>
            <w:vAlign w:val="bottom"/>
          </w:tcPr>
          <w:p>
            <w:pPr>
              <w:spacing w:after="0"/>
              <w:rPr>
                <w:sz w:val="16"/>
                <w:szCs w:val="16"/>
                <w:color w:val="auto"/>
              </w:rPr>
            </w:pPr>
          </w:p>
        </w:tc>
        <w:tc>
          <w:tcPr>
            <w:tcW w:w="2160" w:type="dxa"/>
            <w:vAlign w:val="bottom"/>
            <w:gridSpan w:val="5"/>
          </w:tcPr>
          <w:p>
            <w:pPr>
              <w:ind w:left="360"/>
              <w:spacing w:after="0"/>
              <w:rPr>
                <w:sz w:val="20"/>
                <w:szCs w:val="20"/>
                <w:color w:val="auto"/>
              </w:rPr>
            </w:pPr>
            <w:r>
              <w:rPr>
                <w:rFonts w:ascii="Arial" w:cs="Arial" w:eastAsia="Arial" w:hAnsi="Arial"/>
                <w:sz w:val="15"/>
                <w:szCs w:val="15"/>
                <w:b w:val="1"/>
                <w:bCs w:val="1"/>
                <w:color w:val="auto"/>
              </w:rPr>
              <w:t>Common Stock, Par</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Accumulated Other</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1"/>
              </w:rPr>
              <w:t>Treasury</w:t>
            </w:r>
          </w:p>
        </w:tc>
        <w:tc>
          <w:tcPr>
            <w:tcW w:w="140" w:type="dxa"/>
            <w:vAlign w:val="bottom"/>
          </w:tcPr>
          <w:p>
            <w:pPr>
              <w:spacing w:after="0"/>
              <w:rPr>
                <w:sz w:val="4"/>
                <w:szCs w:val="4"/>
                <w:color w:val="auto"/>
              </w:rPr>
            </w:pPr>
          </w:p>
        </w:tc>
        <w:tc>
          <w:tcPr>
            <w:tcW w:w="140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0"/>
              </w:rPr>
              <w:t>Comprehensive</w:t>
            </w:r>
          </w:p>
        </w:tc>
        <w:tc>
          <w:tcPr>
            <w:tcW w:w="140" w:type="dxa"/>
            <w:vAlign w:val="bottom"/>
          </w:tcPr>
          <w:p>
            <w:pPr>
              <w:spacing w:after="0"/>
              <w:rPr>
                <w:sz w:val="4"/>
                <w:szCs w:val="4"/>
                <w:color w:val="auto"/>
              </w:rPr>
            </w:pPr>
          </w:p>
        </w:tc>
        <w:tc>
          <w:tcPr>
            <w:tcW w:w="94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11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Stock</w:t>
            </w:r>
          </w:p>
        </w:tc>
        <w:tc>
          <w:tcPr>
            <w:tcW w:w="14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Income (Loss)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60" w:type="dxa"/>
            <w:vAlign w:val="bottom"/>
          </w:tcPr>
          <w:p>
            <w:pPr>
              <w:jc w:val="right"/>
              <w:ind w:right="2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2020</w:t>
            </w: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8,780,041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206,267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138,389</w:t>
            </w: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9,998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9"/>
              </w:rPr>
              <w:t>Dividend reversal for forfeited restricted stock</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2,305</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Purchases of treasury stock</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(407,697)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(8,085)</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6"/>
                <w:szCs w:val="16"/>
                <w:b w:val="1"/>
                <w:bCs w:val="1"/>
                <w:color w:val="auto"/>
              </w:rPr>
              <w:t>Balance, June 30, 2020</w:t>
            </w: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8,382,342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208,572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(78,050)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(4,814)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5,615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131,429</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220" w:type="dxa"/>
            <w:vAlign w:val="bottom"/>
          </w:tcPr>
          <w:p>
            <w:pPr>
              <w:spacing w:after="0"/>
              <w:rPr>
                <w:sz w:val="24"/>
                <w:szCs w:val="24"/>
                <w:color w:val="auto"/>
              </w:rPr>
            </w:pPr>
          </w:p>
        </w:tc>
        <w:tc>
          <w:tcPr>
            <w:tcW w:w="2160" w:type="dxa"/>
            <w:vAlign w:val="bottom"/>
            <w:gridSpan w:val="5"/>
          </w:tcPr>
          <w:p>
            <w:pPr>
              <w:ind w:left="360"/>
              <w:spacing w:after="0"/>
              <w:rPr>
                <w:sz w:val="20"/>
                <w:szCs w:val="20"/>
                <w:color w:val="auto"/>
              </w:rPr>
            </w:pPr>
            <w:r>
              <w:rPr>
                <w:rFonts w:ascii="Arial" w:cs="Arial" w:eastAsia="Arial" w:hAnsi="Arial"/>
                <w:sz w:val="15"/>
                <w:szCs w:val="15"/>
                <w:b w:val="1"/>
                <w:bCs w:val="1"/>
                <w:color w:val="auto"/>
              </w:rPr>
              <w:t>Common Stock, Par</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Accumulated Other</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1"/>
              </w:rPr>
              <w:t>Treasury</w:t>
            </w:r>
          </w:p>
        </w:tc>
        <w:tc>
          <w:tcPr>
            <w:tcW w:w="140" w:type="dxa"/>
            <w:vAlign w:val="bottom"/>
          </w:tcPr>
          <w:p>
            <w:pPr>
              <w:spacing w:after="0"/>
              <w:rPr>
                <w:sz w:val="4"/>
                <w:szCs w:val="4"/>
                <w:color w:val="auto"/>
              </w:rPr>
            </w:pPr>
          </w:p>
        </w:tc>
        <w:tc>
          <w:tcPr>
            <w:tcW w:w="140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0"/>
              </w:rPr>
              <w:t>Comprehensive</w:t>
            </w:r>
          </w:p>
        </w:tc>
        <w:tc>
          <w:tcPr>
            <w:tcW w:w="140" w:type="dxa"/>
            <w:vAlign w:val="bottom"/>
          </w:tcPr>
          <w:p>
            <w:pPr>
              <w:spacing w:after="0"/>
              <w:rPr>
                <w:sz w:val="4"/>
                <w:szCs w:val="4"/>
                <w:color w:val="auto"/>
              </w:rPr>
            </w:pPr>
          </w:p>
        </w:tc>
        <w:tc>
          <w:tcPr>
            <w:tcW w:w="94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11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Stock</w:t>
            </w:r>
          </w:p>
        </w:tc>
        <w:tc>
          <w:tcPr>
            <w:tcW w:w="14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Income (Loss)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60" w:type="dxa"/>
            <w:vAlign w:val="bottom"/>
          </w:tcPr>
          <w:p>
            <w:pPr>
              <w:jc w:val="right"/>
              <w:ind w:right="2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2019</w:t>
            </w: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8,975,865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197,598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(62,077)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24,537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156,110</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Dividends declared ($0.72 per share)</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(6,344)</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Purchases of treasury stock</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6"/>
                <w:szCs w:val="16"/>
                <w:b w:val="1"/>
                <w:bCs w:val="1"/>
                <w:color w:val="auto"/>
              </w:rPr>
              <w:t>Balance, June 30, 2019</w:t>
            </w: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8,944,733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200,028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(62,883)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(3,317)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20,054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153,986</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55"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3220" w:type="dxa"/>
            <w:vAlign w:val="bottom"/>
          </w:tcPr>
          <w:p>
            <w:pPr>
              <w:spacing w:after="0"/>
              <w:rPr>
                <w:sz w:val="16"/>
                <w:szCs w:val="16"/>
                <w:color w:val="auto"/>
              </w:rPr>
            </w:pPr>
          </w:p>
        </w:tc>
        <w:tc>
          <w:tcPr>
            <w:tcW w:w="2160" w:type="dxa"/>
            <w:vAlign w:val="bottom"/>
            <w:gridSpan w:val="5"/>
          </w:tcPr>
          <w:p>
            <w:pPr>
              <w:ind w:left="360"/>
              <w:spacing w:after="0"/>
              <w:rPr>
                <w:sz w:val="20"/>
                <w:szCs w:val="20"/>
                <w:color w:val="auto"/>
              </w:rPr>
            </w:pPr>
            <w:r>
              <w:rPr>
                <w:rFonts w:ascii="Arial" w:cs="Arial" w:eastAsia="Arial" w:hAnsi="Arial"/>
                <w:sz w:val="15"/>
                <w:szCs w:val="15"/>
                <w:b w:val="1"/>
                <w:bCs w:val="1"/>
                <w:color w:val="auto"/>
              </w:rPr>
              <w:t>Common Stock, Par</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Accumulated Other</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1"/>
              </w:rPr>
              <w:t>Treasury</w:t>
            </w:r>
          </w:p>
        </w:tc>
        <w:tc>
          <w:tcPr>
            <w:tcW w:w="140" w:type="dxa"/>
            <w:vAlign w:val="bottom"/>
          </w:tcPr>
          <w:p>
            <w:pPr>
              <w:spacing w:after="0"/>
              <w:rPr>
                <w:sz w:val="4"/>
                <w:szCs w:val="4"/>
                <w:color w:val="auto"/>
              </w:rPr>
            </w:pPr>
          </w:p>
        </w:tc>
        <w:tc>
          <w:tcPr>
            <w:tcW w:w="140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0"/>
              </w:rPr>
              <w:t>Comprehensive</w:t>
            </w:r>
          </w:p>
        </w:tc>
        <w:tc>
          <w:tcPr>
            <w:tcW w:w="140" w:type="dxa"/>
            <w:vAlign w:val="bottom"/>
          </w:tcPr>
          <w:p>
            <w:pPr>
              <w:spacing w:after="0"/>
              <w:rPr>
                <w:sz w:val="4"/>
                <w:szCs w:val="4"/>
                <w:color w:val="auto"/>
              </w:rPr>
            </w:pPr>
          </w:p>
        </w:tc>
        <w:tc>
          <w:tcPr>
            <w:tcW w:w="94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11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Stock</w:t>
            </w:r>
          </w:p>
        </w:tc>
        <w:tc>
          <w:tcPr>
            <w:tcW w:w="14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Income (Loss)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8,881,086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203,441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(63,281)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148,287</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251,531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2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Dividends declared ($0.43 per share), net of</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(3,879)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forfeitures</w:t>
            </w: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4,921</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2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98"/>
              </w:rPr>
              <w:t>Reclassification of compensation liability to be</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paid in shares</w:t>
            </w: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Purchases of treasury stock</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(679,756)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(12,952)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(12,952)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2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Purchase of treasury stock under employee</w:t>
            </w:r>
          </w:p>
        </w:tc>
        <w:tc>
          <w:tcPr>
            <w:tcW w:w="10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(27,474)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plans</w:t>
            </w: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6"/>
                <w:szCs w:val="16"/>
                <w:color w:val="auto"/>
                <w:w w:val="97"/>
              </w:rPr>
              <w:t>Restricted stock returned for payment of taxes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(43,045)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2020</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8,382,342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208,572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(78,050)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131,429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220" w:type="dxa"/>
            <w:vAlign w:val="bottom"/>
          </w:tcPr>
          <w:p>
            <w:pPr>
              <w:spacing w:after="0"/>
              <w:rPr>
                <w:sz w:val="24"/>
                <w:szCs w:val="24"/>
                <w:color w:val="auto"/>
              </w:rPr>
            </w:pPr>
          </w:p>
        </w:tc>
        <w:tc>
          <w:tcPr>
            <w:tcW w:w="2160" w:type="dxa"/>
            <w:vAlign w:val="bottom"/>
            <w:gridSpan w:val="5"/>
          </w:tcPr>
          <w:p>
            <w:pPr>
              <w:ind w:left="360"/>
              <w:spacing w:after="0"/>
              <w:rPr>
                <w:sz w:val="20"/>
                <w:szCs w:val="20"/>
                <w:color w:val="auto"/>
              </w:rPr>
            </w:pPr>
            <w:r>
              <w:rPr>
                <w:rFonts w:ascii="Arial" w:cs="Arial" w:eastAsia="Arial" w:hAnsi="Arial"/>
                <w:sz w:val="15"/>
                <w:szCs w:val="15"/>
                <w:b w:val="1"/>
                <w:bCs w:val="1"/>
                <w:color w:val="auto"/>
              </w:rPr>
              <w:t>Common Stock, Par</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Accumulated Other</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1"/>
              </w:rPr>
              <w:t>Treasury</w:t>
            </w:r>
          </w:p>
        </w:tc>
        <w:tc>
          <w:tcPr>
            <w:tcW w:w="140" w:type="dxa"/>
            <w:vAlign w:val="bottom"/>
          </w:tcPr>
          <w:p>
            <w:pPr>
              <w:spacing w:after="0"/>
              <w:rPr>
                <w:sz w:val="4"/>
                <w:szCs w:val="4"/>
                <w:color w:val="auto"/>
              </w:rPr>
            </w:pPr>
          </w:p>
        </w:tc>
        <w:tc>
          <w:tcPr>
            <w:tcW w:w="140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0"/>
              </w:rPr>
              <w:t>Comprehensive</w:t>
            </w:r>
          </w:p>
        </w:tc>
        <w:tc>
          <w:tcPr>
            <w:tcW w:w="140" w:type="dxa"/>
            <w:vAlign w:val="bottom"/>
          </w:tcPr>
          <w:p>
            <w:pPr>
              <w:spacing w:after="0"/>
              <w:rPr>
                <w:sz w:val="4"/>
                <w:szCs w:val="4"/>
                <w:color w:val="auto"/>
              </w:rPr>
            </w:pPr>
          </w:p>
        </w:tc>
        <w:tc>
          <w:tcPr>
            <w:tcW w:w="94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11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Stock</w:t>
            </w:r>
          </w:p>
        </w:tc>
        <w:tc>
          <w:tcPr>
            <w:tcW w:w="14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Income (Loss)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8,904,902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161,149</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2,253</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153,780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Dividends declared ($1.44 per share)</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(12,724)</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5,683</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2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98"/>
              </w:rPr>
              <w:t>Reclassification of compensation liability to be</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paid in shares</w:t>
            </w: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Purchases of treasury stock</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(51,913)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Restricted stock returned for payment of taxes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(62,036)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6"/>
                <w:szCs w:val="16"/>
                <w:b w:val="1"/>
                <w:bCs w:val="1"/>
                <w:color w:val="auto"/>
              </w:rPr>
              <w:t>Balance, June 30, 2019</w:t>
            </w: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8,944,733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200,028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(62,883)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(3,317)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20,054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153,986</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310"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23"/>
        </w:trPr>
        <w:tc>
          <w:tcPr>
            <w:tcW w:w="810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2,253</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66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425</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836</w:t>
            </w:r>
          </w:p>
        </w:tc>
      </w:tr>
      <w:tr>
        <w:trPr>
          <w:trHeight w:val="224"/>
        </w:trPr>
        <w:tc>
          <w:tcPr>
            <w:tcW w:w="8100" w:type="dxa"/>
            <w:vAlign w:val="bottom"/>
          </w:tcPr>
          <w:p>
            <w:pPr>
              <w:ind w:left="660"/>
              <w:spacing w:after="0"/>
              <w:rPr>
                <w:sz w:val="20"/>
                <w:szCs w:val="20"/>
                <w:color w:val="auto"/>
              </w:rPr>
            </w:pPr>
            <w:r>
              <w:rPr>
                <w:rFonts w:ascii="Arial" w:cs="Arial" w:eastAsia="Arial" w:hAnsi="Arial"/>
                <w:sz w:val="16"/>
                <w:szCs w:val="16"/>
                <w:color w:val="auto"/>
              </w:rPr>
              <w:t>Unrealized (gains) losses on investments</w:t>
            </w: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Stock based compensation expense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5,683</w:t>
            </w:r>
          </w:p>
        </w:tc>
      </w:tr>
      <w:tr>
        <w:trPr>
          <w:trHeight w:val="224"/>
        </w:trPr>
        <w:tc>
          <w:tcPr>
            <w:tcW w:w="810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763</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lease expense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561</w:t>
            </w:r>
          </w:p>
        </w:tc>
      </w:tr>
      <w:tr>
        <w:trPr>
          <w:trHeight w:val="224"/>
        </w:trPr>
        <w:tc>
          <w:tcPr>
            <w:tcW w:w="8100" w:type="dxa"/>
            <w:vAlign w:val="bottom"/>
          </w:tcPr>
          <w:p>
            <w:pPr>
              <w:ind w:left="340"/>
              <w:spacing w:after="0"/>
              <w:rPr>
                <w:sz w:val="20"/>
                <w:szCs w:val="20"/>
                <w:color w:val="auto"/>
              </w:rPr>
            </w:pPr>
            <w:r>
              <w:rPr>
                <w:rFonts w:ascii="Arial" w:cs="Arial" w:eastAsia="Arial" w:hAnsi="Arial"/>
                <w:sz w:val="16"/>
                <w:szCs w:val="16"/>
                <w:color w:val="auto"/>
              </w:rPr>
              <w:t>Change in operating assets and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sales of investments - trading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18,779</w:t>
            </w:r>
          </w:p>
        </w:tc>
      </w:tr>
      <w:tr>
        <w:trPr>
          <w:trHeight w:val="223"/>
        </w:trPr>
        <w:tc>
          <w:tcPr>
            <w:tcW w:w="810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4,891</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r>
      <w:tr>
        <w:trPr>
          <w:trHeight w:val="224"/>
        </w:trPr>
        <w:tc>
          <w:tcPr>
            <w:tcW w:w="8100" w:type="dxa"/>
            <w:vAlign w:val="bottom"/>
          </w:tcPr>
          <w:p>
            <w:pPr>
              <w:ind w:left="66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(604)</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Compensation and benefits payable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(10,357)</w:t>
            </w:r>
          </w:p>
        </w:tc>
      </w:tr>
      <w:tr>
        <w:trPr>
          <w:trHeight w:val="223"/>
        </w:trPr>
        <w:tc>
          <w:tcPr>
            <w:tcW w:w="8100" w:type="dxa"/>
            <w:vAlign w:val="bottom"/>
          </w:tcPr>
          <w:p>
            <w:pPr>
              <w:ind w:left="660"/>
              <w:spacing w:after="0"/>
              <w:rPr>
                <w:sz w:val="20"/>
                <w:szCs w:val="20"/>
                <w:color w:val="auto"/>
              </w:rPr>
            </w:pPr>
            <w:r>
              <w:rPr>
                <w:rFonts w:ascii="Arial" w:cs="Arial" w:eastAsia="Arial" w:hAnsi="Arial"/>
                <w:sz w:val="16"/>
                <w:szCs w:val="16"/>
                <w:color w:val="auto"/>
              </w:rPr>
              <w:t>Income taxes payable</w:t>
            </w: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(288)</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(692)</w:t>
            </w:r>
          </w:p>
        </w:tc>
      </w:tr>
      <w:tr>
        <w:trPr>
          <w:trHeight w:val="217"/>
        </w:trPr>
        <w:tc>
          <w:tcPr>
            <w:tcW w:w="8100" w:type="dxa"/>
            <w:vAlign w:val="bottom"/>
          </w:tcPr>
          <w:p>
            <w:pPr>
              <w:ind w:left="86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21,824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21,061</w:t>
            </w: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23"/>
        </w:trPr>
        <w:tc>
          <w:tcPr>
            <w:tcW w:w="8100" w:type="dxa"/>
            <w:vAlign w:val="bottom"/>
          </w:tcPr>
          <w:p>
            <w:pPr>
              <w:ind w:left="340"/>
              <w:spacing w:after="0"/>
              <w:rPr>
                <w:sz w:val="20"/>
                <w:szCs w:val="20"/>
                <w:color w:val="auto"/>
              </w:rPr>
            </w:pPr>
            <w:r>
              <w:rPr>
                <w:rFonts w:ascii="Arial" w:cs="Arial" w:eastAsia="Arial" w:hAnsi="Arial"/>
                <w:sz w:val="16"/>
                <w:szCs w:val="16"/>
                <w:color w:val="auto"/>
              </w:rPr>
              <w:t>Purchase of property and equipment</w:t>
            </w: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 of investments</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17"/>
        </w:trPr>
        <w:tc>
          <w:tcPr>
            <w:tcW w:w="8100" w:type="dxa"/>
            <w:vAlign w:val="bottom"/>
          </w:tcPr>
          <w:p>
            <w:pPr>
              <w:ind w:left="86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(652)</w:t>
            </w: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23"/>
        </w:trPr>
        <w:tc>
          <w:tcPr>
            <w:tcW w:w="8100" w:type="dxa"/>
            <w:vAlign w:val="bottom"/>
          </w:tcPr>
          <w:p>
            <w:pPr>
              <w:ind w:left="340"/>
              <w:spacing w:after="0"/>
              <w:rPr>
                <w:sz w:val="20"/>
                <w:szCs w:val="20"/>
                <w:color w:val="auto"/>
              </w:rPr>
            </w:pPr>
            <w:r>
              <w:rPr>
                <w:rFonts w:ascii="Arial" w:cs="Arial" w:eastAsia="Arial" w:hAnsi="Arial"/>
                <w:sz w:val="16"/>
                <w:szCs w:val="16"/>
                <w:color w:val="auto"/>
              </w:rPr>
              <w:t>Purchases of treasury stock</w:t>
            </w: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(12,952)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(806)</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 of treasury stock under employee stock plans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w:t>
            </w:r>
          </w:p>
        </w:tc>
      </w:tr>
      <w:tr>
        <w:trPr>
          <w:trHeight w:val="223"/>
        </w:trPr>
        <w:tc>
          <w:tcPr>
            <w:tcW w:w="8100" w:type="dxa"/>
            <w:vAlign w:val="bottom"/>
          </w:tcPr>
          <w:p>
            <w:pPr>
              <w:ind w:left="340"/>
              <w:spacing w:after="0"/>
              <w:rPr>
                <w:sz w:val="20"/>
                <w:szCs w:val="20"/>
                <w:color w:val="auto"/>
              </w:rPr>
            </w:pPr>
            <w:r>
              <w:rPr>
                <w:rFonts w:ascii="Arial" w:cs="Arial" w:eastAsia="Arial" w:hAnsi="Arial"/>
                <w:sz w:val="16"/>
                <w:szCs w:val="16"/>
                <w:color w:val="auto"/>
              </w:rPr>
              <w:t>Restricted stock returned for payment of taxes</w:t>
            </w: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(2,385)</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(13,860)</w:t>
            </w:r>
          </w:p>
        </w:tc>
      </w:tr>
      <w:tr>
        <w:trPr>
          <w:trHeight w:val="217"/>
        </w:trPr>
        <w:tc>
          <w:tcPr>
            <w:tcW w:w="8100" w:type="dxa"/>
            <w:vAlign w:val="bottom"/>
          </w:tcPr>
          <w:p>
            <w:pPr>
              <w:ind w:left="86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(25,812)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(18,032)</w:t>
            </w: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currency rate changes on cash</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1,484</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(5,840)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3,861</w:t>
            </w: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52,449</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43,926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56,310</w:t>
            </w:r>
          </w:p>
        </w:tc>
      </w:tr>
      <w:tr>
        <w:trPr>
          <w:trHeight w:val="3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during the period for income taxes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1,417</w:t>
            </w:r>
          </w:p>
        </w:tc>
      </w:tr>
      <w:tr>
        <w:trPr>
          <w:trHeight w:val="223"/>
        </w:trPr>
        <w:tc>
          <w:tcPr>
            <w:tcW w:w="8100" w:type="dxa"/>
            <w:vAlign w:val="bottom"/>
          </w:tcPr>
          <w:p>
            <w:pPr>
              <w:ind w:left="340"/>
              <w:spacing w:after="0"/>
              <w:rPr>
                <w:sz w:val="20"/>
                <w:szCs w:val="20"/>
                <w:color w:val="auto"/>
              </w:rPr>
            </w:pPr>
            <w:r>
              <w:rPr>
                <w:rFonts w:ascii="Arial" w:cs="Arial" w:eastAsia="Arial" w:hAnsi="Arial"/>
                <w:sz w:val="16"/>
                <w:szCs w:val="16"/>
                <w:color w:val="auto"/>
              </w:rPr>
              <w:t>Accrued dividends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8,150</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4"/>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purchase of property and equipment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203</w:t>
            </w:r>
          </w:p>
        </w:tc>
      </w:tr>
      <w:tr>
        <w:trPr>
          <w:trHeight w:val="33"/>
        </w:trPr>
        <w:tc>
          <w:tcPr>
            <w:tcW w:w="8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5"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7" w:name="page8"/>
    <w:bookmarkEnd w:id="7"/>
    <w:p>
      <w:pPr>
        <w:jc w:val="center"/>
        <w:ind w:left="340" w:right="26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Westwood Trust and Westwood International Advisors Inc. (“Westwood International Advisors”). Westwood Management provides investment advisory services to institutional clients, a family of mutual funds called the Westwood Funds®, other mutual funds, individual investors and clients of Westwood Trust. Westwood International Advisors provides investment advisory services to institutional clients, the Westwood Funds®, other mutual funds, the UCITS Fund (which was liquidated in June 2020),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58"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Westwood Management is registered with the Securities and Exchange Commission ("SEC") as an investment advisor ("RIA") under the Investment Advisers Act of 1940. Westwood Trust is chartered and regulated by the Texas Department of Banking. Westwood International Advisors is registered as a portfolio manager and exempt market dealer with the Ontario Securities Commission and the Autorité des marchés financiers in Québec.</w:t>
      </w:r>
    </w:p>
    <w:p>
      <w:pPr>
        <w:spacing w:after="0" w:line="37" w:lineRule="exact"/>
        <w:rPr>
          <w:sz w:val="20"/>
          <w:szCs w:val="20"/>
          <w:color w:val="auto"/>
        </w:rPr>
      </w:pPr>
    </w:p>
    <w:p>
      <w:pPr>
        <w:ind w:left="40" w:right="6340" w:hanging="32"/>
        <w:spacing w:after="0" w:line="378"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40" w:firstLine="486"/>
        <w:spacing w:after="0" w:line="255" w:lineRule="auto"/>
        <w:rPr>
          <w:sz w:val="20"/>
          <w:szCs w:val="20"/>
          <w:color w:val="auto"/>
        </w:rPr>
      </w:pPr>
      <w:r>
        <w:rPr>
          <w:rFonts w:ascii="Arial" w:cs="Arial" w:eastAsia="Arial" w:hAnsi="Arial"/>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84"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2019,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purpose of this amendment is to modify, remove and add certain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Under ASU 2018-13, entities are required to disclose the amount of total gains or losses recognized in other comprehensive income attributable to assets and liabilities categorized within Level 3 of the fair value hierarchy. The ASU includes an incremental requirement about significant unobservable inputs for Level 3 fair value measurements. The requirement to disclose reasons for transfers between Level 1 and Level 2 was removed. Various requirements for Level 3 disclosure were also modified. The amendments in this ASU are effective for all entities for fiscal years and interim periods beginning after December 15, 2019. We adopted this ASU as of January 1, 2020, and further information is included in Note 6 "Fair Value." There was no significant impact on our Condensed Consolidated Financial Statements.</w:t>
      </w:r>
    </w:p>
    <w:p>
      <w:pPr>
        <w:spacing w:after="0" w:line="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(Topic 350):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The purpose of this amendment is to align the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capitalizing implementation costs incurred in 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jc w:val="center"/>
        <w:ind w:left="340" w:right="20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hosting arrangement that is a service contract with the requirements for capitalizing implementation costs incurred to develop or obtain internal-use software (and hosting arrangements that include an internal-use software license). The amendments in this update are effective for public companies for fiscal years beginning after December 15, 2019, including interim periods within that fiscal year. We adopted this ASU as of January 1, 2020 under the prospective transition method. Incremental costs related to hosting arrangements will be recorded on the Condensed Consolidated Balance Sheets in either other current or other long-term assets, instead of intangible assets, net. Related amortization will be recorded in information technology expense on the Condensed Consolidated Statements of Comprehensive Income (Loss), amortization of previously capitalized costs were recorded in general and administrative expense.</w:t>
      </w:r>
    </w:p>
    <w:p>
      <w:pPr>
        <w:spacing w:after="0" w:line="8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 xml:space="preserve">In May 2019, the FASB issued ASU 2019-05, </w:t>
      </w:r>
      <w:r>
        <w:rPr>
          <w:rFonts w:ascii="Arial" w:cs="Arial" w:eastAsia="Arial" w:hAnsi="Arial"/>
          <w:sz w:val="18"/>
          <w:szCs w:val="18"/>
          <w:i w:val="1"/>
          <w:iCs w:val="1"/>
          <w:color w:val="auto"/>
        </w:rPr>
        <w:t>Financial Instruments—Credit Losses (Topic 326): Targeted Transition Relief.</w:t>
      </w:r>
      <w:r>
        <w:rPr>
          <w:rFonts w:ascii="Arial" w:cs="Arial" w:eastAsia="Arial" w:hAnsi="Arial"/>
          <w:sz w:val="18"/>
          <w:szCs w:val="18"/>
          <w:color w:val="auto"/>
        </w:rPr>
        <w:t xml:space="preserve"> The purpose of this amendment is to amend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to allow companies to irrevocably elect, upon adoption of ASU 2016-13, the fair value option on financial instruments that were previously recorded at amortized cost and are within the scope of ASC 326-20, </w:t>
      </w:r>
      <w:r>
        <w:rPr>
          <w:rFonts w:ascii="Arial" w:cs="Arial" w:eastAsia="Arial" w:hAnsi="Arial"/>
          <w:sz w:val="18"/>
          <w:szCs w:val="18"/>
          <w:i w:val="1"/>
          <w:iCs w:val="1"/>
          <w:color w:val="auto"/>
        </w:rPr>
        <w:t>Financial Instruments-Credit Losses: Amortization Cost</w:t>
      </w:r>
      <w:r>
        <w:rPr>
          <w:rFonts w:ascii="Arial" w:cs="Arial" w:eastAsia="Arial" w:hAnsi="Arial"/>
          <w:sz w:val="18"/>
          <w:szCs w:val="18"/>
          <w:color w:val="auto"/>
        </w:rPr>
        <w:t xml:space="preserve">, if the instruments are eligible for the fair value option under Accounting Standards Codification 825 -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 option election does not apply to held-to-maturity debt securities. The amendments in this update are effective for public companies for fiscal years beginning after December 15, 2019, including interim periods within that fiscal year. We adopted this ASU as of January 1, 2020, and it did not have a significant impact on our Condensed Consolidated Financial Statements.</w:t>
      </w:r>
    </w:p>
    <w:p>
      <w:pPr>
        <w:spacing w:after="0" w:line="80" w:lineRule="exact"/>
        <w:rPr>
          <w:sz w:val="20"/>
          <w:szCs w:val="20"/>
          <w:color w:val="auto"/>
        </w:rPr>
      </w:pPr>
    </w:p>
    <w:p>
      <w:pPr>
        <w:ind w:right="9580" w:firstLine="8"/>
        <w:spacing w:after="0" w:line="425"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Revenue Recognition</w:t>
      </w:r>
    </w:p>
    <w:p>
      <w:pPr>
        <w:ind w:firstLine="486"/>
        <w:spacing w:after="0" w:line="257" w:lineRule="auto"/>
        <w:rPr>
          <w:sz w:val="20"/>
          <w:szCs w:val="20"/>
          <w:color w:val="auto"/>
        </w:rPr>
      </w:pPr>
      <w:r>
        <w:rPr>
          <w:rFonts w:ascii="Arial" w:cs="Arial" w:eastAsia="Arial" w:hAnsi="Arial"/>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AUM and the performance obligation is realized over the current calendar quarter. Once clients receive our investment advisory services we have an enforceable right to payment.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2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advisory fees are generated by Westwood Management and Westwood International Advisors,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6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80" w:lineRule="exact"/>
        <w:rPr>
          <w:sz w:val="20"/>
          <w:szCs w:val="20"/>
          <w:color w:val="auto"/>
        </w:rPr>
      </w:pPr>
    </w:p>
    <w:p>
      <w:pPr>
        <w:jc w:val="both"/>
        <w:ind w:right="620" w:firstLine="486"/>
        <w:spacing w:after="0" w:line="342" w:lineRule="auto"/>
        <w:rPr>
          <w:sz w:val="20"/>
          <w:szCs w:val="20"/>
          <w:color w:val="auto"/>
        </w:rPr>
      </w:pPr>
      <w:r>
        <w:rPr>
          <w:rFonts w:ascii="Arial" w:cs="Arial" w:eastAsia="Arial" w:hAnsi="Arial"/>
          <w:sz w:val="16"/>
          <w:szCs w:val="16"/>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Performance-Based Obligations</w:t>
      </w:r>
    </w:p>
    <w:p>
      <w:pPr>
        <w:spacing w:after="0" w:line="121" w:lineRule="exact"/>
        <w:rPr>
          <w:sz w:val="20"/>
          <w:szCs w:val="20"/>
          <w:color w:val="auto"/>
        </w:rPr>
      </w:pPr>
    </w:p>
    <w:p>
      <w:pPr>
        <w:ind w:right="480" w:firstLine="486"/>
        <w:spacing w:after="0" w:line="263" w:lineRule="auto"/>
        <w:rPr>
          <w:sz w:val="20"/>
          <w:szCs w:val="20"/>
          <w:color w:val="auto"/>
        </w:rPr>
      </w:pPr>
      <w:r>
        <w:rPr>
          <w:rFonts w:ascii="Arial" w:cs="Arial" w:eastAsia="Arial" w:hAnsi="Arial"/>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7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2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advisory fee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0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5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33"/>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Advisory Fees:</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5560" w:type="dxa"/>
            <w:vAlign w:val="bottom"/>
          </w:tcPr>
          <w:p>
            <w:pPr>
              <w:ind w:left="340"/>
              <w:spacing w:after="0"/>
              <w:rPr>
                <w:sz w:val="20"/>
                <w:szCs w:val="20"/>
                <w:color w:val="auto"/>
              </w:rPr>
            </w:pPr>
            <w:r>
              <w:rPr>
                <w:rFonts w:ascii="Arial" w:cs="Arial" w:eastAsia="Arial" w:hAnsi="Arial"/>
                <w:sz w:val="18"/>
                <w:szCs w:val="18"/>
                <w:color w:val="auto"/>
              </w:rPr>
              <w:t>Institutional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6,857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9,372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19,811</w:t>
            </w: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Mutual Funds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11,077</w:t>
            </w:r>
          </w:p>
        </w:tc>
      </w:tr>
      <w:tr>
        <w:trPr>
          <w:trHeight w:val="243"/>
        </w:trPr>
        <w:tc>
          <w:tcPr>
            <w:tcW w:w="5560" w:type="dxa"/>
            <w:vAlign w:val="bottom"/>
          </w:tcPr>
          <w:p>
            <w:pPr>
              <w:ind w:left="340"/>
              <w:spacing w:after="0"/>
              <w:rPr>
                <w:sz w:val="20"/>
                <w:szCs w:val="20"/>
                <w:color w:val="auto"/>
              </w:rPr>
            </w:pPr>
            <w:r>
              <w:rPr>
                <w:rFonts w:ascii="Arial" w:cs="Arial" w:eastAsia="Arial" w:hAnsi="Arial"/>
                <w:sz w:val="18"/>
                <w:szCs w:val="18"/>
                <w:color w:val="auto"/>
              </w:rPr>
              <w:t>Wealth Management</w:t>
            </w:r>
          </w:p>
        </w:tc>
        <w:tc>
          <w:tcPr>
            <w:tcW w:w="2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213</w:t>
            </w: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Performance-based</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300</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Trust Fees</w:t>
            </w:r>
          </w:p>
        </w:tc>
        <w:tc>
          <w:tcPr>
            <w:tcW w:w="2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11,608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12,983</w:t>
            </w: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Trust performance-based Fees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1,187</w:t>
            </w: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15,875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21,709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32,544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45,571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serve clients in various locations around the world. The following table presents our revenue disaggregated by our clients' geographical locations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 2020</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33"/>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312</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407</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908</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79"/>
              </w:rPr>
              <w:t>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14,248</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9,328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155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15,875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68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 2019</w:t>
            </w:r>
          </w:p>
        </w:tc>
        <w:tc>
          <w:tcPr>
            <w:tcW w:w="2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33"/>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407</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746</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992</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12,714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79"/>
              </w:rPr>
              <w:t>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19,564</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14,695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6,444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450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21,709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 2020</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729</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897</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1,918</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16,980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11,608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29,000</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20,430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32,544</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68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 2019</w:t>
            </w:r>
          </w:p>
        </w:tc>
        <w:tc>
          <w:tcPr>
            <w:tcW w:w="2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813</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Australia</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591</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1,610</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2,149</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40,408</w:t>
            </w: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31,101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12,983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45,571</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REPORTING</w:t>
      </w:r>
    </w:p>
    <w:p>
      <w:pPr>
        <w:spacing w:after="0" w:line="175"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Refer to the "Supplemental Financial Information" section in Item 2. "Management Discussion and Analysis of Financial Conditions and Results" for the Economic Earnings calculation.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the UCITS Fund (which was liquidated in June 2020) and collective investment trusts. Westwood Management and Westwood International Advisors, which provide investment advisory services to similar clients, are included in our Advisory segment.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Trust provides trust and custodial services and participation in common trust funds that it sponsors to institutions and high net worth individuals.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Westwood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Advisory</w:t>
            </w: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2020</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6"/>
              <w:spacing w:after="0"/>
              <w:rPr>
                <w:sz w:val="20"/>
                <w:szCs w:val="20"/>
                <w:color w:val="auto"/>
              </w:rPr>
            </w:pPr>
            <w:r>
              <w:rPr>
                <w:rFonts w:ascii="Arial" w:cs="Arial" w:eastAsia="Arial" w:hAnsi="Arial"/>
                <w:sz w:val="16"/>
                <w:szCs w:val="16"/>
                <w:color w:val="auto"/>
              </w:rPr>
              <w:t>10,023</w:t>
            </w:r>
          </w:p>
        </w:tc>
        <w:tc>
          <w:tcPr>
            <w:tcW w:w="1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6"/>
              <w:spacing w:after="0"/>
              <w:rPr>
                <w:sz w:val="20"/>
                <w:szCs w:val="20"/>
                <w:color w:val="auto"/>
              </w:rPr>
            </w:pPr>
            <w:r>
              <w:rPr>
                <w:rFonts w:ascii="Arial" w:cs="Arial" w:eastAsia="Arial" w:hAnsi="Arial"/>
                <w:sz w:val="16"/>
                <w:szCs w:val="16"/>
                <w:color w:val="auto"/>
              </w:rPr>
              <w:t>5,697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15,720</w:t>
            </w:r>
          </w:p>
        </w:tc>
      </w:tr>
      <w:tr>
        <w:trPr>
          <w:trHeight w:val="33"/>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5060" w:type="dxa"/>
            <w:vAlign w:val="bottom"/>
          </w:tcPr>
          <w:p>
            <w:pPr>
              <w:ind w:left="20"/>
              <w:spacing w:after="0"/>
              <w:rPr>
                <w:sz w:val="20"/>
                <w:szCs w:val="20"/>
                <w:color w:val="auto"/>
              </w:rPr>
            </w:pPr>
            <w:r>
              <w:rPr>
                <w:rFonts w:ascii="Arial" w:cs="Arial" w:eastAsia="Arial" w:hAnsi="Arial"/>
                <w:sz w:val="16"/>
                <w:szCs w:val="16"/>
                <w:color w:val="auto"/>
              </w:rPr>
              <w:t>Net interest and dividend revenue</w:t>
            </w:r>
          </w:p>
        </w:tc>
        <w:tc>
          <w:tcPr>
            <w:tcW w:w="160" w:type="dxa"/>
            <w:vAlign w:val="bottom"/>
          </w:tcPr>
          <w:p>
            <w:pPr>
              <w:spacing w:after="0"/>
              <w:rPr>
                <w:sz w:val="19"/>
                <w:szCs w:val="19"/>
                <w:color w:val="auto"/>
              </w:rPr>
            </w:pPr>
          </w:p>
        </w:tc>
        <w:tc>
          <w:tcPr>
            <w:tcW w:w="900" w:type="dxa"/>
            <w:vAlign w:val="bottom"/>
          </w:tcPr>
          <w:p>
            <w:pPr>
              <w:jc w:val="right"/>
              <w:ind w:right="56"/>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w:t>
            </w:r>
          </w:p>
        </w:tc>
      </w:tr>
      <w:tr>
        <w:trPr>
          <w:trHeight w:val="33"/>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r>
      <w:tr>
        <w:trPr>
          <w:trHeight w:val="217"/>
        </w:trPr>
        <w:tc>
          <w:tcPr>
            <w:tcW w:w="50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color w:val="auto"/>
              </w:rPr>
              <w:t>10,773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color w:val="auto"/>
              </w:rPr>
              <w:t>5,765</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15,875</w:t>
            </w:r>
          </w:p>
        </w:tc>
      </w:tr>
      <w:tr>
        <w:trPr>
          <w:trHeight w:val="33"/>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4"/>
        </w:trPr>
        <w:tc>
          <w:tcPr>
            <w:tcW w:w="5060" w:type="dxa"/>
            <w:vAlign w:val="bottom"/>
          </w:tcPr>
          <w:p>
            <w:pPr>
              <w:ind w:left="20"/>
              <w:spacing w:after="0"/>
              <w:rPr>
                <w:sz w:val="20"/>
                <w:szCs w:val="20"/>
                <w:color w:val="auto"/>
              </w:rPr>
            </w:pPr>
            <w:r>
              <w:rPr>
                <w:rFonts w:ascii="Arial" w:cs="Arial" w:eastAsia="Arial" w:hAnsi="Arial"/>
                <w:sz w:val="16"/>
                <w:szCs w:val="16"/>
                <w:color w:val="auto"/>
              </w:rPr>
              <w:t>Segment assets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6"/>
              <w:spacing w:after="0"/>
              <w:rPr>
                <w:sz w:val="20"/>
                <w:szCs w:val="20"/>
                <w:color w:val="auto"/>
              </w:rPr>
            </w:pPr>
            <w:r>
              <w:rPr>
                <w:rFonts w:ascii="Arial" w:cs="Arial" w:eastAsia="Arial" w:hAnsi="Arial"/>
                <w:sz w:val="16"/>
                <w:szCs w:val="16"/>
                <w:color w:val="auto"/>
              </w:rPr>
              <w:t>239,726</w:t>
            </w:r>
          </w:p>
        </w:tc>
        <w:tc>
          <w:tcPr>
            <w:tcW w:w="1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6"/>
              <w:spacing w:after="0"/>
              <w:rPr>
                <w:sz w:val="20"/>
                <w:szCs w:val="20"/>
                <w:color w:val="auto"/>
              </w:rPr>
            </w:pPr>
            <w:r>
              <w:rPr>
                <w:rFonts w:ascii="Arial" w:cs="Arial" w:eastAsia="Arial" w:hAnsi="Arial"/>
                <w:sz w:val="16"/>
                <w:szCs w:val="16"/>
                <w:color w:val="auto"/>
              </w:rPr>
              <w:t>50,955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6"/>
              <w:spacing w:after="0"/>
              <w:rPr>
                <w:sz w:val="20"/>
                <w:szCs w:val="20"/>
                <w:color w:val="auto"/>
              </w:rPr>
            </w:pPr>
            <w:r>
              <w:rPr>
                <w:rFonts w:ascii="Arial" w:cs="Arial" w:eastAsia="Arial" w:hAnsi="Arial"/>
                <w:sz w:val="16"/>
                <w:szCs w:val="16"/>
                <w:color w:val="auto"/>
              </w:rPr>
              <w:t>17,534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
              <w:spacing w:after="0"/>
              <w:rPr>
                <w:sz w:val="20"/>
                <w:szCs w:val="20"/>
                <w:color w:val="auto"/>
              </w:rPr>
            </w:pPr>
            <w:r>
              <w:rPr>
                <w:rFonts w:ascii="Arial" w:cs="Arial" w:eastAsia="Arial" w:hAnsi="Arial"/>
                <w:sz w:val="16"/>
                <w:szCs w:val="16"/>
                <w:color w:val="auto"/>
              </w:rPr>
              <w:t>(160,794)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147,421</w:t>
            </w:r>
          </w:p>
        </w:tc>
      </w:tr>
      <w:tr>
        <w:trPr>
          <w:trHeight w:val="33"/>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goodwill</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3,403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16,401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19,804</w:t>
            </w:r>
          </w:p>
        </w:tc>
      </w:tr>
      <w:tr>
        <w:trPr>
          <w:trHeight w:val="256"/>
        </w:trPr>
        <w:tc>
          <w:tcPr>
            <w:tcW w:w="5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2019</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506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6"/>
              <w:spacing w:after="0"/>
              <w:rPr>
                <w:sz w:val="20"/>
                <w:szCs w:val="20"/>
                <w:color w:val="auto"/>
              </w:rPr>
            </w:pPr>
            <w:r>
              <w:rPr>
                <w:rFonts w:ascii="Arial" w:cs="Arial" w:eastAsia="Arial" w:hAnsi="Arial"/>
                <w:sz w:val="16"/>
                <w:szCs w:val="16"/>
                <w:color w:val="auto"/>
              </w:rPr>
              <w:t>14,815</w:t>
            </w:r>
          </w:p>
        </w:tc>
        <w:tc>
          <w:tcPr>
            <w:tcW w:w="1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6"/>
              <w:spacing w:after="0"/>
              <w:rPr>
                <w:sz w:val="20"/>
                <w:szCs w:val="20"/>
                <w:color w:val="auto"/>
              </w:rPr>
            </w:pPr>
            <w:r>
              <w:rPr>
                <w:rFonts w:ascii="Arial" w:cs="Arial" w:eastAsia="Arial" w:hAnsi="Arial"/>
                <w:sz w:val="16"/>
                <w:szCs w:val="16"/>
                <w:color w:val="auto"/>
              </w:rPr>
              <w:t>6,444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21,259</w:t>
            </w:r>
          </w:p>
        </w:tc>
      </w:tr>
      <w:tr>
        <w:trPr>
          <w:trHeight w:val="33"/>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Net interest and dividend revenue</w:t>
            </w:r>
          </w:p>
        </w:tc>
        <w:tc>
          <w:tcPr>
            <w:tcW w:w="160" w:type="dxa"/>
            <w:vAlign w:val="bottom"/>
          </w:tcPr>
          <w:p>
            <w:pPr>
              <w:spacing w:after="0"/>
              <w:rPr>
                <w:sz w:val="19"/>
                <w:szCs w:val="19"/>
                <w:color w:val="auto"/>
              </w:rPr>
            </w:pPr>
          </w:p>
        </w:tc>
        <w:tc>
          <w:tcPr>
            <w:tcW w:w="900" w:type="dxa"/>
            <w:vAlign w:val="bottom"/>
          </w:tcPr>
          <w:p>
            <w:pPr>
              <w:jc w:val="right"/>
              <w:ind w:right="56"/>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76"/>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283</w:t>
            </w:r>
          </w:p>
        </w:tc>
      </w:tr>
      <w:tr>
        <w:trPr>
          <w:trHeight w:val="33"/>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w:t>
            </w:r>
          </w:p>
        </w:tc>
      </w:tr>
      <w:tr>
        <w:trPr>
          <w:trHeight w:val="217"/>
        </w:trPr>
        <w:tc>
          <w:tcPr>
            <w:tcW w:w="50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color w:val="auto"/>
              </w:rPr>
              <w:t>16,047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color w:val="auto"/>
              </w:rPr>
              <w:t>6,599</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21,709</w:t>
            </w:r>
          </w:p>
        </w:tc>
      </w:tr>
      <w:tr>
        <w:trPr>
          <w:trHeight w:val="33"/>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4"/>
        </w:trPr>
        <w:tc>
          <w:tcPr>
            <w:tcW w:w="5060" w:type="dxa"/>
            <w:vAlign w:val="bottom"/>
          </w:tcPr>
          <w:p>
            <w:pPr>
              <w:ind w:left="20"/>
              <w:spacing w:after="0"/>
              <w:rPr>
                <w:sz w:val="20"/>
                <w:szCs w:val="20"/>
                <w:color w:val="auto"/>
              </w:rPr>
            </w:pPr>
            <w:r>
              <w:rPr>
                <w:rFonts w:ascii="Arial" w:cs="Arial" w:eastAsia="Arial" w:hAnsi="Arial"/>
                <w:sz w:val="16"/>
                <w:szCs w:val="16"/>
                <w:color w:val="auto"/>
              </w:rPr>
              <w:t>Segment assets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6"/>
              <w:spacing w:after="0"/>
              <w:rPr>
                <w:sz w:val="20"/>
                <w:szCs w:val="20"/>
                <w:color w:val="auto"/>
              </w:rPr>
            </w:pPr>
            <w:r>
              <w:rPr>
                <w:rFonts w:ascii="Arial" w:cs="Arial" w:eastAsia="Arial" w:hAnsi="Arial"/>
                <w:sz w:val="16"/>
                <w:szCs w:val="16"/>
                <w:color w:val="auto"/>
              </w:rPr>
              <w:t>232,380</w:t>
            </w:r>
          </w:p>
        </w:tc>
        <w:tc>
          <w:tcPr>
            <w:tcW w:w="1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6"/>
              <w:spacing w:after="0"/>
              <w:rPr>
                <w:sz w:val="20"/>
                <w:szCs w:val="20"/>
                <w:color w:val="auto"/>
              </w:rPr>
            </w:pPr>
            <w:r>
              <w:rPr>
                <w:rFonts w:ascii="Arial" w:cs="Arial" w:eastAsia="Arial" w:hAnsi="Arial"/>
                <w:sz w:val="16"/>
                <w:szCs w:val="16"/>
                <w:color w:val="auto"/>
              </w:rPr>
              <w:t>64,771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6"/>
              <w:spacing w:after="0"/>
              <w:rPr>
                <w:sz w:val="20"/>
                <w:szCs w:val="20"/>
                <w:color w:val="auto"/>
              </w:rPr>
            </w:pPr>
            <w:r>
              <w:rPr>
                <w:rFonts w:ascii="Arial" w:cs="Arial" w:eastAsia="Arial" w:hAnsi="Arial"/>
                <w:sz w:val="16"/>
                <w:szCs w:val="16"/>
                <w:color w:val="auto"/>
              </w:rPr>
              <w:t>19,338</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
              <w:spacing w:after="0"/>
              <w:rPr>
                <w:sz w:val="20"/>
                <w:szCs w:val="20"/>
                <w:color w:val="auto"/>
              </w:rPr>
            </w:pPr>
            <w:r>
              <w:rPr>
                <w:rFonts w:ascii="Arial" w:cs="Arial" w:eastAsia="Arial" w:hAnsi="Arial"/>
                <w:sz w:val="16"/>
                <w:szCs w:val="16"/>
                <w:color w:val="auto"/>
              </w:rPr>
              <w:t>(137,003)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179,486</w:t>
            </w:r>
          </w:p>
        </w:tc>
      </w:tr>
      <w:tr>
        <w:trPr>
          <w:trHeight w:val="33"/>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goodwill</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3,403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16,401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19,804</w:t>
            </w:r>
          </w:p>
        </w:tc>
      </w:tr>
      <w:tr>
        <w:trPr>
          <w:trHeight w:val="837"/>
        </w:trPr>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Westwood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Advisory</w:t>
            </w: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2020</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21,125</w:t>
            </w:r>
          </w:p>
        </w:tc>
        <w:tc>
          <w:tcPr>
            <w:tcW w:w="12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11,648</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32,773</w:t>
            </w: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5060" w:type="dxa"/>
            <w:vAlign w:val="bottom"/>
          </w:tcPr>
          <w:p>
            <w:pPr>
              <w:ind w:left="20"/>
              <w:spacing w:after="0"/>
              <w:rPr>
                <w:sz w:val="20"/>
                <w:szCs w:val="20"/>
                <w:color w:val="auto"/>
              </w:rPr>
            </w:pPr>
            <w:r>
              <w:rPr>
                <w:rFonts w:ascii="Arial" w:cs="Arial" w:eastAsia="Arial" w:hAnsi="Arial"/>
                <w:sz w:val="16"/>
                <w:szCs w:val="16"/>
                <w:color w:val="auto"/>
              </w:rPr>
              <w:t>Net interest and dividend revenue</w:t>
            </w:r>
          </w:p>
        </w:tc>
        <w:tc>
          <w:tcPr>
            <w:tcW w:w="16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31</w:t>
            </w: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r>
      <w:tr>
        <w:trPr>
          <w:trHeight w:val="217"/>
        </w:trPr>
        <w:tc>
          <w:tcPr>
            <w:tcW w:w="50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color w:val="auto"/>
              </w:rPr>
              <w:t>22,114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color w:val="auto"/>
              </w:rPr>
              <w:t>11,766</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(1,336)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32,544</w:t>
            </w:r>
          </w:p>
        </w:tc>
      </w:tr>
      <w:tr>
        <w:trPr>
          <w:trHeight w:val="33"/>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4"/>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 2019</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31,401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44,384</w:t>
            </w:r>
          </w:p>
        </w:tc>
      </w:tr>
      <w:tr>
        <w:trPr>
          <w:trHeight w:val="243"/>
        </w:trPr>
        <w:tc>
          <w:tcPr>
            <w:tcW w:w="5060" w:type="dxa"/>
            <w:vAlign w:val="bottom"/>
          </w:tcPr>
          <w:p>
            <w:pPr>
              <w:ind w:left="20"/>
              <w:spacing w:after="0"/>
              <w:rPr>
                <w:sz w:val="20"/>
                <w:szCs w:val="20"/>
                <w:color w:val="auto"/>
              </w:rPr>
            </w:pPr>
            <w:r>
              <w:rPr>
                <w:rFonts w:ascii="Arial" w:cs="Arial" w:eastAsia="Arial" w:hAnsi="Arial"/>
                <w:sz w:val="16"/>
                <w:szCs w:val="16"/>
                <w:color w:val="auto"/>
              </w:rPr>
              <w:t>Net intersegment revenues</w:t>
            </w:r>
          </w:p>
        </w:tc>
        <w:tc>
          <w:tcPr>
            <w:tcW w:w="16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and dividend revenue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595</w:t>
            </w:r>
          </w:p>
        </w:tc>
      </w:tr>
      <w:tr>
        <w:trPr>
          <w:trHeight w:val="243"/>
        </w:trPr>
        <w:tc>
          <w:tcPr>
            <w:tcW w:w="506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592</w:t>
            </w:r>
          </w:p>
        </w:tc>
      </w:tr>
      <w:tr>
        <w:trPr>
          <w:trHeight w:val="27"/>
        </w:trPr>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34,307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13,289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45,571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12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During 2018, we made a $5.4 million strategic investment in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 Following observable price changes for this investment in 2019, we recorded a gain of $2.8 million. As of June 30, 2020, there were no additional observable price changes or indicators of impairment for this investment.</w:t>
      </w:r>
    </w:p>
    <w:p>
      <w:pPr>
        <w:spacing w:after="0" w:line="80"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Our investment in Charis, a private bank, is included in “Noncurrent investments at fair value” on our Condensed Consolidated Balance Sheets and is measured at fair value on a recurring basis. In the three months ended June 30, 2020, we recorded an unrealized gain of $0.3 million, primarily as a result of the banking industry recovery following the previous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downturn due to global macroeconomic effects of the Coronavirus Disease 2019 ("COVID-19") pandemic. In the six months ended June 30, 2020, we recorded an unrealized loss of $0.7 million, primarily as a result of the global macroeconomic effects of COVID-19.</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96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Estimated</w:t>
            </w:r>
          </w:p>
        </w:tc>
      </w:tr>
      <w:tr>
        <w:trPr>
          <w:trHeight w:val="203"/>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7"/>
                <w:szCs w:val="17"/>
                <w:color w:val="auto"/>
              </w:rPr>
            </w:pPr>
          </w:p>
        </w:tc>
        <w:tc>
          <w:tcPr>
            <w:tcW w:w="960" w:type="dxa"/>
            <w:vAlign w:val="bottom"/>
          </w:tcPr>
          <w:p>
            <w:pPr>
              <w:jc w:val="center"/>
              <w:ind w:right="71"/>
              <w:spacing w:after="0"/>
              <w:rPr>
                <w:sz w:val="20"/>
                <w:szCs w:val="20"/>
                <w:color w:val="auto"/>
              </w:rPr>
            </w:pPr>
            <w:r>
              <w:rPr>
                <w:rFonts w:ascii="Arial" w:cs="Arial" w:eastAsia="Arial" w:hAnsi="Arial"/>
                <w:sz w:val="16"/>
                <w:szCs w:val="16"/>
                <w:b w:val="1"/>
                <w:bCs w:val="1"/>
                <w:color w:val="auto"/>
                <w:w w:val="95"/>
              </w:rPr>
              <w:t>Fair</w:t>
            </w:r>
          </w:p>
        </w:tc>
      </w:tr>
      <w:tr>
        <w:trPr>
          <w:trHeight w:val="210"/>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Gains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6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2020:</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16,234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16,399</w:t>
            </w: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9,150</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Equity funds</w:t>
            </w: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4,285</w:t>
            </w: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Exchange-traded bond funds</w:t>
            </w: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137</w:t>
            </w:r>
          </w:p>
        </w:tc>
      </w:tr>
      <w:tr>
        <w:trPr>
          <w:trHeight w:val="27"/>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30,036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30,228</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Private investment fund</w:t>
            </w: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87</w:t>
            </w: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3,314</w:t>
            </w:r>
          </w:p>
        </w:tc>
      </w:tr>
      <w:tr>
        <w:trPr>
          <w:trHeight w:val="237"/>
        </w:trPr>
        <w:tc>
          <w:tcPr>
            <w:tcW w:w="6440" w:type="dxa"/>
            <w:vAlign w:val="bottom"/>
          </w:tcPr>
          <w:p>
            <w:pPr>
              <w:ind w:left="340"/>
              <w:spacing w:after="0"/>
              <w:rPr>
                <w:sz w:val="20"/>
                <w:szCs w:val="20"/>
                <w:color w:val="auto"/>
              </w:rPr>
            </w:pPr>
            <w:r>
              <w:rPr>
                <w:rFonts w:ascii="Arial" w:cs="Arial" w:eastAsia="Arial" w:hAnsi="Arial"/>
                <w:sz w:val="18"/>
                <w:szCs w:val="18"/>
                <w:color w:val="auto"/>
              </w:rPr>
              <w:t>Total investments carried at fair value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33,706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33,629</w:t>
            </w:r>
          </w:p>
        </w:tc>
      </w:tr>
      <w:tr>
        <w:trPr>
          <w:trHeight w:val="27"/>
        </w:trPr>
        <w:tc>
          <w:tcPr>
            <w:tcW w:w="6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39,248</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4,592</w:t>
            </w: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funds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6,484</w:t>
            </w:r>
          </w:p>
        </w:tc>
      </w:tr>
      <w:tr>
        <w:trPr>
          <w:trHeight w:val="237"/>
        </w:trPr>
        <w:tc>
          <w:tcPr>
            <w:tcW w:w="6440" w:type="dxa"/>
            <w:vAlign w:val="bottom"/>
          </w:tcPr>
          <w:p>
            <w:pPr>
              <w:ind w:left="34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50,065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50,324</w:t>
            </w: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3,975</w:t>
            </w:r>
          </w:p>
        </w:tc>
      </w:tr>
      <w:tr>
        <w:trPr>
          <w:trHeight w:val="27"/>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 carried at fair value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53,735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54,562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As of June 30, 2020 and December 31, 2019, approximately $4.2 million and $6.4 million, respectively, in corporate funds were invested in Westwood Funds®. See Note 13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62" w:lineRule="exact"/>
        <w:rPr>
          <w:sz w:val="20"/>
          <w:szCs w:val="20"/>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strategic investment in InvestCloud, discussed in Note 5 “Investments,” is excluded from the recurring fair value table shown below because we have elected to apply the measurement alternative for this investment.</w:t>
      </w:r>
    </w:p>
    <w:p>
      <w:pPr>
        <w:spacing w:after="0" w:line="6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Measured at</w:t>
            </w:r>
          </w:p>
        </w:tc>
        <w:tc>
          <w:tcPr>
            <w:tcW w:w="2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line="216" w:lineRule="exact"/>
              <w:rPr>
                <w:sz w:val="20"/>
                <w:szCs w:val="20"/>
                <w:color w:val="auto"/>
              </w:rPr>
            </w:pPr>
            <w:r>
              <w:rPr>
                <w:rFonts w:ascii="Arial" w:cs="Arial" w:eastAsia="Arial" w:hAnsi="Arial"/>
                <w:sz w:val="16"/>
                <w:szCs w:val="16"/>
                <w:b w:val="1"/>
                <w:bCs w:val="1"/>
                <w:color w:val="auto"/>
                <w:w w:val="90"/>
              </w:rPr>
              <w:t xml:space="preserve">NAV </w:t>
            </w:r>
            <w:r>
              <w:rPr>
                <w:rFonts w:ascii="Arial" w:cs="Arial" w:eastAsia="Arial" w:hAnsi="Arial"/>
                <w:sz w:val="21"/>
                <w:szCs w:val="21"/>
                <w:color w:val="auto"/>
                <w:w w:val="90"/>
                <w:vertAlign w:val="superscript"/>
              </w:rPr>
              <w:t>(1)</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2020:</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30,228</w:t>
            </w:r>
          </w:p>
        </w:tc>
        <w:tc>
          <w:tcPr>
            <w:tcW w:w="10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30,228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02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3,314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3,314</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30,228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3,314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33,629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50,324</w:t>
            </w:r>
          </w:p>
        </w:tc>
        <w:tc>
          <w:tcPr>
            <w:tcW w:w="10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50,324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02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3,975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3,975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50,324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3,975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54,562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0" w:right="620" w:firstLine="6"/>
        <w:spacing w:after="0" w:line="253" w:lineRule="auto"/>
        <w:tabs>
          <w:tab w:leader="none" w:pos="224"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Comprised of certain investments measured at fair value using net asset value ("NAV") as a practical expedient. The fair value amounts presented in this table are intended to permit reconciliation of the fair value hierarchy to the amounts presented on our Condensed Consolidated Balance Sheets.</w:t>
      </w:r>
    </w:p>
    <w:p>
      <w:pPr>
        <w:spacing w:after="0" w:line="200" w:lineRule="exact"/>
        <w:rPr>
          <w:sz w:val="20"/>
          <w:szCs w:val="20"/>
          <w:color w:val="auto"/>
        </w:rPr>
      </w:pPr>
    </w:p>
    <w:p>
      <w:pPr>
        <w:spacing w:after="0" w:line="248"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Our investment in Charis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market transactions. Management believes this valuation methodology is consistent with the banking industry and we will reevaluate our methodology and inputs on a quarterly basis.</w:t>
      </w:r>
    </w:p>
    <w:p>
      <w:pPr>
        <w:spacing w:after="0" w:line="63"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The following table summarizes the changes in Level 3 investments measured at fair value on a recurring basis for the periods presented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00" w:type="dxa"/>
            <w:vAlign w:val="bottom"/>
            <w:gridSpan w:val="9"/>
          </w:tcPr>
          <w:p>
            <w:pPr>
              <w:jc w:val="right"/>
              <w:spacing w:after="0"/>
              <w:rPr>
                <w:sz w:val="20"/>
                <w:szCs w:val="20"/>
                <w:color w:val="auto"/>
              </w:rPr>
            </w:pPr>
            <w:r>
              <w:rPr>
                <w:rFonts w:ascii="Arial" w:cs="Arial" w:eastAsia="Arial" w:hAnsi="Arial"/>
                <w:sz w:val="16"/>
                <w:szCs w:val="16"/>
                <w:b w:val="1"/>
                <w:bCs w:val="1"/>
                <w:color w:val="auto"/>
                <w:w w:val="95"/>
              </w:rPr>
              <w:t>Fair Value using Significant Unobservable Inputs (Level 3)</w:t>
            </w:r>
          </w:p>
        </w:tc>
        <w:tc>
          <w:tcPr>
            <w:tcW w:w="98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26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5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73"/>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90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4"/>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3,975</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Unrealized gains (losses) on private investments</w:t>
            </w:r>
          </w:p>
        </w:tc>
        <w:tc>
          <w:tcPr>
            <w:tcW w:w="900" w:type="dxa"/>
            <w:vAlign w:val="bottom"/>
          </w:tcPr>
          <w:p>
            <w:pPr>
              <w:spacing w:after="0"/>
              <w:rPr>
                <w:sz w:val="21"/>
                <w:szCs w:val="21"/>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90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4"/>
              </w:rPr>
              <w:t>3,314</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3,314</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June 30, 2020 private investment fair value of $3.3 million was valued using a market approach based on a price to tangible book value multiple, with unobservable book value multiples ranging from $1.06 to $1.31 per share, with a weighted average of $1.20 per share. Significant increases (decreases) in book value multiples in isolation would have resulted in a significantly higher (lower) fair value measurement.</w:t>
      </w:r>
    </w:p>
    <w:p>
      <w:pPr>
        <w:spacing w:after="0" w:line="269" w:lineRule="exact"/>
        <w:rPr>
          <w:sz w:val="20"/>
          <w:szCs w:val="20"/>
          <w:color w:val="auto"/>
        </w:rPr>
      </w:pPr>
    </w:p>
    <w:p>
      <w:pPr>
        <w:ind w:right="7340" w:firstLine="8"/>
        <w:spacing w:after="0" w:line="378"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COMPENSATION Restricted Stock Awards</w:t>
      </w:r>
    </w:p>
    <w:p>
      <w:pPr>
        <w:ind w:firstLine="486"/>
        <w:spacing w:after="0" w:line="273" w:lineRule="auto"/>
        <w:rPr>
          <w:sz w:val="20"/>
          <w:szCs w:val="20"/>
          <w:color w:val="auto"/>
        </w:rPr>
      </w:pPr>
      <w:r>
        <w:rPr>
          <w:rFonts w:ascii="Arial" w:cs="Arial" w:eastAsia="Arial" w:hAnsi="Arial"/>
          <w:sz w:val="17"/>
          <w:szCs w:val="17"/>
          <w:color w:val="auto"/>
        </w:rPr>
        <w:t>We have issued restricted shares to our employees and non-employee directors. The Seventh Amended and Restated Westwood Holdings Group, Inc. Stock Incentive Plan (the “Plan”) reserves shares of Westwood common stock for issuance to eligible employees, directors and consultants of Westwood or its subsidiaries in the form of restricted stock and stock options. In April 2020, stockholders approved an additional 350,000 shares to be authorized under the Plan, increasing the total number of shares issuable under the Plan (including predecessor plans to the Plan) to 5,398,100 shares. In the event of a change in control of Westwood, the Plan contains provisions providing for the acceleration of the vesting of restricted stock. At June 30, 2020, approximately 626,000 shares remain available for issuance under the Plan.</w:t>
      </w:r>
    </w:p>
    <w:p>
      <w:pPr>
        <w:spacing w:after="0" w:line="70"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for stock-based compensation arrangements for the periods indicated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48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condition stock-based compensation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3,948</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Performance condition stock-based compensation expense</w:t>
            </w:r>
          </w:p>
        </w:tc>
        <w:tc>
          <w:tcPr>
            <w:tcW w:w="2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1,418</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under the Plan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5,366</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Canadian Plan stock-based compensation expense</w:t>
            </w:r>
          </w:p>
        </w:tc>
        <w:tc>
          <w:tcPr>
            <w:tcW w:w="2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317</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4,921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5,683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62"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As of June 30, 2020, there was approximately $15.6 million of unrecognized compensation cost for restricted stock grants under the Plan, which we expect to recognize over a weighted-average period of 2.8 years. Our two types of restricted stock grants under the Plan are discussed below.</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17"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with adjustments for forfeitures recorded as they occur.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details the status and changes in our restricted stock grants subject only to a service condition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40" w:type="dxa"/>
            <w:vAlign w:val="bottom"/>
          </w:tcPr>
          <w:p>
            <w:pPr>
              <w:spacing w:after="0"/>
              <w:rPr>
                <w:sz w:val="14"/>
                <w:szCs w:val="14"/>
                <w:color w:val="auto"/>
              </w:rPr>
            </w:pPr>
          </w:p>
        </w:tc>
        <w:tc>
          <w:tcPr>
            <w:tcW w:w="1320" w:type="dxa"/>
            <w:vAlign w:val="bottom"/>
            <w:vMerge w:val="restart"/>
          </w:tcPr>
          <w:p>
            <w:pPr>
              <w:jc w:val="right"/>
              <w:ind w:right="355"/>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8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January 1, 2020</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396,598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48.31</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262,373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77"/>
              <w:spacing w:after="0"/>
              <w:rPr>
                <w:sz w:val="20"/>
                <w:szCs w:val="20"/>
                <w:color w:val="auto"/>
              </w:rPr>
            </w:pPr>
            <w:r>
              <w:rPr>
                <w:rFonts w:ascii="Arial" w:cs="Arial" w:eastAsia="Arial" w:hAnsi="Arial"/>
                <w:sz w:val="17"/>
                <w:szCs w:val="17"/>
                <w:color w:val="auto"/>
              </w:rPr>
              <w:t>27.39</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(140,974)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53.06</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(10,832)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77"/>
              <w:spacing w:after="0"/>
              <w:rPr>
                <w:sz w:val="20"/>
                <w:szCs w:val="20"/>
                <w:color w:val="auto"/>
              </w:rPr>
            </w:pPr>
            <w:r>
              <w:rPr>
                <w:rFonts w:ascii="Arial" w:cs="Arial" w:eastAsia="Arial" w:hAnsi="Arial"/>
                <w:sz w:val="17"/>
                <w:szCs w:val="17"/>
                <w:color w:val="auto"/>
              </w:rPr>
              <w:t>42.72</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June 30, 2020</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507,165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36.29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1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112"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following table details the status and changes in our restricted stock grants subject to service and performance conditions for the six months ended June 30, 2020:</w:t>
      </w:r>
    </w:p>
    <w:tbl>
      <w:tblPr>
        <w:tblLayout w:type="fixed"/>
        <w:tblInd w:w="0" w:type="dxa"/>
        <w:tblCellMar>
          <w:top w:w="0" w:type="dxa"/>
          <w:left w:w="0" w:type="dxa"/>
          <w:bottom w:w="0" w:type="dxa"/>
          <w:right w:w="0" w:type="dxa"/>
        </w:tblCellMar>
      </w:tblPr>
      <w:tr>
        <w:trPr>
          <w:trHeight w:val="167"/>
        </w:trPr>
        <w:tc>
          <w:tcPr>
            <w:tcW w:w="8140" w:type="dxa"/>
            <w:vAlign w:val="bottom"/>
          </w:tcPr>
          <w:p>
            <w:pPr>
              <w:spacing w:after="0"/>
              <w:rPr>
                <w:sz w:val="14"/>
                <w:szCs w:val="14"/>
                <w:color w:val="auto"/>
              </w:rPr>
            </w:pPr>
          </w:p>
        </w:tc>
        <w:tc>
          <w:tcPr>
            <w:tcW w:w="13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158"/>
              <w:spacing w:after="0" w:line="167" w:lineRule="exact"/>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8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January 1, 2020</w:t>
            </w:r>
          </w:p>
        </w:tc>
        <w:tc>
          <w:tcPr>
            <w:tcW w:w="1320" w:type="dxa"/>
            <w:vAlign w:val="bottom"/>
            <w:tcBorders>
              <w:bottom w:val="single" w:sz="8" w:color="CCEEFF"/>
            </w:tcBorders>
            <w:shd w:val="clear" w:color="auto" w:fill="CCEEFF"/>
          </w:tcPr>
          <w:p>
            <w:pPr>
              <w:jc w:val="center"/>
              <w:ind w:left="456"/>
              <w:spacing w:after="0"/>
              <w:rPr>
                <w:sz w:val="20"/>
                <w:szCs w:val="20"/>
                <w:color w:val="auto"/>
              </w:rPr>
            </w:pPr>
            <w:r>
              <w:rPr>
                <w:rFonts w:ascii="Arial" w:cs="Arial" w:eastAsia="Arial" w:hAnsi="Arial"/>
                <w:sz w:val="17"/>
                <w:szCs w:val="17"/>
                <w:color w:val="auto"/>
                <w:w w:val="88"/>
              </w:rPr>
              <w:t>80,975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49.73</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Pr>
          <w:p>
            <w:pPr>
              <w:jc w:val="center"/>
              <w:ind w:left="436"/>
              <w:spacing w:after="0"/>
              <w:rPr>
                <w:sz w:val="20"/>
                <w:szCs w:val="20"/>
                <w:color w:val="auto"/>
              </w:rPr>
            </w:pPr>
            <w:r>
              <w:rPr>
                <w:rFonts w:ascii="Arial" w:cs="Arial" w:eastAsia="Arial" w:hAnsi="Arial"/>
                <w:sz w:val="17"/>
                <w:szCs w:val="17"/>
                <w:color w:val="auto"/>
                <w:w w:val="94"/>
              </w:rPr>
              <w:t>(35,275)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78"/>
              <w:spacing w:after="0"/>
              <w:rPr>
                <w:sz w:val="20"/>
                <w:szCs w:val="20"/>
                <w:color w:val="auto"/>
              </w:rPr>
            </w:pPr>
            <w:r>
              <w:rPr>
                <w:rFonts w:ascii="Arial" w:cs="Arial" w:eastAsia="Arial" w:hAnsi="Arial"/>
                <w:sz w:val="17"/>
                <w:szCs w:val="17"/>
                <w:color w:val="auto"/>
              </w:rPr>
              <w:t>55.11</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June 30, 2020</w:t>
            </w:r>
          </w:p>
        </w:tc>
        <w:tc>
          <w:tcPr>
            <w:tcW w:w="1320" w:type="dxa"/>
            <w:vAlign w:val="bottom"/>
            <w:tcBorders>
              <w:bottom w:val="single" w:sz="8" w:color="auto"/>
            </w:tcBorders>
            <w:shd w:val="clear" w:color="auto" w:fill="CCEEFF"/>
          </w:tcPr>
          <w:p>
            <w:pPr>
              <w:jc w:val="center"/>
              <w:ind w:left="456"/>
              <w:spacing w:after="0"/>
              <w:rPr>
                <w:sz w:val="20"/>
                <w:szCs w:val="20"/>
                <w:color w:val="auto"/>
              </w:rPr>
            </w:pPr>
            <w:r>
              <w:rPr>
                <w:rFonts w:ascii="Arial" w:cs="Arial" w:eastAsia="Arial" w:hAnsi="Arial"/>
                <w:sz w:val="17"/>
                <w:szCs w:val="17"/>
                <w:color w:val="auto"/>
                <w:w w:val="88"/>
              </w:rPr>
              <w:t>45,700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45.58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ind w:left="340" w:right="20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2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Advisors. Under the Canadian Plan, no more than $10 million CDN ($7.4 million in U.S. Dollars using the exchange rate on June 30, 2020) may be funded to the plan trustee for purchases of common stock with respect to awards granted under the Canadian Plan. At June 30, 2020, approximately $1.4 million CDN ($1.0 million in U.S. Dollars using the exchange rate on June 30, 2020) remains available for issuance under the Canadian Plan, or approximately 63,000 shares based on the closing share price of our stock of $15.75 as of June 30, 2020. During the first six months of 2020, the trust formed pursuant to the Canadian Plan purchased 27,474 Westwood common shares in the open market for approximately $0.7 million. As of June 30, 2020, the trust holds 63,712 shares of Westwood common stock. As of June 30, 2020, unrecognized compensation cost related to restricted stock grants under the Canadian Plan totaled $0.8 million, which we expect to recognize over a weighted-average period of 1.8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2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may grant mutual fund incentive awards, which are bonus awards based on our mutual funds achieving specific performance goals, annually to certain employees.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The investment may increase or decrease based on changes in the value of the mutual fund shares awarded, including reinvested income from the mutual funds during the vesting period. Unvested mutual fund awards are included under “Investments, at fair value” on our Condensed Consolidated Balance Sheets.</w:t>
      </w:r>
    </w:p>
    <w:p>
      <w:pPr>
        <w:spacing w:after="0" w:line="84"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Awards vest over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June 30, 2020 and 2019, we recorded expense of approximately $9,000 and $14,000, respectively, related to mutual fund share incentive awards. For the six months ended June 30, 2020 we recorded expense of $17,000, and for the six months ended June 30, 2019, a net $112,000 credit to mutual fund expense, primarily related to the forfeiture of a mutual fund award during the first quarter of 2019. As of June 30, 2020 and December 31, 2019, we had an accrued liability of approximately $37,000 and $79,000, respectively, related to mutual fund share incentive awards.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8. INCOME TAXES</w:t>
      </w:r>
    </w:p>
    <w:p>
      <w:pPr>
        <w:spacing w:after="0" w:line="12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income tax rate differed from the 21% statutory rate for the second quarter of 2020 primarily due to the impact of certain deferred tax assets that offset the discrete benefit adjustment related to the remeasurement of certain deferred taxes following the enactment of the Coronavirus Aid, Relief, and Economic Security Act ("CARES Act") recorded in the first quarter of 2020. Our effective income tax rate was 19.0% for the first six months of 2020, compared with 45.7% for the</w:t>
      </w:r>
    </w:p>
    <w:p>
      <w:pPr>
        <w:spacing w:after="0" w:line="2" w:lineRule="exact"/>
        <w:rPr>
          <w:sz w:val="20"/>
          <w:szCs w:val="20"/>
          <w:color w:val="auto"/>
        </w:rPr>
      </w:pPr>
    </w:p>
    <w:p>
      <w:pPr>
        <w:ind w:right="2680"/>
        <w:spacing w:after="0" w:line="255" w:lineRule="auto"/>
        <w:rPr>
          <w:sz w:val="20"/>
          <w:szCs w:val="20"/>
          <w:color w:val="auto"/>
        </w:rPr>
      </w:pPr>
      <w:r>
        <w:rPr>
          <w:rFonts w:ascii="Arial" w:cs="Arial" w:eastAsia="Arial" w:hAnsi="Arial"/>
          <w:sz w:val="18"/>
          <w:szCs w:val="18"/>
          <w:color w:val="auto"/>
        </w:rPr>
        <w:t>first six months of 2019. The 2019 year-to-date rate was negatively impacted by a $0.6 million discrete tax expense related to a permanent difference between book and tax restricted stock expense based on a decrease in our stock price between the grant and vesting dates.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w:t>
      </w:r>
    </w:p>
    <w:p>
      <w:pPr>
        <w:spacing w:after="0" w:line="121"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Westwood Holdings Group has a Texas margin tax audit underway in reaction to a refund claim submitted to the state of Texas for the reporting years 2014 to 2019. We do not expect the results of the audit to have a material impact on our Condensed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(LOSS) PER SHARE</w:t>
      </w:r>
    </w:p>
    <w:p>
      <w:pPr>
        <w:spacing w:after="0" w:line="121"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Basic earnings (loss) per common share is computed by dividing net income (loss) available to common stockholders by the weighted average number of shares outstanding for the applicable period. Diluted earnings (loss) per share is computed based on the weighted average number of shares outstanding plus the effect of any dilutive shares of restricted stock granted to employees and non-employee directors. There were approximately 326,000 and 131,000 anti-dilutive restricted shares outstanding for the three months ended June 30, 2020 and June 30, 2019, respectively. There were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229,000 and 91,000 anti-dilutive restricted shares outstanding for the six months ended June 30, 2020 and June 30, 2019, respectively.</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computation of basic and diluted earnings (loss) per share (in thousands, except per share and share amounts):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8"/>
                <w:szCs w:val="18"/>
                <w:color w:val="auto"/>
              </w:rPr>
            </w:pPr>
          </w:p>
        </w:tc>
        <w:tc>
          <w:tcPr>
            <w:tcW w:w="232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w w:val="95"/>
              </w:rPr>
              <w:t>Six Months Ended June 30,</w:t>
            </w:r>
          </w:p>
        </w:tc>
      </w:tr>
      <w:tr>
        <w:trPr>
          <w:trHeight w:val="33"/>
        </w:trPr>
        <w:tc>
          <w:tcPr>
            <w:tcW w:w="5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r>
      <w:tr>
        <w:trPr>
          <w:trHeight w:val="33"/>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2,253</w:t>
            </w:r>
          </w:p>
        </w:tc>
      </w:tr>
      <w:tr>
        <w:trPr>
          <w:trHeight w:val="257"/>
        </w:trPr>
        <w:tc>
          <w:tcPr>
            <w:tcW w:w="5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7,879,698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8,446,610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8,147,045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8,406,367</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Dilutive potential shares from unvested restricted shares</w:t>
            </w:r>
          </w:p>
        </w:tc>
        <w:tc>
          <w:tcPr>
            <w:tcW w:w="24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30,167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61,222</w:t>
            </w:r>
          </w:p>
        </w:tc>
      </w:tr>
      <w:tr>
        <w:trPr>
          <w:trHeight w:val="27"/>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7,879,698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8,476,777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8,147,045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8,467,589</w:t>
            </w:r>
          </w:p>
        </w:tc>
      </w:tr>
      <w:tr>
        <w:trPr>
          <w:trHeight w:val="256"/>
        </w:trPr>
        <w:tc>
          <w:tcPr>
            <w:tcW w:w="5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0.27</w:t>
            </w:r>
          </w:p>
        </w:tc>
      </w:tr>
      <w:tr>
        <w:trPr>
          <w:trHeight w:val="27"/>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0.27</w:t>
            </w:r>
          </w:p>
        </w:tc>
      </w:tr>
      <w:tr>
        <w:trPr>
          <w:trHeight w:val="27"/>
        </w:trPr>
        <w:tc>
          <w:tcPr>
            <w:tcW w:w="5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most recent annual goodwill impairment assessment during the third quarter of 2019 and determined that no impairment loss was required. No impairments on goodwill were recorded during the six months ended June 30, 2020 or 2019.</w:t>
      </w:r>
    </w:p>
    <w:p>
      <w:pPr>
        <w:spacing w:after="0" w:line="79"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A continued trend of weaker than anticipated Company financial performance, significant net outflows of AUM, a decline in the Company’s share price for a sustained period of time, or an increase in the market-based weighted average cost of capital, any of which could be caused or exacerbated in the future by the effects of COVID-19, among other factors, could significantly impact our annual impairment analysis and may result in future goodwill impairment charges that, if incurred, could have a material adverse effect on the Company’s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six months ended June 30, 2020 or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11. LEASES</w:t>
      </w:r>
    </w:p>
    <w:p>
      <w:pPr>
        <w:spacing w:after="0" w:line="121"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As of June 30, 2020, there have been no material changes outside the ordinary course of business to our leases since December 31, 2019. For information regarding our leases, refer to Note 15 “Leases” in Part IV, Item 15. “Exhibits, Financial Statement Schedules” in our Annual Report on Form 10-K for the fiscal year ended December 31, 2019.</w:t>
      </w:r>
    </w:p>
    <w:p>
      <w:pPr>
        <w:spacing w:after="0" w:line="200" w:lineRule="exact"/>
        <w:rPr>
          <w:sz w:val="20"/>
          <w:szCs w:val="20"/>
          <w:color w:val="auto"/>
        </w:rPr>
      </w:pPr>
    </w:p>
    <w:p>
      <w:pPr>
        <w:spacing w:after="0" w:line="223" w:lineRule="exact"/>
        <w:rPr>
          <w:sz w:val="20"/>
          <w:szCs w:val="20"/>
          <w:color w:val="auto"/>
        </w:rPr>
      </w:pPr>
    </w:p>
    <w:p>
      <w:pPr>
        <w:ind w:right="8660" w:firstLine="8"/>
        <w:spacing w:after="0" w:line="377"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Share Repurchase Program</w:t>
      </w:r>
    </w:p>
    <w:p>
      <w:pPr>
        <w:spacing w:after="0" w:line="2"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In February 2020, our Board of Directors authorized management to repurchase up to an additional $10.0 million of our outstanding common stock on the open market or in privately negotiated transactions. In April 2020, our Board of Directors authorized management to repurchase up to an additional $10.0 million of share repurchases under our share repurchase program, which is outstanding as of June 30, 2020.</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During the three months ended June 30, 2020, the Company repurchased 407,697 shares of our common stock at an average price of $19.83 per share, including commissions, for an aggregate purchase price of $8.1 million under our share repurchase plan. During the six months ended June 30, 2020, the Company repurchased 679,756 shares of our common stock at an average price of $19.05 per share, including commissions, for an aggregate purchase price of $13.0 million.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 xml:space="preserve">We evaluated (i) our relationship as sponsor of the Common Trust Funds (“CTFs”) and managing member of the private equity funds Westwood Hospitality Fund I, LLC and Westwood Technology Opportunities Fund I, LP (collectively, the “Private Funds”), (ii) our advisory relationships with the Westwood Funds® and (iii) our investments in InvestCloud and Charis discussed in Note 5 </w:t>
      </w:r>
      <w:r>
        <w:rPr>
          <w:rFonts w:ascii="Arial" w:cs="Arial" w:eastAsia="Arial" w:hAnsi="Arial"/>
          <w:sz w:val="18"/>
          <w:szCs w:val="18"/>
          <w:color w:val="222222"/>
        </w:rPr>
        <w:t>“Investments”</w:t>
      </w:r>
      <w:r>
        <w:rPr>
          <w:rFonts w:ascii="Arial" w:cs="Arial" w:eastAsia="Arial" w:hAnsi="Arial"/>
          <w:sz w:val="18"/>
          <w:szCs w:val="18"/>
          <w:color w:val="auto"/>
        </w:rPr>
        <w:t xml:space="preserve"> (“Private Equity”) to determine whether each of these entities is a variable interest entity (“VIE”) or voting ownership entity (“VOE”).</w:t>
      </w:r>
    </w:p>
    <w:p>
      <w:pPr>
        <w:spacing w:after="0" w:line="7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76"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5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Based on our analyses of our investments in these entities for the periods ending June 30, 2020 and December 31, 2019, we have not consolidated the CTFs or Private Funds under the VIE method or the Westwood Funds® or Private Equity under the VOE method.</w:t>
      </w:r>
    </w:p>
    <w:p>
      <w:pPr>
        <w:spacing w:after="0" w:line="62"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As of June 30, 2020 and December 31, 2019, our seed investments in the Westwood Funds aggregated approximately $4.2 million and $6.4 million, respectively. The seed investments were provided for the sole purpose of showing the economic substance needed to establish the funds and are included in “Investments, at fair value” on our Condensed Consolidated Balance Sheets.</w:t>
      </w:r>
    </w:p>
    <w:p>
      <w:pPr>
        <w:spacing w:after="0" w:line="7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have not otherwise provided any financial support not previously contractually obligated to provide, and there are no arrangements that would require us to provide additional financial support to any of these entities. Our seed investments in the above-mentioned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are accounted for as investments consistent with our other investments described in Note 5 “Investments.” We recognized fee revenue from the Westwood VIEs and Westwood VOEs as follows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820" w:type="dxa"/>
            <w:vAlign w:val="bottom"/>
            <w:gridSpan w:val="4"/>
          </w:tcPr>
          <w:p>
            <w:pPr>
              <w:jc w:val="right"/>
              <w:ind w:right="775"/>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280" w:type="dxa"/>
            <w:vAlign w:val="bottom"/>
          </w:tcPr>
          <w:p>
            <w:pPr>
              <w:jc w:val="right"/>
              <w:ind w:right="175"/>
              <w:spacing w:after="0"/>
              <w:rPr>
                <w:sz w:val="20"/>
                <w:szCs w:val="20"/>
                <w:color w:val="auto"/>
              </w:rPr>
            </w:pPr>
            <w:r>
              <w:rPr>
                <w:rFonts w:ascii="Arial" w:cs="Arial" w:eastAsia="Arial" w:hAnsi="Arial"/>
                <w:sz w:val="16"/>
                <w:szCs w:val="16"/>
                <w:b w:val="1"/>
                <w:bCs w:val="1"/>
                <w:color w:val="auto"/>
                <w:w w:val="96"/>
              </w:rPr>
              <w:t>June 30, 2019</w:t>
            </w:r>
          </w:p>
        </w:tc>
      </w:tr>
      <w:tr>
        <w:trPr>
          <w:trHeight w:val="33"/>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Fee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17.1</w:t>
            </w:r>
          </w:p>
        </w:tc>
      </w:tr>
      <w:tr>
        <w:trPr>
          <w:trHeight w:val="27"/>
        </w:trPr>
        <w:tc>
          <w:tcPr>
            <w:tcW w:w="5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160" w:firstLine="486"/>
        <w:spacing w:after="0" w:line="277" w:lineRule="auto"/>
        <w:rPr>
          <w:sz w:val="20"/>
          <w:szCs w:val="20"/>
          <w:color w:val="auto"/>
        </w:rPr>
      </w:pPr>
      <w:r>
        <w:rPr>
          <w:rFonts w:ascii="Arial" w:cs="Arial" w:eastAsia="Arial" w:hAnsi="Arial"/>
          <w:sz w:val="18"/>
          <w:szCs w:val="18"/>
          <w:color w:val="auto"/>
        </w:rPr>
        <w:t>The following table displays the AUM, the amounts of our seed investments included in “Investments” on our consolidated balance sheets, and the risk of loss in each vehicle (in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As of June 30, 2020</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79"/>
              </w:rPr>
              <w:t>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2"/>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Under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Corporate</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Management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Investment</w:t>
            </w:r>
          </w:p>
        </w:tc>
        <w:tc>
          <w:tcPr>
            <w:tcW w:w="1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Amount at Risk</w:t>
            </w:r>
          </w:p>
        </w:tc>
      </w:tr>
      <w:tr>
        <w:trPr>
          <w:trHeight w:val="33"/>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VIEs/VOEs: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Westwood Funds®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1,740</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4.2</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Trust Funds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Private Funds</w:t>
            </w:r>
          </w:p>
        </w:tc>
        <w:tc>
          <w:tcPr>
            <w:tcW w:w="16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0.1</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Private Equity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All other assets: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Wealth Management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Institutional</w:t>
            </w:r>
          </w:p>
        </w:tc>
        <w:tc>
          <w:tcPr>
            <w:tcW w:w="16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Under Management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11,908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14. RELATED PARTY TRANSACTIONS</w:t>
      </w:r>
    </w:p>
    <w:p>
      <w:pPr>
        <w:spacing w:after="0" w:line="12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Some of our directors, executive officers and their affiliates invest personal funds directly in trust accounts that we manage. For both the three months ended June 30, 2020 and 2019, we recorded trust fees from these accounts of $0.1 million. For both the six months ended June 30, 2020 and 2019, we recorded trust fees from these accounts of $0.2 million. There was approximately $0.1 million due from these accounts as of both June 30, 2020 and December 31, 2019.</w:t>
      </w:r>
    </w:p>
    <w:p>
      <w:pPr>
        <w:spacing w:after="0" w:line="79"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222222"/>
        </w:rPr>
        <w:t xml:space="preserve">The Company engages in transactions with its affiliates in the ordinary course of business. Westwood International Advisors and </w:t>
      </w:r>
      <w:r>
        <w:rPr>
          <w:rFonts w:ascii="Arial" w:cs="Arial" w:eastAsia="Arial" w:hAnsi="Arial"/>
          <w:sz w:val="16"/>
          <w:szCs w:val="16"/>
          <w:color w:val="000000"/>
        </w:rPr>
        <w:t>Westwood</w:t>
      </w:r>
      <w:r>
        <w:rPr>
          <w:rFonts w:ascii="Arial" w:cs="Arial" w:eastAsia="Arial" w:hAnsi="Arial"/>
          <w:sz w:val="16"/>
          <w:szCs w:val="16"/>
          <w:color w:val="222222"/>
        </w:rPr>
        <w:t xml:space="preserve"> </w:t>
      </w:r>
      <w:r>
        <w:rPr>
          <w:rFonts w:ascii="Arial" w:cs="Arial" w:eastAsia="Arial" w:hAnsi="Arial"/>
          <w:sz w:val="16"/>
          <w:szCs w:val="16"/>
          <w:color w:val="000000"/>
        </w:rPr>
        <w:t xml:space="preserve">Management </w:t>
      </w:r>
      <w:r>
        <w:rPr>
          <w:rFonts w:ascii="Arial" w:cs="Arial" w:eastAsia="Arial" w:hAnsi="Arial"/>
          <w:sz w:val="16"/>
          <w:szCs w:val="16"/>
          <w:color w:val="222222"/>
        </w:rPr>
        <w:t>provide investment advisory services to the UCITS Fund and the Westwood Funds®. Certain members of our management serve on the board</w:t>
      </w:r>
      <w:r>
        <w:rPr>
          <w:rFonts w:ascii="Arial" w:cs="Arial" w:eastAsia="Arial" w:hAnsi="Arial"/>
          <w:sz w:val="16"/>
          <w:szCs w:val="16"/>
          <w:color w:val="000000"/>
        </w:rPr>
        <w:t xml:space="preserve"> </w:t>
      </w:r>
      <w:r>
        <w:rPr>
          <w:rFonts w:ascii="Arial" w:cs="Arial" w:eastAsia="Arial" w:hAnsi="Arial"/>
          <w:sz w:val="16"/>
          <w:szCs w:val="16"/>
          <w:color w:val="222222"/>
        </w:rPr>
        <w:t>of directors of the UCITS Fund (the fund has been liquidated as of June 2020), and we have capital invested in three of the Westwood Funds®. Under the terms of the investment advisory agreements, the Company earns quarterly fees paid by clients of the fund or by the funds directly. The fees are based on negotiated fee schedules applied to AUM. For the three months ended June 30, 2020 and 2019, the Company earned approximately $0.2 million and $0.8 million, respectively, in fees from the affiliated funds. As of June 30, 2020, all of these fees had been collected. As of December 31, 2019, $0.2 million, of these fees were outstanding and included in “Accounts receivable” on our Condensed Consolidated Balance Sheets.</w:t>
      </w:r>
    </w:p>
    <w:p>
      <w:pPr>
        <w:spacing w:after="0" w:line="216" w:lineRule="exact"/>
        <w:rPr>
          <w:sz w:val="20"/>
          <w:szCs w:val="20"/>
          <w:color w:val="auto"/>
        </w:rPr>
      </w:pPr>
    </w:p>
    <w:p>
      <w:pPr>
        <w:ind w:right="8660" w:firstLine="8"/>
        <w:spacing w:after="0" w:line="566" w:lineRule="auto"/>
        <w:tabs>
          <w:tab w:leader="none" w:pos="27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Westwood International Advisors</w:t>
      </w:r>
    </w:p>
    <w:p>
      <w:pPr>
        <w:ind w:right="440" w:firstLine="486"/>
        <w:spacing w:after="0" w:line="277" w:lineRule="auto"/>
        <w:rPr>
          <w:sz w:val="20"/>
          <w:szCs w:val="20"/>
          <w:color w:val="auto"/>
        </w:rPr>
      </w:pPr>
      <w:r>
        <w:rPr>
          <w:rFonts w:ascii="Arial" w:cs="Arial" w:eastAsia="Arial" w:hAnsi="Arial"/>
          <w:sz w:val="18"/>
          <w:szCs w:val="18"/>
          <w:color w:val="auto"/>
        </w:rPr>
        <w:t>On July 27, 2020, our Board of Directors approved the closure of Westwood International Advisors and our Toronto office. As a result of those closures, we currently expect to incur net expenses of approximately $0.4 million in the second half of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right="102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Forward-Looking Statements</w:t>
      </w:r>
    </w:p>
    <w:p>
      <w:pPr>
        <w:spacing w:after="0" w:line="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2019, filed with the SEC, and those risks set forth below:</w:t>
      </w:r>
    </w:p>
    <w:p>
      <w:pPr>
        <w:spacing w:after="0" w:line="69" w:lineRule="exact"/>
        <w:rPr>
          <w:sz w:val="20"/>
          <w:szCs w:val="20"/>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composition and market value of our AUM;</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avoid termination of client agreements and the related investment redemptions;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AUM include investments in foreign companies;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declare and pay dividends;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future capital requirements on favorable terms;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stock is thinly traded and may be subject to volatility;</w:t>
      </w:r>
    </w:p>
    <w:p>
      <w:pPr>
        <w:spacing w:after="0" w:line="117" w:lineRule="exact"/>
        <w:rPr>
          <w:rFonts w:ascii="Arial" w:cs="Arial" w:eastAsia="Arial" w:hAnsi="Arial"/>
          <w:sz w:val="18"/>
          <w:szCs w:val="18"/>
          <w:color w:val="auto"/>
        </w:rPr>
      </w:pPr>
    </w:p>
    <w:p>
      <w:pPr>
        <w:ind w:left="500" w:right="240" w:hanging="6"/>
        <w:spacing w:after="0" w:line="277" w:lineRule="auto"/>
        <w:tabs>
          <w:tab w:leader="none" w:pos="6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organizational documents contain provisions that may prevent or deter another group from paying a premium over the market price to our stockholders to acquire our stock;</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holding company dependent on the operations and funds of our subsidiaries;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w:t>
      </w:r>
    </w:p>
    <w:p>
      <w:pPr>
        <w:spacing w:after="0" w:line="11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93" w:right="5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reflect events or circumstances occurring after the date of this report or to reflect the occurrence of unanticipated events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Advisors”) and Westwood Trust. Westwood Management provides investment advisory services to institutional investors, a family of mutual funds called the Westwood Funds®, other mutual funds, individuals and clients of Westwood Trust. Westwood International Advisors provides investment advisory services to institutional clients, the Westwood Funds®, other mutual funds and clients of Westwood Trust. Westwood Trust provides trust and custodial services and participation in common trust funds to institutions and high net worth individuals. Our revenues are generally derived from fees based on a percentage of AUM. Westwood Management provided investment advisory services to an Irish investment company authorized pursuant to the European Communities (Undertakings for Collective Investment in Transferable Securities) Regulation 2011 (as amended) (the “UCITS Fund”), but the UCITS Fund was liquidated in June 2020.</w:t>
      </w:r>
    </w:p>
    <w:p>
      <w:pPr>
        <w:spacing w:after="0" w:line="5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continue to closely monitor the impact of the COVID-19 pandemic on all aspects of our business, particularly the impact on global stock markets. In 2020 we have taken a number of precautionary measures designed to help minimize the risk of the spread of the virus to our employees, including suspending all non-essential travel for our employees and encouraging our employees to work remotely. The investments we have made in technology over the past several years, particularly our significant investments in cloud-based systems and business continuity planning, have allowed our entire team to serve our clients seamlessly from their homes.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derive our revenues from investment advisory fees, trust fees and other revenues. Our advisory fees are generated by Westwood Management and Westwood International Advisors,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73"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other revenues primarily consist of investment income from our seed money investments into new investment strategies.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Employee compensation and benefits expenses generally consist of salaries, incentive compensation, equity-based compensation and benefits.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and marketing expenses relate to our marketing efforts, including travel and entertainment, direct marketing and advertising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21" w:name="page22"/>
    <w:bookmarkEnd w:id="21"/>
    <w:p>
      <w:pPr>
        <w:ind w:right="340" w:firstLine="486"/>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Professional services expenses generally consist of costs associated with subadvisory fees, audit, tax, legal and other professional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Foreign Currency Transactions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Gain (loss) on foreign currency transactions consists of foreign currency transactions primarily related to Westwood International Advisors.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Gains (Losses) on Private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Unrealized gains (losses) in private investments includes changes in the value of our private 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 income primarily includes interest and dividend income on fixed income securities and money market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consists of income from the sublease of a portion of our corporate headquarters office.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Under Management</w:t>
      </w:r>
    </w:p>
    <w:p>
      <w:pPr>
        <w:spacing w:after="0" w:line="17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AUM decreased $3.5 billion to $11.9 billion at June 30, 2020 compared with $15.4 billion at June 30, 2019. The average of beginning and ending AUM for the second quarter of 2020 was $11.8 billion compared to $16.1 billion for the second quarter of 2019. These decreases are due to net outflows primarily in our Income Opportunity, Emerging Markets, and LargeCap Value strategies and market depreciation in the first quarter of 2020, partially offset by net inflows to our SmallCap Value strategies.</w:t>
      </w:r>
    </w:p>
    <w:p>
      <w:pPr>
        <w:sectPr>
          <w:pgSz w:w="11900" w:h="16838" w:orient="portrait"/>
          <w:cols w:equalWidth="0" w:num="1">
            <w:col w:w="11240"/>
          </w:cols>
          <w:pgMar w:left="320" w:top="1205" w:right="339" w:bottom="1440" w:gutter="0" w:footer="0" w:header="0"/>
        </w:sectPr>
      </w:pP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displays AUM as of June 30, 2020 and 2019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Institutional</w:t>
      </w:r>
      <w:r>
        <w:rPr>
          <w:rFonts w:ascii="Arial" w:cs="Arial" w:eastAsia="Arial" w:hAnsi="Arial"/>
          <w:sz w:val="23"/>
          <w:szCs w:val="23"/>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Wealth Management</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(3)</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AUM</w:t>
      </w:r>
      <w:r>
        <w:rPr>
          <w:rFonts w:ascii="Arial" w:cs="Arial" w:eastAsia="Arial" w:hAnsi="Arial"/>
          <w:sz w:val="19"/>
          <w:szCs w:val="19"/>
          <w:b w:val="1"/>
          <w:bCs w:val="1"/>
          <w:color w:val="auto"/>
          <w:vertAlign w:val="superscript"/>
        </w:rPr>
        <w:t>(4)</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 June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1"/>
                <w:szCs w:val="21"/>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6,183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8,377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(26)%</w:t>
            </w:r>
          </w:p>
        </w:tc>
      </w:tr>
      <w:tr>
        <w:trPr>
          <w:trHeight w:val="270"/>
        </w:trPr>
        <w:tc>
          <w:tcPr>
            <w:tcW w:w="280" w:type="dxa"/>
            <w:vAlign w:val="bottom"/>
          </w:tcPr>
          <w:p>
            <w:pPr>
              <w:spacing w:after="0"/>
              <w:rPr>
                <w:sz w:val="23"/>
                <w:szCs w:val="23"/>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4,399</w:t>
            </w:r>
          </w:p>
        </w:tc>
        <w:tc>
          <w:tcPr>
            <w:tcW w:w="1220" w:type="dxa"/>
            <w:vAlign w:val="bottom"/>
            <w:gridSpan w:val="2"/>
          </w:tcPr>
          <w:p>
            <w:pPr>
              <w:jc w:val="right"/>
              <w:ind w:right="108"/>
              <w:spacing w:after="0"/>
              <w:rPr>
                <w:sz w:val="20"/>
                <w:szCs w:val="20"/>
                <w:color w:val="auto"/>
              </w:rPr>
            </w:pPr>
            <w:r>
              <w:rPr>
                <w:rFonts w:ascii="Arial" w:cs="Arial" w:eastAsia="Arial" w:hAnsi="Arial"/>
                <w:sz w:val="17"/>
                <w:szCs w:val="17"/>
                <w:color w:val="auto"/>
              </w:rPr>
              <w:t>(9)</w:t>
            </w:r>
          </w:p>
        </w:tc>
      </w:tr>
      <w:tr>
        <w:trPr>
          <w:trHeight w:val="270"/>
        </w:trPr>
        <w:tc>
          <w:tcPr>
            <w:tcW w:w="280" w:type="dxa"/>
            <w:vAlign w:val="bottom"/>
          </w:tcPr>
          <w:p>
            <w:pPr>
              <w:spacing w:after="0"/>
              <w:rPr>
                <w:sz w:val="23"/>
                <w:szCs w:val="23"/>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2,612</w:t>
            </w:r>
          </w:p>
        </w:tc>
        <w:tc>
          <w:tcPr>
            <w:tcW w:w="1220" w:type="dxa"/>
            <w:vAlign w:val="bottom"/>
            <w:gridSpan w:val="2"/>
          </w:tcPr>
          <w:p>
            <w:pPr>
              <w:jc w:val="right"/>
              <w:ind w:right="108"/>
              <w:spacing w:after="0"/>
              <w:rPr>
                <w:sz w:val="20"/>
                <w:szCs w:val="20"/>
                <w:color w:val="auto"/>
              </w:rPr>
            </w:pPr>
            <w:r>
              <w:rPr>
                <w:rFonts w:ascii="Arial" w:cs="Arial" w:eastAsia="Arial" w:hAnsi="Arial"/>
                <w:sz w:val="17"/>
                <w:szCs w:val="17"/>
                <w:color w:val="auto"/>
              </w:rPr>
              <w:t>(33)</w:t>
            </w: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1"/>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11,908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15,388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(23)%</w:t>
            </w:r>
          </w:p>
        </w:tc>
      </w:tr>
      <w:tr>
        <w:trPr>
          <w:trHeight w:val="23"/>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60" w:space="720"/>
            <w:col w:w="3760"/>
          </w:cols>
          <w:pgMar w:left="320" w:top="1205" w:right="339" w:bottom="1440" w:gutter="0" w:footer="0" w:header="0"/>
          <w:type w:val="continuous"/>
        </w:sectPr>
      </w:pPr>
    </w:p>
    <w:p>
      <w:pPr>
        <w:spacing w:after="0" w:line="132" w:lineRule="exact"/>
        <w:rPr>
          <w:sz w:val="20"/>
          <w:szCs w:val="20"/>
          <w:color w:val="auto"/>
        </w:rPr>
      </w:pPr>
    </w:p>
    <w:p>
      <w:pPr>
        <w:jc w:val="both"/>
        <w:ind w:left="340" w:hanging="332"/>
        <w:spacing w:after="0" w:line="245"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2"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provided advisory services to high net worth individuals. Investment subadvisory services are provided for the common trust funds by Westwood Management, Westwood International Advisors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following an intergenerational transfer of wealth.</w:t>
      </w:r>
    </w:p>
    <w:p>
      <w:pPr>
        <w:spacing w:after="0" w:line="2"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Mutual Funds include the Westwood Funds®, a family of mutual funds for which Westwood Management serves as advisor. These funds are available to individual investors, as well as offered as part of our investment strategies for institutional and wealth management accounts.</w:t>
      </w:r>
    </w:p>
    <w:p>
      <w:pPr>
        <w:ind w:left="340" w:hanging="332"/>
        <w:spacing w:after="0" w:line="255"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AUM excludes $222 million and $261 million of assets under advisement (“AUA”) as of June 30, 2020 and 2019, respectively, related to our model portfolios for which we provided consulting advice but for which we did not have direct discretionary investment authority.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Roll-Forward of Assets Under Management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00" w:type="dxa"/>
            <w:vAlign w:val="bottom"/>
            <w:gridSpan w:val="4"/>
          </w:tcPr>
          <w:p>
            <w:pPr>
              <w:jc w:val="right"/>
              <w:ind w:right="355"/>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80" w:type="dxa"/>
            <w:vAlign w:val="bottom"/>
            <w:gridSpan w:val="5"/>
            <w:vMerge w:val="restart"/>
          </w:tcPr>
          <w:p>
            <w:pPr>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2"/>
              </w:rPr>
              <w:t>Institutional</w:t>
            </w:r>
          </w:p>
        </w:tc>
        <w:tc>
          <w:tcPr>
            <w:tcW w:w="4520" w:type="dxa"/>
            <w:vAlign w:val="bottom"/>
            <w:tcBorders>
              <w:bottom w:val="single" w:sz="8" w:color="CCEEFF"/>
            </w:tcBorders>
            <w:gridSpan w:val="3"/>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6,335</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9,235</w:t>
            </w:r>
          </w:p>
        </w:tc>
        <w:tc>
          <w:tcPr>
            <w:tcW w:w="18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8,739</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9,327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Inflows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123</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gridSpan w:val="5"/>
          </w:tcPr>
          <w:p>
            <w:pPr>
              <w:ind w:left="320"/>
              <w:spacing w:after="0"/>
              <w:rPr>
                <w:sz w:val="20"/>
                <w:szCs w:val="20"/>
                <w:color w:val="auto"/>
              </w:rPr>
            </w:pPr>
            <w:r>
              <w:rPr>
                <w:rFonts w:ascii="Arial" w:cs="Arial" w:eastAsia="Arial" w:hAnsi="Arial"/>
                <w:sz w:val="17"/>
                <w:szCs w:val="17"/>
                <w:color w:val="auto"/>
              </w:rPr>
              <w:t>Outflows</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(1,302)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(1,899)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(2,504)</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Net client flows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(1,179)</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(2,127)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gridSpan w:val="5"/>
          </w:tcPr>
          <w:p>
            <w:pPr>
              <w:ind w:left="320"/>
              <w:spacing w:after="0"/>
              <w:rPr>
                <w:sz w:val="20"/>
                <w:szCs w:val="20"/>
                <w:color w:val="auto"/>
              </w:rPr>
            </w:pPr>
            <w:r>
              <w:rPr>
                <w:rFonts w:ascii="Arial" w:cs="Arial" w:eastAsia="Arial" w:hAnsi="Arial"/>
                <w:sz w:val="17"/>
                <w:szCs w:val="17"/>
                <w:color w:val="auto"/>
              </w:rPr>
              <w:t>Market appreciation (depreciation)</w:t>
            </w:r>
          </w:p>
        </w:tc>
        <w:tc>
          <w:tcPr>
            <w:tcW w:w="220" w:type="dxa"/>
            <w:vAlign w:val="bottom"/>
          </w:tcPr>
          <w:p>
            <w:pPr>
              <w:spacing w:after="0"/>
              <w:rPr>
                <w:sz w:val="19"/>
                <w:szCs w:val="19"/>
                <w:color w:val="auto"/>
              </w:rPr>
            </w:pP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321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48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6,183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8,377</w:t>
            </w:r>
          </w:p>
        </w:tc>
        <w:tc>
          <w:tcPr>
            <w:tcW w:w="1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6,183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8,377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Wealth Management</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4,368</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4,438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4,043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gridSpan w:val="5"/>
          </w:tcPr>
          <w:p>
            <w:pPr>
              <w:ind w:left="320"/>
              <w:spacing w:after="0"/>
              <w:rPr>
                <w:sz w:val="20"/>
                <w:szCs w:val="20"/>
                <w:color w:val="auto"/>
              </w:rPr>
            </w:pPr>
            <w:r>
              <w:rPr>
                <w:rFonts w:ascii="Arial" w:cs="Arial" w:eastAsia="Arial" w:hAnsi="Arial"/>
                <w:sz w:val="17"/>
                <w:szCs w:val="17"/>
                <w:color w:val="auto"/>
              </w:rPr>
              <w:t>Inflows</w:t>
            </w:r>
          </w:p>
        </w:tc>
        <w:tc>
          <w:tcPr>
            <w:tcW w:w="220" w:type="dxa"/>
            <w:vAlign w:val="bottom"/>
          </w:tcPr>
          <w:p>
            <w:pPr>
              <w:spacing w:after="0"/>
              <w:rPr>
                <w:sz w:val="19"/>
                <w:szCs w:val="19"/>
                <w:color w:val="auto"/>
              </w:rPr>
            </w:pP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138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548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Outflows</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(222)</w:t>
            </w:r>
          </w:p>
        </w:tc>
        <w:tc>
          <w:tcPr>
            <w:tcW w:w="1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(348)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80" w:type="dxa"/>
            <w:vAlign w:val="bottom"/>
            <w:gridSpan w:val="5"/>
          </w:tcPr>
          <w:p>
            <w:pPr>
              <w:ind w:left="320"/>
              <w:spacing w:after="0"/>
              <w:rPr>
                <w:sz w:val="20"/>
                <w:szCs w:val="20"/>
                <w:color w:val="auto"/>
              </w:rPr>
            </w:pPr>
            <w:r>
              <w:rPr>
                <w:rFonts w:ascii="Arial" w:cs="Arial" w:eastAsia="Arial" w:hAnsi="Arial"/>
                <w:sz w:val="17"/>
                <w:szCs w:val="17"/>
                <w:color w:val="auto"/>
              </w:rPr>
              <w:t>Net client flows</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(84)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4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Market appreciation (depreciation)</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115</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gridSpan w:val="5"/>
          </w:tcPr>
          <w:p>
            <w:pPr>
              <w:spacing w:after="0"/>
              <w:rPr>
                <w:sz w:val="20"/>
                <w:szCs w:val="20"/>
                <w:color w:val="auto"/>
              </w:rPr>
            </w:pPr>
            <w:r>
              <w:rPr>
                <w:rFonts w:ascii="Arial" w:cs="Arial" w:eastAsia="Arial" w:hAnsi="Arial"/>
                <w:sz w:val="17"/>
                <w:szCs w:val="17"/>
                <w:color w:val="auto"/>
              </w:rPr>
              <w:t>Net change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31</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20" w:type="dxa"/>
            <w:vAlign w:val="bottom"/>
            <w:tcBorders>
              <w:bottom w:val="single" w:sz="8" w:color="CCEEFF"/>
            </w:tcBorders>
            <w:shd w:val="clear" w:color="auto" w:fill="CCEEFF"/>
          </w:tcPr>
          <w:p>
            <w:pPr>
              <w:spacing w:after="0"/>
              <w:rPr>
                <w:sz w:val="23"/>
                <w:szCs w:val="23"/>
                <w:color w:val="auto"/>
              </w:rPr>
            </w:pPr>
          </w:p>
        </w:tc>
        <w:tc>
          <w:tcPr>
            <w:tcW w:w="54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3,985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4,399</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3,985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4,399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Mutual Funds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3,168</w:t>
            </w:r>
          </w:p>
        </w:tc>
        <w:tc>
          <w:tcPr>
            <w:tcW w:w="18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2,058</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3,236</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Inflows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88</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gridSpan w:val="5"/>
          </w:tcPr>
          <w:p>
            <w:pPr>
              <w:ind w:left="320"/>
              <w:spacing w:after="0"/>
              <w:rPr>
                <w:sz w:val="20"/>
                <w:szCs w:val="20"/>
                <w:color w:val="auto"/>
              </w:rPr>
            </w:pPr>
            <w:r>
              <w:rPr>
                <w:rFonts w:ascii="Arial" w:cs="Arial" w:eastAsia="Arial" w:hAnsi="Arial"/>
                <w:sz w:val="17"/>
                <w:szCs w:val="17"/>
                <w:color w:val="auto"/>
              </w:rPr>
              <w:t>Outflows</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(750)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Net client flows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(662)</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gridSpan w:val="5"/>
          </w:tcPr>
          <w:p>
            <w:pPr>
              <w:ind w:left="320"/>
              <w:spacing w:after="0"/>
              <w:rPr>
                <w:sz w:val="20"/>
                <w:szCs w:val="20"/>
                <w:color w:val="auto"/>
              </w:rPr>
            </w:pPr>
            <w:r>
              <w:rPr>
                <w:rFonts w:ascii="Arial" w:cs="Arial" w:eastAsia="Arial" w:hAnsi="Arial"/>
                <w:sz w:val="17"/>
                <w:szCs w:val="17"/>
                <w:color w:val="auto"/>
              </w:rPr>
              <w:t>Market appreciation (depreciation)</w:t>
            </w:r>
          </w:p>
        </w:tc>
        <w:tc>
          <w:tcPr>
            <w:tcW w:w="220" w:type="dxa"/>
            <w:vAlign w:val="bottom"/>
          </w:tcPr>
          <w:p>
            <w:pPr>
              <w:spacing w:after="0"/>
              <w:rPr>
                <w:sz w:val="19"/>
                <w:szCs w:val="19"/>
                <w:color w:val="auto"/>
              </w:rPr>
            </w:pP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106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48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1,740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2,612</w:t>
            </w:r>
          </w:p>
        </w:tc>
        <w:tc>
          <w:tcPr>
            <w:tcW w:w="1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1,740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2,612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Total AUM</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11,600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16,771</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15,235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16,606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gridSpan w:val="5"/>
          </w:tcPr>
          <w:p>
            <w:pPr>
              <w:ind w:left="320"/>
              <w:spacing w:after="0"/>
              <w:rPr>
                <w:sz w:val="20"/>
                <w:szCs w:val="20"/>
                <w:color w:val="auto"/>
              </w:rPr>
            </w:pPr>
            <w:r>
              <w:rPr>
                <w:rFonts w:ascii="Arial" w:cs="Arial" w:eastAsia="Arial" w:hAnsi="Arial"/>
                <w:sz w:val="17"/>
                <w:szCs w:val="17"/>
                <w:color w:val="auto"/>
              </w:rPr>
              <w:t>Inflows</w:t>
            </w:r>
          </w:p>
        </w:tc>
        <w:tc>
          <w:tcPr>
            <w:tcW w:w="220" w:type="dxa"/>
            <w:vAlign w:val="bottom"/>
          </w:tcPr>
          <w:p>
            <w:pPr>
              <w:spacing w:after="0"/>
              <w:rPr>
                <w:sz w:val="19"/>
                <w:szCs w:val="19"/>
                <w:color w:val="auto"/>
              </w:rPr>
            </w:pP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349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869</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4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Outflows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(2,274)</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gridSpan w:val="5"/>
          </w:tcPr>
          <w:p>
            <w:pPr>
              <w:ind w:left="320"/>
              <w:spacing w:after="0"/>
              <w:rPr>
                <w:sz w:val="20"/>
                <w:szCs w:val="20"/>
                <w:color w:val="auto"/>
              </w:rPr>
            </w:pPr>
            <w:r>
              <w:rPr>
                <w:rFonts w:ascii="Arial" w:cs="Arial" w:eastAsia="Arial" w:hAnsi="Arial"/>
                <w:sz w:val="17"/>
                <w:szCs w:val="17"/>
                <w:color w:val="auto"/>
              </w:rPr>
              <w:t>Net client flows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(1,156)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(1,925)</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(1,764)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(3,250)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4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Market appreciation (depreciation)</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542</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2,032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gridSpan w:val="5"/>
          </w:tcPr>
          <w:p>
            <w:pPr>
              <w:spacing w:after="0"/>
              <w:rPr>
                <w:sz w:val="20"/>
                <w:szCs w:val="20"/>
                <w:color w:val="auto"/>
              </w:rPr>
            </w:pPr>
            <w:r>
              <w:rPr>
                <w:rFonts w:ascii="Arial" w:cs="Arial" w:eastAsia="Arial" w:hAnsi="Arial"/>
                <w:sz w:val="17"/>
                <w:szCs w:val="17"/>
                <w:color w:val="auto"/>
              </w:rPr>
              <w:t>Net change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(1,383)</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(3,327)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(1,218)</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20" w:type="dxa"/>
            <w:vAlign w:val="bottom"/>
            <w:tcBorders>
              <w:bottom w:val="single" w:sz="8" w:color="CCEEFF"/>
            </w:tcBorders>
            <w:shd w:val="clear" w:color="auto" w:fill="CCEEFF"/>
          </w:tcPr>
          <w:p>
            <w:pPr>
              <w:spacing w:after="0"/>
              <w:rPr>
                <w:sz w:val="23"/>
                <w:szCs w:val="23"/>
                <w:color w:val="auto"/>
              </w:rPr>
            </w:pPr>
          </w:p>
        </w:tc>
        <w:tc>
          <w:tcPr>
            <w:tcW w:w="54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11,908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15,388</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11,908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15,388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and 2019</w:t>
      </w:r>
    </w:p>
    <w:p>
      <w:pPr>
        <w:spacing w:after="0" w:line="117" w:lineRule="exact"/>
        <w:rPr>
          <w:sz w:val="20"/>
          <w:szCs w:val="20"/>
          <w:color w:val="auto"/>
        </w:rPr>
      </w:pPr>
    </w:p>
    <w:p>
      <w:pPr>
        <w:jc w:val="both"/>
        <w:ind w:right="120" w:firstLine="486"/>
        <w:spacing w:after="0" w:line="277" w:lineRule="auto"/>
        <w:rPr>
          <w:sz w:val="20"/>
          <w:szCs w:val="20"/>
          <w:color w:val="auto"/>
        </w:rPr>
      </w:pPr>
      <w:r>
        <w:rPr>
          <w:rFonts w:ascii="Arial" w:cs="Arial" w:eastAsia="Arial" w:hAnsi="Arial"/>
          <w:sz w:val="18"/>
          <w:szCs w:val="18"/>
          <w:color w:val="auto"/>
        </w:rPr>
        <w:t>The $0.3 billion increase in AUM for the three months ended June 30, 2020 was due to market appreciation of $1.5 billion offset by net outflows of $1.2 billion. Net outflows were primarily related to our Emerging Markets strategy.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ind w:right="560" w:firstLine="486"/>
        <w:spacing w:after="0" w:line="308" w:lineRule="auto"/>
        <w:rPr>
          <w:sz w:val="20"/>
          <w:szCs w:val="20"/>
          <w:color w:val="auto"/>
        </w:rPr>
      </w:pPr>
      <w:r>
        <w:rPr>
          <w:rFonts w:ascii="Arial" w:cs="Arial" w:eastAsia="Arial" w:hAnsi="Arial"/>
          <w:sz w:val="17"/>
          <w:szCs w:val="17"/>
          <w:color w:val="auto"/>
        </w:rPr>
        <w:t>The $1.4 billion decrease in AUM for the three months ended June 30, 2019 was due to net outflows of $1.9 billion partially offset by market appreciation of $0.5 billion. Net outflows were primarily related to our Income Opportunity, LargeCap Value and SMidCap strategies.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and 2019</w:t>
      </w:r>
    </w:p>
    <w:p>
      <w:pPr>
        <w:spacing w:after="0" w:line="117"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The $3.3 billion decrease in AUM for the six months ended June 30, 2020 was due to market depreciation of $1.6 billion and net outflows of $1.8 billion. Market depreciation was primarily related to our LargeCap Value and SmallCap Value strategies. Net outflows were primarily related to our LargeCap Value, Income Opportunity, and Emerging Markets Strategies, partially offset by net inflows to our SmallCap Value strategies.</w:t>
      </w:r>
    </w:p>
    <w:p>
      <w:pPr>
        <w:spacing w:after="0" w:line="11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$1.2 billion decrease in AUM for the six months ended June 30, 2019 was due to net outflows of $3.3 billion partially offset by market appreciation of $2.0 billion. Net outflows were primarily related to our Income Opportunity, Emerging Markets, LargeCap Value and SMidCap strategies, partially offset by net inflows to our SmallCap Value strategy.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(Loss) contained in our Condensed Consolidated Financial Statements and should be read in conjunction with those statements included elsewhere in this report.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4"/>
          </w:tcPr>
          <w:p>
            <w:pPr>
              <w:jc w:val="right"/>
              <w:ind w:right="319"/>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379"/>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8"/>
        </w:trPr>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2"/>
        </w:trPr>
        <w:tc>
          <w:tcPr>
            <w:tcW w:w="4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0"/>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79"/>
              <w:spacing w:after="0"/>
              <w:rPr>
                <w:sz w:val="20"/>
                <w:szCs w:val="20"/>
                <w:color w:val="auto"/>
              </w:rPr>
            </w:pPr>
            <w:r>
              <w:rPr>
                <w:rFonts w:ascii="Arial" w:cs="Arial" w:eastAsia="Arial" w:hAnsi="Arial"/>
                <w:sz w:val="15"/>
                <w:szCs w:val="15"/>
                <w:b w:val="1"/>
                <w:bCs w:val="1"/>
                <w:color w:val="auto"/>
              </w:rPr>
              <w:t>2019</w:t>
            </w:r>
          </w:p>
        </w:tc>
        <w:tc>
          <w:tcPr>
            <w:tcW w:w="80" w:type="dxa"/>
            <w:vAlign w:val="bottom"/>
          </w:tcPr>
          <w:p>
            <w:pPr>
              <w:spacing w:after="0"/>
              <w:rPr>
                <w:sz w:val="21"/>
                <w:szCs w:val="21"/>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1"/>
                <w:szCs w:val="21"/>
                <w:color w:val="auto"/>
              </w:rPr>
            </w:pPr>
          </w:p>
        </w:tc>
        <w:tc>
          <w:tcPr>
            <w:tcW w:w="780" w:type="dxa"/>
            <w:vAlign w:val="bottom"/>
          </w:tcPr>
          <w:p>
            <w:pPr>
              <w:jc w:val="right"/>
              <w:ind w:right="260"/>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259"/>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5"/>
                <w:szCs w:val="15"/>
                <w:b w:val="1"/>
                <w:bCs w:val="1"/>
                <w:color w:val="auto"/>
              </w:rPr>
              <w:t>Change</w:t>
            </w:r>
          </w:p>
        </w:tc>
      </w:tr>
      <w:tr>
        <w:trPr>
          <w:trHeight w:val="221"/>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4780" w:type="dxa"/>
            <w:vAlign w:val="bottom"/>
          </w:tcPr>
          <w:p>
            <w:pPr>
              <w:ind w:left="220"/>
              <w:spacing w:after="0"/>
              <w:rPr>
                <w:sz w:val="20"/>
                <w:szCs w:val="20"/>
                <w:color w:val="auto"/>
              </w:rPr>
            </w:pPr>
            <w:r>
              <w:rPr>
                <w:rFonts w:ascii="Arial" w:cs="Arial" w:eastAsia="Arial" w:hAnsi="Arial"/>
                <w:sz w:val="16"/>
                <w:szCs w:val="16"/>
                <w:color w:val="auto"/>
              </w:rPr>
              <w:t>Advisory fees: asset-based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9,328</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14,695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20,430</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31,101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 %</w:t>
            </w:r>
          </w:p>
        </w:tc>
      </w:tr>
      <w:tr>
        <w:trPr>
          <w:trHeight w:val="33"/>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Advisory fees: performance-based</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w:t>
            </w:r>
          </w:p>
        </w:tc>
        <w:tc>
          <w:tcPr>
            <w:tcW w:w="102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132</w:t>
            </w:r>
          </w:p>
        </w:tc>
      </w:tr>
      <w:tr>
        <w:trPr>
          <w:trHeight w:val="223"/>
        </w:trPr>
        <w:tc>
          <w:tcPr>
            <w:tcW w:w="4780" w:type="dxa"/>
            <w:vAlign w:val="bottom"/>
          </w:tcPr>
          <w:p>
            <w:pPr>
              <w:ind w:left="220"/>
              <w:spacing w:after="0"/>
              <w:rPr>
                <w:sz w:val="20"/>
                <w:szCs w:val="20"/>
                <w:color w:val="auto"/>
              </w:rPr>
            </w:pPr>
            <w:r>
              <w:rPr>
                <w:rFonts w:ascii="Arial" w:cs="Arial" w:eastAsia="Arial" w:hAnsi="Arial"/>
                <w:sz w:val="16"/>
                <w:szCs w:val="16"/>
                <w:color w:val="auto"/>
              </w:rPr>
              <w:t>Trust fees: asset-based</w:t>
            </w:r>
          </w:p>
        </w:tc>
        <w:tc>
          <w:tcPr>
            <w:tcW w:w="220" w:type="dxa"/>
            <w:vAlign w:val="bottom"/>
          </w:tcPr>
          <w:p>
            <w:pPr>
              <w:spacing w:after="0"/>
              <w:rPr>
                <w:sz w:val="19"/>
                <w:szCs w:val="19"/>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5,657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6,444</w:t>
            </w:r>
          </w:p>
        </w:tc>
        <w:tc>
          <w:tcPr>
            <w:tcW w:w="1020" w:type="dxa"/>
            <w:vAlign w:val="bottom"/>
            <w:gridSpan w:val="2"/>
          </w:tcPr>
          <w:p>
            <w:pPr>
              <w:jc w:val="right"/>
              <w:ind w:right="97"/>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11,608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12,983</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r>
      <w:tr>
        <w:trPr>
          <w:trHeight w:val="33"/>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Trust fees: performance-based</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24"/>
        </w:trPr>
        <w:tc>
          <w:tcPr>
            <w:tcW w:w="478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9"/>
                <w:szCs w:val="19"/>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450</w:t>
            </w:r>
          </w:p>
        </w:tc>
        <w:tc>
          <w:tcPr>
            <w:tcW w:w="1020" w:type="dxa"/>
            <w:vAlign w:val="bottom"/>
            <w:gridSpan w:val="2"/>
          </w:tcPr>
          <w:p>
            <w:pPr>
              <w:jc w:val="right"/>
              <w:ind w:right="97"/>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1,187</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(119)</w:t>
            </w:r>
          </w:p>
        </w:tc>
      </w:tr>
      <w:tr>
        <w:trPr>
          <w:trHeight w:val="33"/>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15,875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21,709</w:t>
            </w:r>
          </w:p>
        </w:tc>
        <w:tc>
          <w:tcPr>
            <w:tcW w:w="10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32,544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45,571</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r>
      <w:tr>
        <w:trPr>
          <w:trHeight w:val="223"/>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10,787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11,378</w:t>
            </w:r>
          </w:p>
        </w:tc>
        <w:tc>
          <w:tcPr>
            <w:tcW w:w="10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23,455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25,988</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r>
      <w:tr>
        <w:trPr>
          <w:trHeight w:val="223"/>
        </w:trPr>
        <w:tc>
          <w:tcPr>
            <w:tcW w:w="478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19"/>
                <w:szCs w:val="19"/>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514</w:t>
            </w:r>
          </w:p>
        </w:tc>
        <w:tc>
          <w:tcPr>
            <w:tcW w:w="1020" w:type="dxa"/>
            <w:vAlign w:val="bottom"/>
            <w:gridSpan w:val="2"/>
          </w:tcPr>
          <w:p>
            <w:pPr>
              <w:jc w:val="right"/>
              <w:ind w:right="97"/>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1,044</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r>
      <w:tr>
        <w:trPr>
          <w:trHeight w:val="33"/>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Westwood mutual funds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661</w:t>
            </w:r>
          </w:p>
        </w:tc>
        <w:tc>
          <w:tcPr>
            <w:tcW w:w="10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1,507</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w:t>
            </w:r>
          </w:p>
        </w:tc>
      </w:tr>
      <w:tr>
        <w:trPr>
          <w:trHeight w:val="223"/>
        </w:trPr>
        <w:tc>
          <w:tcPr>
            <w:tcW w:w="4780" w:type="dxa"/>
            <w:vAlign w:val="bottom"/>
          </w:tcPr>
          <w:p>
            <w:pPr>
              <w:ind w:left="220"/>
              <w:spacing w:after="0"/>
              <w:rPr>
                <w:sz w:val="20"/>
                <w:szCs w:val="20"/>
                <w:color w:val="auto"/>
              </w:rPr>
            </w:pPr>
            <w:r>
              <w:rPr>
                <w:rFonts w:ascii="Arial" w:cs="Arial" w:eastAsia="Arial" w:hAnsi="Arial"/>
                <w:sz w:val="16"/>
                <w:szCs w:val="16"/>
                <w:color w:val="auto"/>
              </w:rPr>
              <w:t>Information technology</w:t>
            </w:r>
          </w:p>
        </w:tc>
        <w:tc>
          <w:tcPr>
            <w:tcW w:w="220" w:type="dxa"/>
            <w:vAlign w:val="bottom"/>
          </w:tcPr>
          <w:p>
            <w:pPr>
              <w:spacing w:after="0"/>
              <w:rPr>
                <w:sz w:val="19"/>
                <w:szCs w:val="19"/>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2,282</w:t>
            </w:r>
          </w:p>
        </w:tc>
        <w:tc>
          <w:tcPr>
            <w:tcW w:w="1020" w:type="dxa"/>
            <w:vAlign w:val="bottom"/>
            <w:gridSpan w:val="2"/>
          </w:tcPr>
          <w:p>
            <w:pPr>
              <w:jc w:val="right"/>
              <w:ind w:right="97"/>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4,259</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r>
      <w:tr>
        <w:trPr>
          <w:trHeight w:val="33"/>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Professional services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1,169</w:t>
            </w:r>
          </w:p>
        </w:tc>
        <w:tc>
          <w:tcPr>
            <w:tcW w:w="10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2,318</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r>
      <w:tr>
        <w:trPr>
          <w:trHeight w:val="223"/>
        </w:trPr>
        <w:tc>
          <w:tcPr>
            <w:tcW w:w="478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9"/>
                <w:szCs w:val="19"/>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2,191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2,402</w:t>
            </w:r>
          </w:p>
        </w:tc>
        <w:tc>
          <w:tcPr>
            <w:tcW w:w="1020" w:type="dxa"/>
            <w:vAlign w:val="bottom"/>
            <w:gridSpan w:val="2"/>
          </w:tcPr>
          <w:p>
            <w:pPr>
              <w:jc w:val="right"/>
              <w:ind w:right="97"/>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4,497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4,836</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r>
      <w:tr>
        <w:trPr>
          <w:trHeight w:val="33"/>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6"/>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(Gain) loss on foreign currency transactions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1,544</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(205)</w:t>
            </w:r>
          </w:p>
        </w:tc>
      </w:tr>
      <w:tr>
        <w:trPr>
          <w:trHeight w:val="217"/>
        </w:trPr>
        <w:tc>
          <w:tcPr>
            <w:tcW w:w="4780" w:type="dxa"/>
            <w:vAlign w:val="bottom"/>
          </w:tcPr>
          <w:p>
            <w:pPr>
              <w:ind w:left="460"/>
              <w:spacing w:after="0"/>
              <w:rPr>
                <w:sz w:val="20"/>
                <w:szCs w:val="20"/>
                <w:color w:val="auto"/>
              </w:rPr>
            </w:pPr>
            <w:r>
              <w:rPr>
                <w:rFonts w:ascii="Arial" w:cs="Arial" w:eastAsia="Arial" w:hAnsi="Arial"/>
                <w:sz w:val="16"/>
                <w:szCs w:val="16"/>
                <w:color w:val="auto"/>
              </w:rPr>
              <w:t>Total expenses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18,009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19,130</w:t>
            </w:r>
          </w:p>
        </w:tc>
        <w:tc>
          <w:tcPr>
            <w:tcW w:w="1020" w:type="dxa"/>
            <w:vAlign w:val="bottom"/>
            <w:gridSpan w:val="2"/>
          </w:tcPr>
          <w:p>
            <w:pPr>
              <w:jc w:val="right"/>
              <w:ind w:right="97"/>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34,262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41,496</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r>
      <w:tr>
        <w:trPr>
          <w:trHeight w:val="33"/>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2,579</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4,075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17"/>
        </w:trPr>
        <w:tc>
          <w:tcPr>
            <w:tcW w:w="4780" w:type="dxa"/>
            <w:vAlign w:val="bottom"/>
          </w:tcPr>
          <w:p>
            <w:pPr>
              <w:ind w:left="220"/>
              <w:spacing w:after="0"/>
              <w:rPr>
                <w:sz w:val="20"/>
                <w:szCs w:val="20"/>
                <w:color w:val="auto"/>
              </w:rPr>
            </w:pPr>
            <w:r>
              <w:rPr>
                <w:rFonts w:ascii="Arial" w:cs="Arial" w:eastAsia="Arial" w:hAnsi="Arial"/>
                <w:sz w:val="16"/>
                <w:szCs w:val="16"/>
                <w:color w:val="auto"/>
              </w:rPr>
              <w:t>Unrealized gains (losses) on private investments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33"/>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Investment income</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23"/>
        </w:trPr>
        <w:tc>
          <w:tcPr>
            <w:tcW w:w="478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9"/>
                <w:szCs w:val="19"/>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77</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r>
      <w:tr>
        <w:trPr>
          <w:trHeight w:val="33"/>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17"/>
        </w:trPr>
        <w:tc>
          <w:tcPr>
            <w:tcW w:w="478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795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1,899</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(118)</w:t>
            </w:r>
          </w:p>
        </w:tc>
      </w:tr>
      <w:tr>
        <w:trPr>
          <w:trHeight w:val="33"/>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7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1,861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(238)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2,253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NM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17"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decreased $5.8 million, or 27%, to $15.9 million for the three months ended June 30, 2020 compared with $21.7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2019. Asset-based advisory fees decreased $5.4 million, or 37%, and Trust fees decreased $0.7 million, or 12%, both primarily due to lower average AUM.</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24" w:name="page25"/>
    <w:bookmarkEnd w:id="24"/>
    <w:p>
      <w:pPr>
        <w:ind w:right="20" w:firstLine="486"/>
        <w:spacing w:after="0" w:line="311" w:lineRule="auto"/>
        <w:rPr>
          <w:sz w:val="20"/>
          <w:szCs w:val="20"/>
          <w:color w:val="auto"/>
        </w:rPr>
      </w:pPr>
      <w:r>
        <w:rPr>
          <w:rFonts w:ascii="Arial" w:cs="Arial" w:eastAsia="Arial" w:hAnsi="Arial"/>
          <w:sz w:val="16"/>
          <w:szCs w:val="16"/>
          <w:i w:val="1"/>
          <w:iCs w:val="1"/>
          <w:color w:val="auto"/>
        </w:rPr>
        <w:t xml:space="preserve">Employee Compensation and Benefits. </w:t>
      </w:r>
      <w:r>
        <w:rPr>
          <w:rFonts w:ascii="Arial" w:cs="Arial" w:eastAsia="Arial" w:hAnsi="Arial"/>
          <w:sz w:val="16"/>
          <w:szCs w:val="16"/>
          <w:color w:val="auto"/>
        </w:rPr>
        <w:t>Employee compensation and benefits decreased $0.6 million, or 5%, to $10.8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2020 compared with $11.4 million for the three months ended June 30, 2019. The decrease was primarily due to reductions in compensation relating to short- and long-term incentive compensation as a result of lower asset-based revenues as compared to the prior year and lower headcount.</w:t>
      </w:r>
    </w:p>
    <w:p>
      <w:pPr>
        <w:spacing w:after="0" w:line="95"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decreased $0.2 million, or 51%, to $0.3 for the three months ended June 30, 2020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$0.5 million for the three months ended June 30, 2019. The decrease was primarily due to lower travel costs as a result of COVID-19.</w:t>
      </w:r>
    </w:p>
    <w:p>
      <w:pPr>
        <w:spacing w:after="0" w:line="92"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i w:val="1"/>
          <w:iCs w:val="1"/>
          <w:color w:val="auto"/>
        </w:rPr>
        <w:t xml:space="preserve">Westwood Mutual Funds. </w:t>
      </w:r>
      <w:r>
        <w:rPr>
          <w:rFonts w:ascii="Arial" w:cs="Arial" w:eastAsia="Arial" w:hAnsi="Arial"/>
          <w:sz w:val="18"/>
          <w:szCs w:val="18"/>
          <w:color w:val="auto"/>
        </w:rPr>
        <w:t>Westwood mutual funds expenses decreased $0.3 million, or 34%, to $0.4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with $0.7 million for the three months ended June 30, 2019. The decrease was primarily due to lower service fees following declines in market values for the Westwood funds.</w:t>
      </w:r>
    </w:p>
    <w:p>
      <w:pPr>
        <w:spacing w:after="0" w:line="13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decreased $0.2 million, or 9%, to $2.2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with $2.4 million for the three months ended June 30, 2019. The decrease was primarily due to lower employee-related travel expenses as a result of COVID-19.</w:t>
      </w:r>
    </w:p>
    <w:p>
      <w:pPr>
        <w:spacing w:after="0" w:line="13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$1.3 million in foreign currency losses in the current quarter as a result of fluctuations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Canadian dollar exchange rate.</w:t>
      </w:r>
    </w:p>
    <w:p>
      <w:pPr>
        <w:spacing w:after="0" w:line="116"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i w:val="1"/>
          <w:iCs w:val="1"/>
          <w:color w:val="auto"/>
        </w:rPr>
        <w:t>Income Tax Expense (Benefit)</w:t>
      </w:r>
      <w:r>
        <w:rPr>
          <w:rFonts w:ascii="Arial" w:cs="Arial" w:eastAsia="Arial" w:hAnsi="Arial"/>
          <w:sz w:val="17"/>
          <w:szCs w:val="17"/>
          <w:color w:val="auto"/>
        </w:rPr>
        <w:t>. Our income tax rate differed from the 21% statutory rate for the second quarter of 2020 primarily due to the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deferred tax assets that offset the discrete benefit adjustment related to the remeasurement of certain deferred taxes following the enactment of the Coronavirus Aid, Relief, and Economic Security Act ("CARES Act") recorded in the first quarter of 2020. The effective tax rate was 29.9% for the three months ended June 30, 2019. The 2019 quarterly tax rate was negatively impacted by increased permanent differences between book and tax compensation expense as a result of additional compensation limitations under the Tax Cuts and Jobs Act.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7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decreased $13.1 million, or 29%, to $32.5 million for the six months ended June 30, 2020 compared with $45.6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2019. Asset-based advisory fees decreased $10.7 million, or 34%, and Trust fees decreased $1.4 million, or 11%, both primarily due to lower average AUM.</w:t>
      </w:r>
    </w:p>
    <w:p>
      <w:pPr>
        <w:spacing w:after="0" w:line="130"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i w:val="1"/>
          <w:iCs w:val="1"/>
          <w:color w:val="auto"/>
        </w:rPr>
        <w:t>Employee Compensation and Benefits</w:t>
      </w:r>
      <w:r>
        <w:rPr>
          <w:rFonts w:ascii="Arial" w:cs="Arial" w:eastAsia="Arial" w:hAnsi="Arial"/>
          <w:sz w:val="18"/>
          <w:szCs w:val="18"/>
          <w:color w:val="auto"/>
        </w:rPr>
        <w:t>. Employee compensation and benefits costs decreased $2.5 million, or 10%, to $23.5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compared with $26.0 million for the six months ended June 30, 2019. The decrease was primarily due to reductions in compensation relating to short- and long-term incentive compensation as a result of lower asset-based revenues as compared to the prior year and lower headcount.</w:t>
      </w:r>
    </w:p>
    <w:p>
      <w:pPr>
        <w:spacing w:after="0" w:line="133" w:lineRule="exact"/>
        <w:rPr>
          <w:sz w:val="20"/>
          <w:szCs w:val="20"/>
          <w:color w:val="auto"/>
        </w:rPr>
      </w:pPr>
    </w:p>
    <w:p>
      <w:pPr>
        <w:jc w:val="both"/>
        <w:ind w:right="580" w:firstLine="486"/>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$0.3 million, or 30.0%, to $0.7 million for the six months ended June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$1.0 million for the six months ended June 30, 2019. The decrease was primarily due to lower travel costs as a result of COVID-19.</w:t>
      </w:r>
    </w:p>
    <w:p>
      <w:pPr>
        <w:spacing w:after="0" w:line="70"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i w:val="1"/>
          <w:iCs w:val="1"/>
          <w:color w:val="auto"/>
        </w:rPr>
        <w:t>Westwood Mutual Funds</w:t>
      </w:r>
      <w:r>
        <w:rPr>
          <w:rFonts w:ascii="Arial" w:cs="Arial" w:eastAsia="Arial" w:hAnsi="Arial"/>
          <w:sz w:val="18"/>
          <w:szCs w:val="18"/>
          <w:color w:val="auto"/>
        </w:rPr>
        <w:t>. Westwood mutual funds expenses decreased $0.6 million or 37% to $0.9 million for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$1.5 million for the six months ended June 30, 2019. The decrease was primarily due to lower service fees following declines in market values for the Westwood funds.</w:t>
      </w:r>
    </w:p>
    <w:p>
      <w:pPr>
        <w:spacing w:after="0" w:line="130"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decreased $0.3 million, or 7.0%, to $4.5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with $4.8 million for the six months ended June 30, 2019. The decrease was primarily due to lower employee-related travel expenses as a result of COVID-19.</w:t>
      </w:r>
    </w:p>
    <w:p>
      <w:pPr>
        <w:spacing w:after="0" w:line="13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$1.6 million in foreign currency gains for the six months ended June 30, 2020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fluctuations in the Canadian dollar exchange rate.</w:t>
      </w:r>
    </w:p>
    <w:p>
      <w:pPr>
        <w:spacing w:after="0" w:line="11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i w:val="1"/>
          <w:iCs w:val="1"/>
          <w:color w:val="auto"/>
        </w:rPr>
        <w:t>Unrealized gains (losses) on private investments</w:t>
      </w:r>
      <w:r>
        <w:rPr>
          <w:rFonts w:ascii="Arial" w:cs="Arial" w:eastAsia="Arial" w:hAnsi="Arial"/>
          <w:sz w:val="18"/>
          <w:szCs w:val="18"/>
          <w:color w:val="auto"/>
        </w:rPr>
        <w:t>. We recorded a net unrealized loss of $0.8 million, primarily related to our investment in Charis,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bank, as a result of the global macroeconomic effects of COVID-19.</w:t>
      </w:r>
    </w:p>
    <w:p>
      <w:pPr>
        <w:spacing w:after="0" w:line="170"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effective tax rate decreased to 19.0% for the six months ended June 30, 2020 from 45.7%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The current year rate is primarily due to a discrete benefit adjustment related to the remeasurement of certain deferred taxes following the enactment of the CARES Act recorded in the first quarter, offset</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25" w:name="page26"/>
    <w:bookmarkEnd w:id="25"/>
    <w:p>
      <w:pPr>
        <w:ind w:right="120"/>
        <w:spacing w:after="0" w:line="263" w:lineRule="auto"/>
        <w:rPr>
          <w:sz w:val="20"/>
          <w:szCs w:val="20"/>
          <w:color w:val="auto"/>
        </w:rPr>
      </w:pPr>
      <w:r>
        <w:rPr>
          <w:rFonts w:ascii="Arial" w:cs="Arial" w:eastAsia="Arial" w:hAnsi="Arial"/>
          <w:sz w:val="18"/>
          <w:szCs w:val="18"/>
          <w:color w:val="auto"/>
        </w:rPr>
        <w:t>by the remeasurement of current deferred taxes on a nondiscrete basis. The 2019 rate was negatively impacted by a $0.6 million discrete tax expense related to a permanent difference between book and tax restricted stock expense based on a decrease in our stock price between grant and vesting dates, as well as limitations on the ability to deduct additional compensation under the Tax Cuts and Jobs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Financial Information</w:t>
      </w:r>
    </w:p>
    <w:p>
      <w:pPr>
        <w:spacing w:after="0" w:line="12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As supplemental information, we are providing non-GAAP performance measures that we refer to as Economic Earnings and Economic EPS. We provide these measures in addition to, not as a substitute for, net income (loss)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5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8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tables provide a reconciliation of Net income (loss) to Economic Earnings and Economic Earnings by segment (in thousands, except share and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5"/>
          </w:tcPr>
          <w:p>
            <w:pPr>
              <w:jc w:val="right"/>
              <w:ind w:right="31"/>
              <w:spacing w:after="0"/>
              <w:rPr>
                <w:sz w:val="20"/>
                <w:szCs w:val="20"/>
                <w:color w:val="auto"/>
              </w:rPr>
            </w:pPr>
            <w:r>
              <w:rPr>
                <w:rFonts w:ascii="Arial" w:cs="Arial" w:eastAsia="Arial" w:hAnsi="Arial"/>
                <w:sz w:val="16"/>
                <w:szCs w:val="16"/>
                <w:b w:val="1"/>
                <w:bCs w:val="1"/>
                <w:color w:val="auto"/>
                <w:w w:val="91"/>
              </w:rPr>
              <w:t>Three Months Ended June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jc w:val="right"/>
              <w:ind w:right="11"/>
              <w:spacing w:after="0"/>
              <w:rPr>
                <w:sz w:val="20"/>
                <w:szCs w:val="20"/>
                <w:color w:val="auto"/>
              </w:rPr>
            </w:pPr>
            <w:r>
              <w:rPr>
                <w:rFonts w:ascii="Arial" w:cs="Arial" w:eastAsia="Arial" w:hAnsi="Arial"/>
                <w:sz w:val="16"/>
                <w:szCs w:val="16"/>
                <w:b w:val="1"/>
                <w:bCs w:val="1"/>
                <w:color w:val="auto"/>
                <w:w w:val="95"/>
              </w:rPr>
              <w:t>Six Months Ended June 30,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b w:val="1"/>
                <w:bCs w:val="1"/>
                <w:color w:val="auto"/>
                <w:w w:val="98"/>
              </w:rPr>
              <w:t>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7"/>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060" w:type="dxa"/>
            <w:vAlign w:val="bottom"/>
          </w:tcPr>
          <w:p>
            <w:pPr>
              <w:jc w:val="right"/>
              <w:ind w:right="175"/>
              <w:spacing w:after="0"/>
              <w:rPr>
                <w:sz w:val="20"/>
                <w:szCs w:val="20"/>
                <w:color w:val="auto"/>
              </w:rPr>
            </w:pPr>
            <w:r>
              <w:rPr>
                <w:rFonts w:ascii="Arial" w:cs="Arial" w:eastAsia="Arial" w:hAnsi="Arial"/>
                <w:sz w:val="16"/>
                <w:szCs w:val="16"/>
                <w:b w:val="1"/>
                <w:bCs w:val="1"/>
                <w:color w:val="auto"/>
              </w:rPr>
              <w:t>Change</w:t>
            </w:r>
          </w:p>
        </w:tc>
      </w:tr>
      <w:tr>
        <w:trPr>
          <w:trHeight w:val="33"/>
        </w:trPr>
        <w:tc>
          <w:tcPr>
            <w:tcW w:w="4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1,861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2,430</w:t>
            </w:r>
          </w:p>
        </w:tc>
        <w:tc>
          <w:tcPr>
            <w:tcW w:w="1160" w:type="dxa"/>
            <w:vAlign w:val="bottom"/>
            <w:gridSpan w:val="2"/>
          </w:tcPr>
          <w:p>
            <w:pPr>
              <w:jc w:val="right"/>
              <w:ind w:right="9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5,682</w:t>
            </w:r>
          </w:p>
        </w:tc>
        <w:tc>
          <w:tcPr>
            <w:tcW w:w="1140" w:type="dxa"/>
            <w:vAlign w:val="bottom"/>
            <w:gridSpan w:val="2"/>
          </w:tcPr>
          <w:p>
            <w:pPr>
              <w:jc w:val="right"/>
              <w:ind w:right="95"/>
              <w:spacing w:after="0"/>
              <w:rPr>
                <w:sz w:val="20"/>
                <w:szCs w:val="20"/>
                <w:color w:val="auto"/>
              </w:rPr>
            </w:pPr>
            <w:r>
              <w:rPr>
                <w:rFonts w:ascii="Arial" w:cs="Arial" w:eastAsia="Arial" w:hAnsi="Arial"/>
                <w:sz w:val="18"/>
                <w:szCs w:val="18"/>
                <w:color w:val="auto"/>
              </w:rPr>
              <w:t>(13)</w:t>
            </w: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423</w:t>
            </w:r>
          </w:p>
        </w:tc>
        <w:tc>
          <w:tcPr>
            <w:tcW w:w="1160" w:type="dxa"/>
            <w:vAlign w:val="bottom"/>
            <w:tcBorders>
              <w:bottom w:val="single" w:sz="8" w:color="CCEEFF"/>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836</w:t>
            </w:r>
          </w:p>
        </w:tc>
        <w:tc>
          <w:tcPr>
            <w:tcW w:w="1140" w:type="dxa"/>
            <w:vAlign w:val="bottom"/>
            <w:tcBorders>
              <w:bottom w:val="single" w:sz="8" w:color="CCEEFF"/>
            </w:tcBorders>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3</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1"/>
                <w:szCs w:val="21"/>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8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4,773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8,889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63"/>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7,879,698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8,476,777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7"/>
              </w:rPr>
              <w:t>8,147,045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7"/>
              </w:rPr>
              <w:t>8,467,589</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Economic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Economic Earnings by Segment: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Advisory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5,211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10,091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1,564</w:t>
            </w:r>
          </w:p>
        </w:tc>
        <w:tc>
          <w:tcPr>
            <w:tcW w:w="1160" w:type="dxa"/>
            <w:vAlign w:val="bottom"/>
            <w:gridSpan w:val="2"/>
          </w:tcPr>
          <w:p>
            <w:pPr>
              <w:jc w:val="right"/>
              <w:ind w:right="9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2,817</w:t>
            </w:r>
          </w:p>
        </w:tc>
        <w:tc>
          <w:tcPr>
            <w:tcW w:w="1140" w:type="dxa"/>
            <w:vAlign w:val="bottom"/>
            <w:gridSpan w:val="2"/>
          </w:tcPr>
          <w:p>
            <w:pPr>
              <w:jc w:val="right"/>
              <w:ind w:right="95"/>
              <w:spacing w:after="0"/>
              <w:rPr>
                <w:sz w:val="20"/>
                <w:szCs w:val="20"/>
                <w:color w:val="auto"/>
              </w:rPr>
            </w:pPr>
            <w:r>
              <w:rPr>
                <w:rFonts w:ascii="Arial" w:cs="Arial" w:eastAsia="Arial" w:hAnsi="Arial"/>
                <w:sz w:val="18"/>
                <w:szCs w:val="18"/>
                <w:color w:val="auto"/>
              </w:rPr>
              <w:t>(17)</w:t>
            </w: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Westwood Holdings</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w:t>
            </w:r>
          </w:p>
        </w:tc>
        <w:tc>
          <w:tcPr>
            <w:tcW w:w="1160" w:type="dxa"/>
            <w:vAlign w:val="bottom"/>
            <w:tcBorders>
              <w:bottom w:val="single" w:sz="8" w:color="CCEEFF"/>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(4,019)</w:t>
            </w:r>
          </w:p>
        </w:tc>
        <w:tc>
          <w:tcPr>
            <w:tcW w:w="114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(20)</w:t>
            </w:r>
          </w:p>
        </w:tc>
      </w:tr>
      <w:tr>
        <w:trPr>
          <w:trHeight w:val="26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Consolidated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4,773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8,889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fund our operations and cash requirements with cash generated from operating activities. We may also use cash from operations to pay dividends to our stockholders. We suspended our second quarter 2020 dividend in order to preserve capital and provide additional financial flexibility amid the uncertainties created by COVID-19. As of June 30, 2020 and December 31, 2019, we had no debt.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6" w:name="page27"/>
    <w:bookmarkEnd w:id="26"/>
    <w:p>
      <w:pPr>
        <w:ind w:right="60" w:firstLine="486"/>
        <w:spacing w:after="0" w:line="279" w:lineRule="auto"/>
        <w:rPr>
          <w:sz w:val="20"/>
          <w:szCs w:val="20"/>
          <w:color w:val="auto"/>
        </w:rPr>
      </w:pPr>
      <w:r>
        <w:rPr>
          <w:rFonts w:ascii="Arial" w:cs="Arial" w:eastAsia="Arial" w:hAnsi="Arial"/>
          <w:sz w:val="17"/>
          <w:szCs w:val="17"/>
          <w:color w:val="auto"/>
        </w:rPr>
        <w:t>During the six months ended June 30, 2020, cash flow provided by operating activities was $21.8 million, which included liquidation of $20.0 million of current investments and accounts receivable collections of $2.4 million, partially offset by a $5.8 million reduction in compensation and benefits payable. During the six months ended June 30, 2019, cash flow provided by operating activities was $21.1 million, which included an $18.8 million liquidation of investments partially offset by a $10.4 million decrease in compensation and benefits payables.</w:t>
      </w:r>
    </w:p>
    <w:p>
      <w:pPr>
        <w:spacing w:after="0" w:line="6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Cash flow used in investing activities during the six months ended June 30, 2020 was related to purchases of property and equipment, while the prior year quarter was related to purchases of property and equipment and our investment in a private investment fund.</w:t>
      </w:r>
    </w:p>
    <w:p>
      <w:pPr>
        <w:spacing w:after="0" w:line="62" w:lineRule="exact"/>
        <w:rPr>
          <w:sz w:val="20"/>
          <w:szCs w:val="20"/>
          <w:color w:val="auto"/>
        </w:rPr>
      </w:pPr>
    </w:p>
    <w:p>
      <w:pPr>
        <w:jc w:val="both"/>
        <w:ind w:right="100" w:firstLine="486"/>
        <w:spacing w:after="0" w:line="311" w:lineRule="auto"/>
        <w:rPr>
          <w:sz w:val="20"/>
          <w:szCs w:val="20"/>
          <w:color w:val="auto"/>
        </w:rPr>
      </w:pPr>
      <w:r>
        <w:rPr>
          <w:rFonts w:ascii="Arial" w:cs="Arial" w:eastAsia="Arial" w:hAnsi="Arial"/>
          <w:sz w:val="16"/>
          <w:szCs w:val="16"/>
          <w:color w:val="auto"/>
        </w:rPr>
        <w:t>Cash flows used in financing activities of $25.8 million for the six months ended June 30, 2020 reflected treasury stock repurchases, the payment of dividends and restricted stock returned for the payment of taxes. Cash flow used in financing activities of $18.0 million for the six months ended June 30, 2019 reflected the payment of dividends, purchases of restricted stock returned for payment of taxes and purchases of treasury shares.</w:t>
      </w:r>
    </w:p>
    <w:p>
      <w:pPr>
        <w:spacing w:after="0" w:line="4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had cash and short-term investments of $74.2 million as of June 30, 2020 and $100.1 million as of December 31, 2019. Cash and cash equivalents included approximately $31 million of undistributed income from Westwood International Advisors as of both June 30, 2020 and December 31, 2019, respectively. If these funds were needed for our U.S. operations, we would be required to accrue and subsequently pay a 5% incremental Canadian withholding tax to repatriate all or a portion of these funds. Our current forecasts do not demonstrate a need to repatriate them to fund our U.S. operations. At June 30, 2020 and December 31, 2019, working capital aggregated $78.7 million and $95.6 million, respectively.</w:t>
      </w:r>
    </w:p>
    <w:p>
      <w:pPr>
        <w:spacing w:after="0" w:line="68"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June 30, 2020, Westwood Trust had approximately $9.0 million in excess of its minimum capital requirement.</w:t>
      </w:r>
    </w:p>
    <w:p>
      <w:pPr>
        <w:spacing w:after="0" w:line="7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2019,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June 30, 2020, there have been no material changes outside of the ordinary course of business to our contractual obligations since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For information regarding our contractual obligations, refer to “Contractual Obligations” in Part II, Item 7. “Management's Discussion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Analysis of Financial Condition and Results of Operations” in our Annual Report on Form 10-K for the fiscal year ended December 31,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There have been no significant changes in our critical or significant accounting policies and estimates since December 31, 2019.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7" w:name="page28"/>
    <w:bookmarkEnd w:id="27"/>
    <w:p>
      <w:pPr>
        <w:ind w:right="280" w:firstLine="486"/>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During the quarter ended June 30, 2020,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workforce working remotely did not hinder the execution of our internal control processes and procedures.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05"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2019 and the risks set forth below.</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believes that there has been no material change in its risk factors as previously disclosed in the Form 10-K other than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Investment Industry</w:t>
      </w:r>
    </w:p>
    <w:p>
      <w:pPr>
        <w:spacing w:after="0" w:line="117"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b w:val="1"/>
          <w:bCs w:val="1"/>
          <w:color w:val="auto"/>
        </w:rPr>
        <w:t>The recent COVID-19 pandemic, and other potential outbreaks, could negatively impact our businesses, financial condition and results of operations.</w:t>
      </w:r>
    </w:p>
    <w:p>
      <w:pPr>
        <w:spacing w:after="0" w:line="58"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may face risks related to the outbreak of COVID-19, which has been declared a pandemic by the World Health Organization. The full impact of COVID-19 is unknown and rapidly evolving. The outbreak and any preventative or protective actions that governments, we or our clients may take in respect of this virus may result in a period of disruption, including with respect to our financial reporting capabilities and our operations generally, and could potentially impact our clients and third party vendors. Any resulting financial impact cannot be reasonably estimated at this time, but the COVID-19 pandemic could have a material adverse effect on the Company’s business, prospects, results of operations, reputation, financial condition, cash flows or ability to continue current operations without any direct or indirect impairment or disruption.</w:t>
      </w:r>
    </w:p>
    <w:p>
      <w:pPr>
        <w:spacing w:after="0" w:line="70" w:lineRule="exact"/>
        <w:rPr>
          <w:sz w:val="20"/>
          <w:szCs w:val="20"/>
          <w:color w:val="auto"/>
        </w:rPr>
      </w:pPr>
    </w:p>
    <w:p>
      <w:pPr>
        <w:ind w:right="400" w:firstLine="486"/>
        <w:spacing w:after="0" w:line="263" w:lineRule="auto"/>
        <w:rPr>
          <w:sz w:val="20"/>
          <w:szCs w:val="20"/>
          <w:color w:val="auto"/>
        </w:rPr>
      </w:pPr>
      <w:r>
        <w:rPr>
          <w:rFonts w:ascii="Arial" w:cs="Arial" w:eastAsia="Arial" w:hAnsi="Arial"/>
          <w:sz w:val="18"/>
          <w:szCs w:val="18"/>
          <w:color w:val="auto"/>
        </w:rPr>
        <w:t>The extent to which COVID-19 impacts our results will depend on future developments, which are highly uncertain and cannot be predicted, including new information which may emerge concerning the severity and spread of COVID-19 and the actions to contain the virus or treat its impact, among others.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displays information with respect to the treasury shares we purchased during the three months ended June 30, 2020:</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80" w:type="dxa"/>
            <w:vAlign w:val="bottom"/>
          </w:tcPr>
          <w:p>
            <w:pPr>
              <w:spacing w:after="0"/>
              <w:rPr>
                <w:sz w:val="17"/>
                <w:szCs w:val="17"/>
                <w:color w:val="auto"/>
              </w:rPr>
            </w:pPr>
          </w:p>
        </w:tc>
        <w:tc>
          <w:tcPr>
            <w:tcW w:w="2160" w:type="dxa"/>
            <w:vAlign w:val="bottom"/>
          </w:tcPr>
          <w:p>
            <w:pPr>
              <w:jc w:val="center"/>
              <w:ind w:right="116"/>
              <w:spacing w:after="0"/>
              <w:rPr>
                <w:sz w:val="20"/>
                <w:szCs w:val="20"/>
                <w:color w:val="auto"/>
              </w:rPr>
            </w:pPr>
            <w:r>
              <w:rPr>
                <w:rFonts w:ascii="Arial" w:cs="Arial" w:eastAsia="Arial" w:hAnsi="Arial"/>
                <w:sz w:val="16"/>
                <w:szCs w:val="16"/>
                <w:b w:val="1"/>
                <w:bCs w:val="1"/>
                <w:color w:val="auto"/>
                <w:w w:val="95"/>
              </w:rPr>
              <w:t>Maximum number (or</w:t>
            </w:r>
          </w:p>
        </w:tc>
      </w:tr>
      <w:tr>
        <w:trPr>
          <w:trHeight w:val="203"/>
        </w:trPr>
        <w:tc>
          <w:tcPr>
            <w:tcW w:w="46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 purchased as</w:t>
            </w:r>
          </w:p>
        </w:tc>
        <w:tc>
          <w:tcPr>
            <w:tcW w:w="180" w:type="dxa"/>
            <w:vAlign w:val="bottom"/>
          </w:tcPr>
          <w:p>
            <w:pPr>
              <w:spacing w:after="0"/>
              <w:rPr>
                <w:sz w:val="17"/>
                <w:szCs w:val="17"/>
                <w:color w:val="auto"/>
              </w:rPr>
            </w:pPr>
          </w:p>
        </w:tc>
        <w:tc>
          <w:tcPr>
            <w:tcW w:w="2160" w:type="dxa"/>
            <w:vAlign w:val="bottom"/>
          </w:tcPr>
          <w:p>
            <w:pPr>
              <w:jc w:val="center"/>
              <w:ind w:right="116"/>
              <w:spacing w:after="0"/>
              <w:rPr>
                <w:sz w:val="20"/>
                <w:szCs w:val="20"/>
                <w:color w:val="auto"/>
              </w:rPr>
            </w:pPr>
            <w:r>
              <w:rPr>
                <w:rFonts w:ascii="Arial" w:cs="Arial" w:eastAsia="Arial" w:hAnsi="Arial"/>
                <w:sz w:val="16"/>
                <w:szCs w:val="16"/>
                <w:b w:val="1"/>
                <w:bCs w:val="1"/>
                <w:color w:val="auto"/>
                <w:w w:val="92"/>
              </w:rPr>
              <w:t>approximate dollar value)</w:t>
            </w:r>
          </w:p>
        </w:tc>
      </w:tr>
      <w:tr>
        <w:trPr>
          <w:trHeight w:val="203"/>
        </w:trPr>
        <w:tc>
          <w:tcPr>
            <w:tcW w:w="46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part of publicly</w:t>
            </w:r>
          </w:p>
        </w:tc>
        <w:tc>
          <w:tcPr>
            <w:tcW w:w="180" w:type="dxa"/>
            <w:vAlign w:val="bottom"/>
          </w:tcPr>
          <w:p>
            <w:pPr>
              <w:spacing w:after="0"/>
              <w:rPr>
                <w:sz w:val="17"/>
                <w:szCs w:val="17"/>
                <w:color w:val="auto"/>
              </w:rPr>
            </w:pPr>
          </w:p>
        </w:tc>
        <w:tc>
          <w:tcPr>
            <w:tcW w:w="216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of shares that may yet be</w:t>
            </w:r>
          </w:p>
        </w:tc>
      </w:tr>
      <w:tr>
        <w:trPr>
          <w:trHeight w:val="203"/>
        </w:trPr>
        <w:tc>
          <w:tcPr>
            <w:tcW w:w="46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shares</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price paid</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announced plans or</w:t>
            </w:r>
          </w:p>
        </w:tc>
        <w:tc>
          <w:tcPr>
            <w:tcW w:w="180" w:type="dxa"/>
            <w:vAlign w:val="bottom"/>
          </w:tcPr>
          <w:p>
            <w:pPr>
              <w:spacing w:after="0"/>
              <w:rPr>
                <w:sz w:val="17"/>
                <w:szCs w:val="17"/>
                <w:color w:val="auto"/>
              </w:rPr>
            </w:pPr>
          </w:p>
        </w:tc>
        <w:tc>
          <w:tcPr>
            <w:tcW w:w="2160" w:type="dxa"/>
            <w:vAlign w:val="bottom"/>
          </w:tcPr>
          <w:p>
            <w:pPr>
              <w:jc w:val="center"/>
              <w:ind w:right="96"/>
              <w:spacing w:after="0"/>
              <w:rPr>
                <w:sz w:val="20"/>
                <w:szCs w:val="20"/>
                <w:color w:val="auto"/>
              </w:rPr>
            </w:pPr>
            <w:r>
              <w:rPr>
                <w:rFonts w:ascii="Arial" w:cs="Arial" w:eastAsia="Arial" w:hAnsi="Arial"/>
                <w:sz w:val="16"/>
                <w:szCs w:val="16"/>
                <w:b w:val="1"/>
                <w:bCs w:val="1"/>
                <w:color w:val="auto"/>
                <w:w w:val="89"/>
              </w:rPr>
              <w:t>purchased under the</w:t>
            </w:r>
          </w:p>
        </w:tc>
      </w:tr>
      <w:tr>
        <w:trPr>
          <w:trHeight w:val="210"/>
        </w:trPr>
        <w:tc>
          <w:tcPr>
            <w:tcW w:w="46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purchased</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per share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programs</w:t>
            </w:r>
          </w:p>
        </w:tc>
        <w:tc>
          <w:tcPr>
            <w:tcW w:w="180" w:type="dxa"/>
            <w:vAlign w:val="bottom"/>
          </w:tcPr>
          <w:p>
            <w:pPr>
              <w:spacing w:after="0"/>
              <w:rPr>
                <w:sz w:val="18"/>
                <w:szCs w:val="18"/>
                <w:color w:val="auto"/>
              </w:rPr>
            </w:pPr>
          </w:p>
        </w:tc>
        <w:tc>
          <w:tcPr>
            <w:tcW w:w="2160" w:type="dxa"/>
            <w:vAlign w:val="bottom"/>
          </w:tcPr>
          <w:p>
            <w:pPr>
              <w:jc w:val="center"/>
              <w:ind w:right="96"/>
              <w:spacing w:after="0"/>
              <w:rPr>
                <w:sz w:val="20"/>
                <w:szCs w:val="20"/>
                <w:color w:val="auto"/>
              </w:rPr>
            </w:pPr>
            <w:r>
              <w:rPr>
                <w:rFonts w:ascii="Arial" w:cs="Arial" w:eastAsia="Arial" w:hAnsi="Arial"/>
                <w:sz w:val="16"/>
                <w:szCs w:val="16"/>
                <w:b w:val="1"/>
                <w:bCs w:val="1"/>
                <w:color w:val="auto"/>
                <w:w w:val="91"/>
              </w:rPr>
              <w:t>plans or programs (1)</w:t>
            </w:r>
          </w:p>
        </w:tc>
      </w:tr>
      <w:tr>
        <w:trPr>
          <w:trHeight w:val="33"/>
        </w:trPr>
        <w:tc>
          <w:tcPr>
            <w:tcW w:w="46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10,000,000</w:t>
            </w:r>
          </w:p>
        </w:tc>
      </w:tr>
      <w:tr>
        <w:trPr>
          <w:trHeight w:val="243"/>
        </w:trPr>
        <w:tc>
          <w:tcPr>
            <w:tcW w:w="4680" w:type="dxa"/>
            <w:vAlign w:val="bottom"/>
          </w:tcPr>
          <w:p>
            <w:pPr>
              <w:ind w:left="340"/>
              <w:spacing w:after="0"/>
              <w:rPr>
                <w:sz w:val="20"/>
                <w:szCs w:val="20"/>
                <w:color w:val="auto"/>
              </w:rPr>
            </w:pPr>
            <w:r>
              <w:rPr>
                <w:rFonts w:ascii="Arial" w:cs="Arial" w:eastAsia="Arial" w:hAnsi="Arial"/>
                <w:sz w:val="18"/>
                <w:szCs w:val="18"/>
                <w:color w:val="auto"/>
              </w:rPr>
              <w:t>April 2020</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407,697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Canadian Plan </w:t>
            </w:r>
            <w:r>
              <w:rPr>
                <w:rFonts w:ascii="Arial" w:cs="Arial" w:eastAsia="Arial" w:hAnsi="Arial"/>
                <w:sz w:val="23"/>
                <w:szCs w:val="23"/>
                <w:color w:val="auto"/>
                <w:vertAlign w:val="superscript"/>
              </w:rPr>
              <w:t>(2)</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994,530</w:t>
            </w:r>
          </w:p>
        </w:tc>
      </w:tr>
      <w:tr>
        <w:trPr>
          <w:trHeight w:val="335"/>
        </w:trPr>
        <w:tc>
          <w:tcPr>
            <w:tcW w:w="4680" w:type="dxa"/>
            <w:vAlign w:val="bottom"/>
          </w:tcPr>
          <w:p>
            <w:pPr>
              <w:ind w:left="20"/>
              <w:spacing w:after="0"/>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(3)</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86" w:lineRule="exact"/>
        <w:rPr>
          <w:sz w:val="20"/>
          <w:szCs w:val="20"/>
          <w:color w:val="auto"/>
        </w:rPr>
      </w:pPr>
    </w:p>
    <w:p>
      <w:pPr>
        <w:ind w:left="900" w:right="80" w:hanging="892"/>
        <w:spacing w:after="0" w:line="286" w:lineRule="auto"/>
        <w:tabs>
          <w:tab w:leader="none" w:pos="900" w:val="left"/>
        </w:tabs>
        <w:numPr>
          <w:ilvl w:val="0"/>
          <w:numId w:val="12"/>
        </w:numPr>
        <w:rPr>
          <w:rFonts w:ascii="Arial" w:cs="Arial" w:eastAsia="Arial" w:hAnsi="Arial"/>
          <w:sz w:val="14"/>
          <w:szCs w:val="14"/>
          <w:color w:val="auto"/>
        </w:rPr>
      </w:pPr>
      <w:r>
        <w:rPr>
          <w:rFonts w:ascii="Arial" w:cs="Arial" w:eastAsia="Arial" w:hAnsi="Arial"/>
          <w:sz w:val="16"/>
          <w:szCs w:val="16"/>
          <w:color w:val="auto"/>
        </w:rPr>
        <w:t>On July 20, 2012, our Board of Directors authorized management to repurchase up to $10.0 million of our outstanding common stock on the open market or in privately negotiated transactions. Westwood's Board of Directors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1" w:lineRule="exact"/>
        <w:rPr>
          <w:rFonts w:ascii="Arial" w:cs="Arial" w:eastAsia="Arial" w:hAnsi="Arial"/>
          <w:sz w:val="14"/>
          <w:szCs w:val="14"/>
          <w:color w:val="auto"/>
        </w:rPr>
      </w:pPr>
    </w:p>
    <w:p>
      <w:pPr>
        <w:ind w:left="900" w:right="20" w:hanging="892"/>
        <w:spacing w:after="0" w:line="255"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ind w:left="892"/>
        <w:spacing w:after="0"/>
        <w:rPr>
          <w:sz w:val="20"/>
          <w:szCs w:val="20"/>
          <w:color w:val="auto"/>
        </w:rPr>
      </w:pPr>
      <w:r>
        <w:rPr>
          <w:rFonts w:ascii="Arial" w:cs="Arial" w:eastAsia="Arial" w:hAnsi="Arial"/>
          <w:sz w:val="16"/>
          <w:szCs w:val="16"/>
          <w:color w:val="auto"/>
        </w:rPr>
        <w:t>awards to our Canadian employees. The Canadian Plan has no expiration date and may be discontinued at any time by the Board of Directors.</w:t>
      </w:r>
    </w:p>
    <w:p>
      <w:pPr>
        <w:spacing w:after="0" w:line="46" w:lineRule="exact"/>
        <w:rPr>
          <w:sz w:val="20"/>
          <w:szCs w:val="20"/>
          <w:color w:val="auto"/>
        </w:rPr>
      </w:pPr>
    </w:p>
    <w:p>
      <w:pPr>
        <w:jc w:val="both"/>
        <w:ind w:left="892" w:hanging="892"/>
        <w:spacing w:after="0" w:line="255" w:lineRule="auto"/>
        <w:tabs>
          <w:tab w:leader="none" w:pos="892" w:val="left"/>
        </w:tabs>
        <w:numPr>
          <w:ilvl w:val="0"/>
          <w:numId w:val="13"/>
        </w:numPr>
        <w:rPr>
          <w:rFonts w:ascii="Arial" w:cs="Arial" w:eastAsia="Arial" w:hAnsi="Arial"/>
          <w:sz w:val="16"/>
          <w:szCs w:val="16"/>
          <w:color w:val="auto"/>
        </w:rPr>
      </w:pPr>
      <w:r>
        <w:rPr>
          <w:rFonts w:ascii="Arial" w:cs="Arial" w:eastAsia="Arial" w:hAnsi="Arial"/>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097"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000"/>
          </w:cols>
          <w:pgMar w:left="320" w:top="1093" w:right="579" w:bottom="1440" w:gutter="0" w:footer="0" w:header="0"/>
        </w:sectPr>
      </w:pP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31.1*</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Chief Executive Officer Pursuant to Securities Exchange Act Rule 13a-14(a)</w:t>
        </w:r>
      </w:hyperlink>
    </w:p>
    <w:p>
      <w:pPr>
        <w:spacing w:after="0" w:line="279" w:lineRule="exact"/>
        <w:rPr>
          <w:sz w:val="20"/>
          <w:szCs w:val="20"/>
          <w:color w:val="auto"/>
        </w:rPr>
      </w:pPr>
    </w:p>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 of Chief Financial Officer Pursuant to Securities Exchange Act Rule 13a-14(a)</w:t>
        </w:r>
      </w:hyperlink>
    </w:p>
    <w:p>
      <w:pPr>
        <w:spacing w:after="0" w:line="279"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Certification of Chief Executive Officer Pursuant to 18 U.S.C. Section 1350, as Adopted Pursuant to Section 906 of the Sarbanes-</w:t>
        </w:r>
      </w:hyperlink>
      <w:hyperlink w:anchor="page35">
        <w:r>
          <w:rPr>
            <w:rFonts w:ascii="Arial" w:cs="Arial" w:eastAsia="Arial" w:hAnsi="Arial"/>
            <w:sz w:val="18"/>
            <w:szCs w:val="18"/>
            <w:u w:val="single" w:color="auto"/>
            <w:color w:val="0000FF"/>
          </w:rPr>
          <w:t>Oxley Act of 2002</w:t>
        </w:r>
      </w:hyperlink>
    </w:p>
    <w:p>
      <w:pPr>
        <w:spacing w:after="0" w:line="216" w:lineRule="exact"/>
        <w:rPr>
          <w:sz w:val="20"/>
          <w:szCs w:val="20"/>
          <w:color w:val="auto"/>
        </w:rPr>
      </w:pPr>
    </w:p>
    <w:p>
      <w:pPr>
        <w:ind w:right="60"/>
        <w:spacing w:after="0" w:line="235" w:lineRule="auto"/>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of Chief Financial Officer Pursuant to 18 U.S.C. Section 1350, as Adopted Pursuant to Section 906 of the Sarbanes-</w:t>
        </w:r>
      </w:hyperlink>
      <w:hyperlink w:anchor="page36">
        <w:r>
          <w:rPr>
            <w:rFonts w:ascii="Arial" w:cs="Arial" w:eastAsia="Arial" w:hAnsi="Arial"/>
            <w:sz w:val="18"/>
            <w:szCs w:val="18"/>
            <w:u w:val="single" w:color="auto"/>
            <w:color w:val="0000FF"/>
          </w:rPr>
          <w:t>Oxley Act of 2002</w:t>
        </w:r>
      </w:hyperlink>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financial information from Westwood Holdings Group, Inc.'s Quarterly Report on Form 10-Q for the period ended June 30, 2020, formatted in Inline eXtensible Business Reporting Language (iXBRL): (i) Condensed Consolidated Balance Sheets as of June 30, 2020 and December 31, 2019; (ii) Condensed Consolidated Statements of Comprehensive Income (Loss) for the three and six months ended June 30, 2020 and 2019; (iii) Condensed Consolidated Statements of Stockholders' Equity; (iv) Condensed Consolidated Statements of Cash Flows for the six months ended June 30, 2020 and 2019; and (v) Notes to the Condensed Consolidated Financial Statements.</w:t>
      </w:r>
    </w:p>
    <w:p>
      <w:pPr>
        <w:spacing w:after="0" w:line="200" w:lineRule="exact"/>
        <w:rPr>
          <w:sz w:val="20"/>
          <w:szCs w:val="20"/>
          <w:color w:val="auto"/>
        </w:rPr>
      </w:pPr>
    </w:p>
    <w:p>
      <w:pPr>
        <w:sectPr>
          <w:pgSz w:w="11900" w:h="16838" w:orient="portrait"/>
          <w:cols w:equalWidth="0" w:num="2">
            <w:col w:w="920" w:space="720"/>
            <w:col w:w="9360"/>
          </w:cols>
          <w:pgMar w:left="320" w:top="1093" w:right="579" w:bottom="1440" w:gutter="0" w:footer="0" w:header="0"/>
          <w:type w:val="continuous"/>
        </w:sectPr>
      </w:pPr>
    </w:p>
    <w:p>
      <w:pPr>
        <w:spacing w:after="0" w:line="46" w:lineRule="exact"/>
        <w:rPr>
          <w:sz w:val="20"/>
          <w:szCs w:val="20"/>
          <w:color w:val="auto"/>
        </w:rPr>
      </w:pPr>
    </w:p>
    <w:p>
      <w:pPr>
        <w:ind w:left="220"/>
        <w:spacing w:after="0"/>
        <w:tabs>
          <w:tab w:leader="none" w:pos="16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iXBRL and contained in Exhibit 101)</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93" w:right="579" w:bottom="1440" w:gutter="0" w:footer="0" w:header="0"/>
          <w:type w:val="continuous"/>
        </w:sectPr>
      </w:pPr>
    </w:p>
    <w:bookmarkStart w:id="31" w:name="page32"/>
    <w:bookmarkEnd w:id="31"/>
    <w:p>
      <w:pPr>
        <w:jc w:val="center"/>
        <w:ind w:right="-4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Dated:   July 29, 2020</w:t>
            </w:r>
          </w:p>
        </w:tc>
        <w:tc>
          <w:tcPr>
            <w:tcW w:w="6060" w:type="dxa"/>
            <w:vAlign w:val="bottom"/>
            <w:gridSpan w:val="2"/>
          </w:tcPr>
          <w:p>
            <w:pPr>
              <w:ind w:left="1660"/>
              <w:spacing w:after="0"/>
              <w:rPr>
                <w:sz w:val="20"/>
                <w:szCs w:val="20"/>
                <w:color w:val="auto"/>
              </w:rPr>
            </w:pPr>
            <w:r>
              <w:rPr>
                <w:rFonts w:ascii="Arial" w:cs="Arial" w:eastAsia="Arial" w:hAnsi="Arial"/>
                <w:sz w:val="18"/>
                <w:szCs w:val="18"/>
                <w:color w:val="auto"/>
              </w:rPr>
              <w:t>WESTWOOD HOLDINGS GROUP, INC.</w:t>
            </w:r>
          </w:p>
        </w:tc>
      </w:tr>
      <w:tr>
        <w:trPr>
          <w:trHeight w:val="527"/>
        </w:trPr>
        <w:tc>
          <w:tcPr>
            <w:tcW w:w="3360" w:type="dxa"/>
            <w:vAlign w:val="bottom"/>
          </w:tcPr>
          <w:p>
            <w:pPr>
              <w:spacing w:after="0"/>
              <w:rPr>
                <w:sz w:val="24"/>
                <w:szCs w:val="24"/>
                <w:color w:val="auto"/>
              </w:rPr>
            </w:pPr>
          </w:p>
        </w:tc>
        <w:tc>
          <w:tcPr>
            <w:tcW w:w="2260" w:type="dxa"/>
            <w:vAlign w:val="bottom"/>
          </w:tcPr>
          <w:p>
            <w:pPr>
              <w:ind w:left="1660"/>
              <w:spacing w:after="0"/>
              <w:rPr>
                <w:sz w:val="20"/>
                <w:szCs w:val="20"/>
                <w:color w:val="auto"/>
              </w:rPr>
            </w:pPr>
            <w:r>
              <w:rPr>
                <w:rFonts w:ascii="Arial" w:cs="Arial" w:eastAsia="Arial" w:hAnsi="Arial"/>
                <w:sz w:val="18"/>
                <w:szCs w:val="18"/>
                <w:color w:val="auto"/>
              </w:rPr>
              <w:t>By:</w:t>
            </w:r>
          </w:p>
        </w:tc>
        <w:tc>
          <w:tcPr>
            <w:tcW w:w="3800" w:type="dxa"/>
            <w:vAlign w:val="bottom"/>
          </w:tcPr>
          <w:p>
            <w:pPr>
              <w:ind w:left="20"/>
              <w:spacing w:after="0"/>
              <w:rPr>
                <w:sz w:val="20"/>
                <w:szCs w:val="20"/>
                <w:color w:val="auto"/>
              </w:rPr>
            </w:pPr>
            <w:r>
              <w:rPr>
                <w:rFonts w:ascii="Arial" w:cs="Arial" w:eastAsia="Arial" w:hAnsi="Arial"/>
                <w:sz w:val="18"/>
                <w:szCs w:val="18"/>
                <w:color w:val="auto"/>
              </w:rPr>
              <w:t>/s/ Brian O. Casey</w:t>
            </w:r>
          </w:p>
        </w:tc>
      </w:tr>
      <w:tr>
        <w:trPr>
          <w:trHeight w:val="27"/>
        </w:trPr>
        <w:tc>
          <w:tcPr>
            <w:tcW w:w="3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70"/>
        </w:trPr>
        <w:tc>
          <w:tcPr>
            <w:tcW w:w="33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86"/>
        </w:trPr>
        <w:tc>
          <w:tcPr>
            <w:tcW w:w="3360" w:type="dxa"/>
            <w:vAlign w:val="bottom"/>
          </w:tcPr>
          <w:p>
            <w:pPr>
              <w:spacing w:after="0"/>
              <w:rPr>
                <w:sz w:val="24"/>
                <w:szCs w:val="24"/>
                <w:color w:val="auto"/>
              </w:rPr>
            </w:pPr>
          </w:p>
        </w:tc>
        <w:tc>
          <w:tcPr>
            <w:tcW w:w="2260" w:type="dxa"/>
            <w:vAlign w:val="bottom"/>
          </w:tcPr>
          <w:p>
            <w:pPr>
              <w:ind w:left="1660"/>
              <w:spacing w:after="0"/>
              <w:rPr>
                <w:sz w:val="20"/>
                <w:szCs w:val="20"/>
                <w:color w:val="auto"/>
              </w:rPr>
            </w:pPr>
            <w:r>
              <w:rPr>
                <w:rFonts w:ascii="Arial" w:cs="Arial" w:eastAsia="Arial" w:hAnsi="Arial"/>
                <w:sz w:val="18"/>
                <w:szCs w:val="18"/>
                <w:color w:val="auto"/>
              </w:rPr>
              <w:t>By:</w:t>
            </w:r>
          </w:p>
        </w:tc>
        <w:tc>
          <w:tcPr>
            <w:tcW w:w="3800" w:type="dxa"/>
            <w:vAlign w:val="bottom"/>
          </w:tcPr>
          <w:p>
            <w:pPr>
              <w:ind w:left="20"/>
              <w:spacing w:after="0"/>
              <w:rPr>
                <w:sz w:val="20"/>
                <w:szCs w:val="20"/>
                <w:color w:val="auto"/>
              </w:rPr>
            </w:pPr>
            <w:r>
              <w:rPr>
                <w:rFonts w:ascii="Arial" w:cs="Arial" w:eastAsia="Arial" w:hAnsi="Arial"/>
                <w:sz w:val="18"/>
                <w:szCs w:val="18"/>
                <w:color w:val="auto"/>
              </w:rPr>
              <w:t>/s/ Murray Forbes III</w:t>
            </w:r>
          </w:p>
        </w:tc>
      </w:tr>
      <w:tr>
        <w:trPr>
          <w:trHeight w:val="27"/>
        </w:trPr>
        <w:tc>
          <w:tcPr>
            <w:tcW w:w="3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Murray Forbes III</w:t>
            </w:r>
          </w:p>
        </w:tc>
      </w:tr>
      <w:tr>
        <w:trPr>
          <w:trHeight w:val="270"/>
        </w:trPr>
        <w:tc>
          <w:tcPr>
            <w:tcW w:w="33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60"/>
          </w:cols>
          <w:pgMar w:left="320" w:top="1097" w:right="81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 13a-14(a)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 Brian O. Casey, certify that:</w:t>
      </w:r>
    </w:p>
    <w:p>
      <w:pPr>
        <w:spacing w:after="0" w:line="82" w:lineRule="exact"/>
        <w:rPr>
          <w:sz w:val="20"/>
          <w:szCs w:val="20"/>
          <w:color w:val="auto"/>
        </w:rPr>
      </w:pPr>
    </w:p>
    <w:p>
      <w:pPr>
        <w:ind w:left="1200" w:hanging="1174"/>
        <w:spacing w:after="0"/>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jc w:val="both"/>
        <w:ind w:left="1200" w:right="620" w:hanging="1174"/>
        <w:spacing w:after="0" w:line="278"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6"/>
          <w:szCs w:val="16"/>
          <w:color w:val="auto"/>
        </w:rPr>
      </w:pPr>
    </w:p>
    <w:p>
      <w:pPr>
        <w:spacing w:after="0" w:line="308" w:lineRule="exact"/>
        <w:rPr>
          <w:rFonts w:ascii="Arial" w:cs="Arial" w:eastAsia="Arial" w:hAnsi="Arial"/>
          <w:sz w:val="16"/>
          <w:szCs w:val="16"/>
          <w:color w:val="auto"/>
        </w:rPr>
      </w:pPr>
    </w:p>
    <w:p>
      <w:pPr>
        <w:ind w:left="1200" w:right="580" w:hanging="1174"/>
        <w:spacing w:after="0" w:line="328" w:lineRule="auto"/>
        <w:tabs>
          <w:tab w:leader="none" w:pos="1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5"/>
          <w:szCs w:val="15"/>
          <w:color w:val="auto"/>
        </w:rPr>
      </w:pPr>
    </w:p>
    <w:p>
      <w:pPr>
        <w:spacing w:after="0" w:line="273" w:lineRule="exact"/>
        <w:rPr>
          <w:rFonts w:ascii="Arial" w:cs="Arial" w:eastAsia="Arial" w:hAnsi="Arial"/>
          <w:sz w:val="15"/>
          <w:szCs w:val="15"/>
          <w:color w:val="auto"/>
        </w:rPr>
      </w:pPr>
    </w:p>
    <w:p>
      <w:pPr>
        <w:jc w:val="both"/>
        <w:ind w:left="1200" w:right="600" w:hanging="1174"/>
        <w:spacing w:after="0" w:line="278"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980" w:right="360" w:firstLine="486"/>
        <w:spacing w:after="0" w:line="261" w:lineRule="auto"/>
        <w:tabs>
          <w:tab w:leader="none" w:pos="1686"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ind w:left="1700" w:hanging="234"/>
        <w:spacing w:after="0"/>
        <w:tabs>
          <w:tab w:leader="none" w:pos="17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w:t>
      </w:r>
    </w:p>
    <w:p>
      <w:pPr>
        <w:spacing w:after="0" w:line="30" w:lineRule="exact"/>
        <w:rPr>
          <w:rFonts w:ascii="Arial" w:cs="Arial" w:eastAsia="Arial" w:hAnsi="Arial"/>
          <w:sz w:val="15"/>
          <w:szCs w:val="15"/>
          <w:color w:val="auto"/>
        </w:rPr>
      </w:pPr>
    </w:p>
    <w:p>
      <w:pPr>
        <w:ind w:left="980"/>
        <w:spacing w:after="0" w:line="257" w:lineRule="auto"/>
        <w:rPr>
          <w:rFonts w:ascii="Arial" w:cs="Arial" w:eastAsia="Arial" w:hAnsi="Arial"/>
          <w:sz w:val="15"/>
          <w:szCs w:val="15"/>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5"/>
          <w:szCs w:val="15"/>
          <w:color w:val="auto"/>
        </w:rPr>
      </w:pPr>
    </w:p>
    <w:p>
      <w:pPr>
        <w:ind w:left="980" w:right="820" w:firstLine="486"/>
        <w:spacing w:after="0" w:line="349" w:lineRule="auto"/>
        <w:tabs>
          <w:tab w:leader="none" w:pos="1686" w:val="left"/>
        </w:tabs>
        <w:numPr>
          <w:ilvl w:val="1"/>
          <w:numId w:val="1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4"/>
          <w:szCs w:val="14"/>
          <w:color w:val="auto"/>
        </w:rPr>
      </w:pPr>
    </w:p>
    <w:p>
      <w:pPr>
        <w:ind w:left="980" w:right="120" w:firstLine="486"/>
        <w:spacing w:after="0" w:line="261" w:lineRule="auto"/>
        <w:tabs>
          <w:tab w:leader="none" w:pos="1695"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6"/>
          <w:szCs w:val="16"/>
          <w:color w:val="auto"/>
        </w:rPr>
      </w:pPr>
    </w:p>
    <w:p>
      <w:pPr>
        <w:ind w:left="1200" w:right="580" w:hanging="1174"/>
        <w:spacing w:after="0" w:line="328" w:lineRule="auto"/>
        <w:tabs>
          <w:tab w:leader="none" w:pos="1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5"/>
          <w:szCs w:val="15"/>
          <w:color w:val="auto"/>
        </w:rPr>
      </w:pPr>
    </w:p>
    <w:p>
      <w:pPr>
        <w:ind w:left="980" w:right="280" w:firstLine="486"/>
        <w:spacing w:after="0" w:line="275" w:lineRule="auto"/>
        <w:tabs>
          <w:tab w:leader="none" w:pos="1686"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980" w:right="220" w:firstLine="486"/>
        <w:spacing w:after="0" w:line="275" w:lineRule="auto"/>
        <w:tabs>
          <w:tab w:leader="none" w:pos="169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Dated: July 29, 2020</w:t>
      </w:r>
    </w:p>
    <w:p>
      <w:pPr>
        <w:spacing w:after="0" w:line="30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34925</wp:posOffset>
            </wp:positionV>
            <wp:extent cx="27089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6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Brian O. Casey</w:t>
      </w:r>
    </w:p>
    <w:p>
      <w:pPr>
        <w:spacing w:after="0" w:line="73"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895" w:right="339" w:bottom="1440" w:gutter="0" w:footer="0" w:header="0"/>
        </w:sectPr>
      </w:pPr>
    </w:p>
    <w:bookmarkStart w:id="33" w:name="page34"/>
    <w:bookmarkEnd w:id="33"/>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 Murray Forbes III, certify that:</w:t>
      </w:r>
    </w:p>
    <w:p>
      <w:pPr>
        <w:spacing w:after="0" w:line="113" w:lineRule="exact"/>
        <w:rPr>
          <w:sz w:val="20"/>
          <w:szCs w:val="20"/>
          <w:color w:val="auto"/>
        </w:rPr>
      </w:pPr>
    </w:p>
    <w:p>
      <w:pPr>
        <w:ind w:left="1260" w:hanging="1234"/>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260" w:right="100" w:hanging="1234"/>
        <w:spacing w:after="0" w:line="369" w:lineRule="auto"/>
        <w:tabs>
          <w:tab w:leader="none" w:pos="1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5" w:lineRule="exact"/>
        <w:rPr>
          <w:rFonts w:ascii="Arial" w:cs="Arial" w:eastAsia="Arial" w:hAnsi="Arial"/>
          <w:sz w:val="14"/>
          <w:szCs w:val="14"/>
          <w:color w:val="auto"/>
        </w:rPr>
      </w:pPr>
    </w:p>
    <w:p>
      <w:pPr>
        <w:ind w:left="1260" w:right="520" w:hanging="1234"/>
        <w:spacing w:after="0" w:line="328" w:lineRule="auto"/>
        <w:tabs>
          <w:tab w:leader="none" w:pos="1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5" w:lineRule="exact"/>
        <w:rPr>
          <w:rFonts w:ascii="Arial" w:cs="Arial" w:eastAsia="Arial" w:hAnsi="Arial"/>
          <w:sz w:val="15"/>
          <w:szCs w:val="15"/>
          <w:color w:val="auto"/>
        </w:rPr>
      </w:pPr>
    </w:p>
    <w:p>
      <w:pPr>
        <w:ind w:left="1260" w:right="180" w:hanging="1234"/>
        <w:spacing w:after="0" w:line="278"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6"/>
          <w:szCs w:val="16"/>
          <w:color w:val="auto"/>
        </w:rPr>
      </w:pPr>
    </w:p>
    <w:p>
      <w:pPr>
        <w:ind w:left="980" w:right="360" w:firstLine="486"/>
        <w:spacing w:after="0" w:line="261" w:lineRule="auto"/>
        <w:tabs>
          <w:tab w:leader="none" w:pos="16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 w:lineRule="exact"/>
        <w:rPr>
          <w:rFonts w:ascii="Arial" w:cs="Arial" w:eastAsia="Arial" w:hAnsi="Arial"/>
          <w:sz w:val="16"/>
          <w:szCs w:val="16"/>
          <w:color w:val="auto"/>
        </w:rPr>
      </w:pPr>
    </w:p>
    <w:p>
      <w:pPr>
        <w:ind w:left="1700" w:hanging="234"/>
        <w:spacing w:after="0"/>
        <w:tabs>
          <w:tab w:leader="none" w:pos="17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w:t>
      </w:r>
    </w:p>
    <w:p>
      <w:pPr>
        <w:spacing w:after="0" w:line="30" w:lineRule="exact"/>
        <w:rPr>
          <w:rFonts w:ascii="Arial" w:cs="Arial" w:eastAsia="Arial" w:hAnsi="Arial"/>
          <w:sz w:val="15"/>
          <w:szCs w:val="15"/>
          <w:color w:val="auto"/>
        </w:rPr>
      </w:pPr>
    </w:p>
    <w:p>
      <w:pPr>
        <w:ind w:left="980"/>
        <w:spacing w:after="0" w:line="257" w:lineRule="auto"/>
        <w:rPr>
          <w:rFonts w:ascii="Arial" w:cs="Arial" w:eastAsia="Arial" w:hAnsi="Arial"/>
          <w:sz w:val="15"/>
          <w:szCs w:val="15"/>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Arial" w:cs="Arial" w:eastAsia="Arial" w:hAnsi="Arial"/>
          <w:sz w:val="15"/>
          <w:szCs w:val="15"/>
          <w:color w:val="auto"/>
        </w:rPr>
      </w:pPr>
    </w:p>
    <w:p>
      <w:pPr>
        <w:ind w:left="980" w:right="820" w:firstLine="486"/>
        <w:spacing w:after="0" w:line="322" w:lineRule="auto"/>
        <w:tabs>
          <w:tab w:leader="none" w:pos="1686" w:val="left"/>
        </w:tabs>
        <w:numPr>
          <w:ilvl w:val="1"/>
          <w:numId w:val="1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20" w:firstLine="486"/>
        <w:spacing w:after="0" w:line="261" w:lineRule="auto"/>
        <w:tabs>
          <w:tab w:leader="none" w:pos="1695"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6"/>
          <w:szCs w:val="16"/>
          <w:color w:val="auto"/>
        </w:rPr>
      </w:pPr>
    </w:p>
    <w:p>
      <w:pPr>
        <w:ind w:left="1260" w:right="280" w:hanging="1234"/>
        <w:spacing w:after="0" w:line="328" w:lineRule="auto"/>
        <w:tabs>
          <w:tab w:leader="none" w:pos="1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5"/>
          <w:szCs w:val="15"/>
          <w:color w:val="auto"/>
        </w:rPr>
      </w:pPr>
    </w:p>
    <w:p>
      <w:pPr>
        <w:ind w:left="980" w:right="280" w:firstLine="486"/>
        <w:spacing w:after="0" w:line="275" w:lineRule="auto"/>
        <w:tabs>
          <w:tab w:leader="none" w:pos="16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6"/>
          <w:szCs w:val="16"/>
          <w:color w:val="auto"/>
        </w:rPr>
      </w:pPr>
    </w:p>
    <w:p>
      <w:pPr>
        <w:ind w:left="980" w:right="220" w:firstLine="486"/>
        <w:spacing w:after="0" w:line="275" w:lineRule="auto"/>
        <w:tabs>
          <w:tab w:leader="none" w:pos="169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Dated: July 29, 2020</w:t>
      </w:r>
    </w:p>
    <w:p>
      <w:pPr>
        <w:spacing w:after="0" w:line="30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34925</wp:posOffset>
            </wp:positionV>
            <wp:extent cx="3042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6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Murray Forbes III</w:t>
      </w:r>
    </w:p>
    <w:p>
      <w:pPr>
        <w:spacing w:after="0" w:line="7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June 30, 2020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75" w:lineRule="exact"/>
        <w:rPr>
          <w:sz w:val="20"/>
          <w:szCs w:val="20"/>
          <w:color w:val="auto"/>
        </w:rPr>
      </w:pPr>
    </w:p>
    <w:p>
      <w:pPr>
        <w:ind w:left="720" w:hanging="22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13" w:lineRule="exact"/>
        <w:rPr>
          <w:rFonts w:ascii="Arial" w:cs="Arial" w:eastAsia="Arial" w:hAnsi="Arial"/>
          <w:sz w:val="16"/>
          <w:szCs w:val="16"/>
          <w:color w:val="auto"/>
        </w:rPr>
      </w:pPr>
    </w:p>
    <w:p>
      <w:pPr>
        <w:ind w:left="720" w:hanging="22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Dated: July 29, 2020</w:t>
      </w:r>
    </w:p>
    <w:p>
      <w:pPr>
        <w:spacing w:after="0" w:line="30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34925</wp:posOffset>
            </wp:positionV>
            <wp:extent cx="30429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6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Brian O. Casey</w:t>
      </w:r>
    </w:p>
    <w:p>
      <w:pPr>
        <w:spacing w:after="0" w:line="7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President &amp; Chief Executive Officer</w:t>
      </w:r>
    </w:p>
    <w:p>
      <w:pPr>
        <w:spacing w:after="0" w:line="262" w:lineRule="exact"/>
        <w:rPr>
          <w:sz w:val="20"/>
          <w:szCs w:val="20"/>
          <w:color w:val="auto"/>
        </w:rPr>
      </w:pPr>
    </w:p>
    <w:p>
      <w:pPr>
        <w:ind w:right="20" w:firstLine="486"/>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2" w:right="339" w:bottom="1440" w:gutter="0" w:footer="0" w:header="0"/>
        </w:sectPr>
      </w:pPr>
    </w:p>
    <w:bookmarkStart w:id="35" w:name="page36"/>
    <w:bookmarkEnd w:id="35"/>
    <w:p>
      <w:pPr>
        <w:ind w:left="10400"/>
        <w:spacing w:after="0"/>
        <w:rPr>
          <w:sz w:val="20"/>
          <w:szCs w:val="20"/>
          <w:color w:val="auto"/>
        </w:rPr>
      </w:pPr>
      <w:r>
        <w:rPr>
          <w:rFonts w:ascii="Arial" w:cs="Arial" w:eastAsia="Arial" w:hAnsi="Arial"/>
          <w:sz w:val="15"/>
          <w:szCs w:val="15"/>
          <w:b w:val="1"/>
          <w:bCs w:val="1"/>
          <w:color w:val="auto"/>
        </w:rPr>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June 30, 2020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75" w:lineRule="exact"/>
        <w:rPr>
          <w:sz w:val="20"/>
          <w:szCs w:val="20"/>
          <w:color w:val="auto"/>
        </w:rPr>
      </w:pPr>
    </w:p>
    <w:p>
      <w:pPr>
        <w:ind w:left="720" w:hanging="22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113" w:lineRule="exact"/>
        <w:rPr>
          <w:rFonts w:ascii="Arial" w:cs="Arial" w:eastAsia="Arial" w:hAnsi="Arial"/>
          <w:sz w:val="16"/>
          <w:szCs w:val="16"/>
          <w:color w:val="auto"/>
        </w:rPr>
      </w:pPr>
    </w:p>
    <w:p>
      <w:pPr>
        <w:ind w:left="720" w:hanging="22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Dated: July 29, 2020</w:t>
      </w:r>
    </w:p>
    <w:p>
      <w:pPr>
        <w:spacing w:after="0" w:line="30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34925</wp:posOffset>
            </wp:positionV>
            <wp:extent cx="3042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6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Murray Forbes III</w:t>
      </w:r>
    </w:p>
    <w:p>
      <w:pPr>
        <w:spacing w:after="0" w:line="7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Chief Financial Officer and Treasurer</w:t>
      </w:r>
    </w:p>
    <w:p>
      <w:pPr>
        <w:spacing w:after="0" w:line="262" w:lineRule="exact"/>
        <w:rPr>
          <w:sz w:val="20"/>
          <w:szCs w:val="20"/>
          <w:color w:val="auto"/>
        </w:rPr>
      </w:pPr>
    </w:p>
    <w:p>
      <w:pPr>
        <w:ind w:right="20" w:firstLine="486"/>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1."/>
      <w:numFmt w:val="decimal"/>
      <w:start w:val="12"/>
    </w:lvl>
  </w:abstractNum>
  <w:abstractNum w:abstractNumId="8">
    <w:nsid w:val="3352255A"/>
    <w:multiLevelType w:val="hybridMultilevel"/>
    <w:lvl w:ilvl="0">
      <w:lvlJc w:val="left"/>
      <w:lvlText w:val="%1."/>
      <w:numFmt w:val="decimal"/>
      <w:start w:val="15"/>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2020-07-29T16:10:33Z</dcterms:created>
  <dcterms:modified xsi:type="dcterms:W3CDTF">2020-07-29T16:10:33Z</dcterms:modified>
</cp:coreProperties>
</file>