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6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ind w:left="4520"/>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346" w:lineRule="exact"/>
        <w:rPr>
          <w:sz w:val="24"/>
          <w:szCs w:val="24"/>
          <w:color w:val="auto"/>
        </w:rPr>
      </w:pPr>
    </w:p>
    <w:p>
      <w:pPr>
        <w:ind w:left="4660"/>
        <w:spacing w:after="0"/>
        <w:rPr>
          <w:sz w:val="20"/>
          <w:szCs w:val="20"/>
          <w:color w:val="auto"/>
        </w:rPr>
      </w:pPr>
      <w:r>
        <w:rPr>
          <w:rFonts w:ascii="Arial" w:cs="Arial" w:eastAsia="Arial" w:hAnsi="Arial"/>
          <w:sz w:val="32"/>
          <w:szCs w:val="32"/>
          <w:b w:val="1"/>
          <w:bCs w:val="1"/>
          <w:color w:val="auto"/>
        </w:rPr>
        <w:t>FORM 8-K/A</w:t>
      </w:r>
    </w:p>
    <w:p>
      <w:pPr>
        <w:spacing w:after="0" w:line="200" w:lineRule="exact"/>
        <w:rPr>
          <w:sz w:val="24"/>
          <w:szCs w:val="24"/>
          <w:color w:val="auto"/>
        </w:rPr>
      </w:pPr>
    </w:p>
    <w:p>
      <w:pPr>
        <w:spacing w:after="0" w:line="287" w:lineRule="exact"/>
        <w:rPr>
          <w:sz w:val="24"/>
          <w:szCs w:val="24"/>
          <w:color w:val="auto"/>
        </w:rPr>
      </w:pPr>
    </w:p>
    <w:p>
      <w:pPr>
        <w:jc w:val="center"/>
        <w:ind w:right="-619"/>
        <w:spacing w:after="0"/>
        <w:rPr>
          <w:sz w:val="20"/>
          <w:szCs w:val="20"/>
          <w:color w:val="auto"/>
        </w:rPr>
      </w:pPr>
      <w:r>
        <w:rPr>
          <w:rFonts w:ascii="Arial" w:cs="Arial" w:eastAsia="Arial" w:hAnsi="Arial"/>
          <w:sz w:val="25"/>
          <w:szCs w:val="25"/>
          <w:b w:val="1"/>
          <w:bCs w:val="1"/>
          <w:color w:val="auto"/>
        </w:rPr>
        <w:t>CURRENT REPORT</w:t>
      </w:r>
    </w:p>
    <w:p>
      <w:pPr>
        <w:spacing w:after="0" w:line="241"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Pursuant to Section 13 or 15(d) of</w:t>
      </w:r>
    </w:p>
    <w:p>
      <w:pPr>
        <w:spacing w:after="0" w:line="21"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the Securities Exchange Act of 1934</w:t>
      </w:r>
    </w:p>
    <w:p>
      <w:pPr>
        <w:spacing w:after="0" w:line="200" w:lineRule="exact"/>
        <w:rPr>
          <w:sz w:val="24"/>
          <w:szCs w:val="24"/>
          <w:color w:val="auto"/>
        </w:rPr>
      </w:pPr>
    </w:p>
    <w:p>
      <w:pPr>
        <w:spacing w:after="0" w:line="234" w:lineRule="exact"/>
        <w:rPr>
          <w:sz w:val="24"/>
          <w:szCs w:val="24"/>
          <w:color w:val="auto"/>
        </w:rPr>
      </w:pPr>
    </w:p>
    <w:p>
      <w:pPr>
        <w:ind w:left="3220"/>
        <w:spacing w:after="0"/>
        <w:rPr>
          <w:sz w:val="20"/>
          <w:szCs w:val="20"/>
          <w:color w:val="auto"/>
        </w:rPr>
      </w:pPr>
      <w:r>
        <w:rPr>
          <w:rFonts w:ascii="Arial" w:cs="Arial" w:eastAsia="Arial" w:hAnsi="Arial"/>
          <w:sz w:val="18"/>
          <w:szCs w:val="18"/>
          <w:b w:val="1"/>
          <w:bCs w:val="1"/>
          <w:color w:val="auto"/>
        </w:rPr>
        <w:t>Date of Report (Date of earliest event reported): April 28, 2021</w:t>
      </w:r>
    </w:p>
    <w:p>
      <w:pPr>
        <w:spacing w:after="0" w:line="200" w:lineRule="exact"/>
        <w:rPr>
          <w:sz w:val="24"/>
          <w:szCs w:val="24"/>
          <w:color w:val="auto"/>
        </w:rPr>
      </w:pPr>
    </w:p>
    <w:p>
      <w:pPr>
        <w:spacing w:after="0" w:line="293" w:lineRule="exact"/>
        <w:rPr>
          <w:sz w:val="24"/>
          <w:szCs w:val="24"/>
          <w:color w:val="auto"/>
        </w:rPr>
      </w:pPr>
    </w:p>
    <w:p>
      <w:pPr>
        <w:jc w:val="center"/>
        <w:ind w:right="-619"/>
        <w:spacing w:after="0"/>
        <w:rPr>
          <w:sz w:val="20"/>
          <w:szCs w:val="20"/>
          <w:color w:val="auto"/>
        </w:rPr>
      </w:pPr>
      <w:r>
        <w:rPr>
          <w:rFonts w:ascii="Arial" w:cs="Arial" w:eastAsia="Arial" w:hAnsi="Arial"/>
          <w:sz w:val="40"/>
          <w:szCs w:val="40"/>
          <w:b w:val="1"/>
          <w:bCs w:val="1"/>
          <w:color w:val="auto"/>
        </w:rPr>
        <w:t>WESTWOOD HOLDINGS GROUP, INC.</w:t>
      </w:r>
    </w:p>
    <w:p>
      <w:pPr>
        <w:spacing w:after="0" w:line="140"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tbl>
      <w:tblPr>
        <w:tblLayout w:type="fixed"/>
        <w:tblInd w:w="1120" w:type="dxa"/>
        <w:tblCellMar>
          <w:top w:w="0" w:type="dxa"/>
          <w:left w:w="0" w:type="dxa"/>
          <w:bottom w:w="0" w:type="dxa"/>
          <w:right w:w="0" w:type="dxa"/>
        </w:tblCellMar>
      </w:tblPr>
      <w:tr>
        <w:trPr>
          <w:trHeight w:val="234"/>
        </w:trPr>
        <w:tc>
          <w:tcPr>
            <w:tcW w:w="2140" w:type="dxa"/>
            <w:vAlign w:val="bottom"/>
          </w:tcPr>
          <w:p>
            <w:pPr>
              <w:jc w:val="center"/>
              <w:ind w:right="296"/>
              <w:spacing w:after="0"/>
              <w:rPr>
                <w:sz w:val="20"/>
                <w:szCs w:val="20"/>
                <w:color w:val="auto"/>
              </w:rPr>
            </w:pPr>
            <w:r>
              <w:rPr>
                <w:rFonts w:ascii="Arial" w:cs="Arial" w:eastAsia="Arial" w:hAnsi="Arial"/>
                <w:sz w:val="18"/>
                <w:szCs w:val="18"/>
                <w:b w:val="1"/>
                <w:bCs w:val="1"/>
                <w:color w:val="auto"/>
                <w:w w:val="91"/>
              </w:rPr>
              <w:t>Delaware</w:t>
            </w:r>
          </w:p>
        </w:tc>
        <w:tc>
          <w:tcPr>
            <w:tcW w:w="4800" w:type="dxa"/>
            <w:vAlign w:val="bottom"/>
          </w:tcPr>
          <w:p>
            <w:pPr>
              <w:jc w:val="center"/>
              <w:ind w:right="15"/>
              <w:spacing w:after="0"/>
              <w:rPr>
                <w:sz w:val="20"/>
                <w:szCs w:val="20"/>
                <w:color w:val="auto"/>
              </w:rPr>
            </w:pPr>
            <w:r>
              <w:rPr>
                <w:rFonts w:ascii="Arial" w:cs="Arial" w:eastAsia="Arial" w:hAnsi="Arial"/>
                <w:sz w:val="18"/>
                <w:szCs w:val="18"/>
                <w:b w:val="1"/>
                <w:bCs w:val="1"/>
                <w:color w:val="auto"/>
                <w:w w:val="90"/>
              </w:rPr>
              <w:t>001-31234</w:t>
            </w:r>
          </w:p>
        </w:tc>
        <w:tc>
          <w:tcPr>
            <w:tcW w:w="1920" w:type="dxa"/>
            <w:vAlign w:val="bottom"/>
          </w:tcPr>
          <w:p>
            <w:pPr>
              <w:jc w:val="center"/>
              <w:ind w:left="356"/>
              <w:spacing w:after="0"/>
              <w:rPr>
                <w:sz w:val="20"/>
                <w:szCs w:val="20"/>
                <w:color w:val="auto"/>
              </w:rPr>
            </w:pPr>
            <w:r>
              <w:rPr>
                <w:rFonts w:ascii="Arial" w:cs="Arial" w:eastAsia="Arial" w:hAnsi="Arial"/>
                <w:sz w:val="18"/>
                <w:szCs w:val="18"/>
                <w:b w:val="1"/>
                <w:bCs w:val="1"/>
                <w:color w:val="auto"/>
                <w:w w:val="91"/>
              </w:rPr>
              <w:t>75-2969997</w:t>
            </w:r>
          </w:p>
        </w:tc>
      </w:tr>
      <w:tr>
        <w:trPr>
          <w:trHeight w:val="166"/>
        </w:trPr>
        <w:tc>
          <w:tcPr>
            <w:tcW w:w="2140" w:type="dxa"/>
            <w:vAlign w:val="bottom"/>
          </w:tcPr>
          <w:p>
            <w:pPr>
              <w:jc w:val="center"/>
              <w:ind w:right="296"/>
              <w:spacing w:after="0" w:line="166" w:lineRule="exact"/>
              <w:rPr>
                <w:sz w:val="20"/>
                <w:szCs w:val="20"/>
                <w:color w:val="auto"/>
              </w:rPr>
            </w:pPr>
            <w:r>
              <w:rPr>
                <w:rFonts w:ascii="Arial" w:cs="Arial" w:eastAsia="Arial" w:hAnsi="Arial"/>
                <w:sz w:val="16"/>
                <w:szCs w:val="16"/>
                <w:color w:val="auto"/>
                <w:w w:val="92"/>
              </w:rPr>
              <w:t>(State or Other Jurisdiction</w:t>
            </w:r>
          </w:p>
        </w:tc>
        <w:tc>
          <w:tcPr>
            <w:tcW w:w="4800" w:type="dxa"/>
            <w:vAlign w:val="bottom"/>
          </w:tcPr>
          <w:p>
            <w:pPr>
              <w:jc w:val="center"/>
              <w:spacing w:after="0" w:line="166" w:lineRule="exact"/>
              <w:rPr>
                <w:sz w:val="20"/>
                <w:szCs w:val="20"/>
                <w:color w:val="auto"/>
              </w:rPr>
            </w:pPr>
            <w:r>
              <w:rPr>
                <w:rFonts w:ascii="Arial" w:cs="Arial" w:eastAsia="Arial" w:hAnsi="Arial"/>
                <w:sz w:val="16"/>
                <w:szCs w:val="16"/>
                <w:color w:val="auto"/>
                <w:w w:val="94"/>
              </w:rPr>
              <w:t>(Commission</w:t>
            </w:r>
          </w:p>
        </w:tc>
        <w:tc>
          <w:tcPr>
            <w:tcW w:w="1920" w:type="dxa"/>
            <w:vAlign w:val="bottom"/>
          </w:tcPr>
          <w:p>
            <w:pPr>
              <w:jc w:val="center"/>
              <w:ind w:left="336"/>
              <w:spacing w:after="0" w:line="166" w:lineRule="exact"/>
              <w:rPr>
                <w:sz w:val="20"/>
                <w:szCs w:val="20"/>
                <w:color w:val="auto"/>
              </w:rPr>
            </w:pPr>
            <w:r>
              <w:rPr>
                <w:rFonts w:ascii="Arial" w:cs="Arial" w:eastAsia="Arial" w:hAnsi="Arial"/>
                <w:sz w:val="16"/>
                <w:szCs w:val="16"/>
                <w:color w:val="auto"/>
                <w:w w:val="93"/>
              </w:rPr>
              <w:t>(I.R.S. Employer</w:t>
            </w:r>
          </w:p>
        </w:tc>
      </w:tr>
      <w:tr>
        <w:trPr>
          <w:trHeight w:val="206"/>
        </w:trPr>
        <w:tc>
          <w:tcPr>
            <w:tcW w:w="2140" w:type="dxa"/>
            <w:vAlign w:val="bottom"/>
          </w:tcPr>
          <w:p>
            <w:pPr>
              <w:jc w:val="center"/>
              <w:ind w:right="276"/>
              <w:spacing w:after="0"/>
              <w:rPr>
                <w:sz w:val="20"/>
                <w:szCs w:val="20"/>
                <w:color w:val="auto"/>
              </w:rPr>
            </w:pPr>
            <w:r>
              <w:rPr>
                <w:rFonts w:ascii="Arial" w:cs="Arial" w:eastAsia="Arial" w:hAnsi="Arial"/>
                <w:sz w:val="16"/>
                <w:szCs w:val="16"/>
                <w:color w:val="auto"/>
                <w:w w:val="94"/>
              </w:rPr>
              <w:t>of Incorporation)</w:t>
            </w:r>
          </w:p>
        </w:tc>
        <w:tc>
          <w:tcPr>
            <w:tcW w:w="4800" w:type="dxa"/>
            <w:vAlign w:val="bottom"/>
          </w:tcPr>
          <w:p>
            <w:pPr>
              <w:jc w:val="center"/>
              <w:spacing w:after="0"/>
              <w:rPr>
                <w:sz w:val="20"/>
                <w:szCs w:val="20"/>
                <w:color w:val="auto"/>
              </w:rPr>
            </w:pPr>
            <w:r>
              <w:rPr>
                <w:rFonts w:ascii="Arial" w:cs="Arial" w:eastAsia="Arial" w:hAnsi="Arial"/>
                <w:sz w:val="16"/>
                <w:szCs w:val="16"/>
                <w:color w:val="auto"/>
                <w:w w:val="95"/>
              </w:rPr>
              <w:t>File Number)</w:t>
            </w:r>
          </w:p>
        </w:tc>
        <w:tc>
          <w:tcPr>
            <w:tcW w:w="1920" w:type="dxa"/>
            <w:vAlign w:val="bottom"/>
          </w:tcPr>
          <w:p>
            <w:pPr>
              <w:jc w:val="center"/>
              <w:ind w:left="336"/>
              <w:spacing w:after="0"/>
              <w:rPr>
                <w:sz w:val="20"/>
                <w:szCs w:val="20"/>
                <w:color w:val="auto"/>
              </w:rPr>
            </w:pPr>
            <w:r>
              <w:rPr>
                <w:rFonts w:ascii="Arial" w:cs="Arial" w:eastAsia="Arial" w:hAnsi="Arial"/>
                <w:sz w:val="16"/>
                <w:szCs w:val="16"/>
                <w:color w:val="auto"/>
                <w:w w:val="95"/>
              </w:rPr>
              <w:t>Identification Number)</w:t>
            </w:r>
          </w:p>
        </w:tc>
      </w:tr>
      <w:tr>
        <w:trPr>
          <w:trHeight w:val="352"/>
        </w:trPr>
        <w:tc>
          <w:tcPr>
            <w:tcW w:w="2140" w:type="dxa"/>
            <w:vAlign w:val="bottom"/>
          </w:tcPr>
          <w:p>
            <w:pPr>
              <w:spacing w:after="0"/>
              <w:rPr>
                <w:sz w:val="24"/>
                <w:szCs w:val="24"/>
                <w:color w:val="auto"/>
              </w:rPr>
            </w:pPr>
          </w:p>
        </w:tc>
        <w:tc>
          <w:tcPr>
            <w:tcW w:w="4800" w:type="dxa"/>
            <w:vAlign w:val="bottom"/>
          </w:tcPr>
          <w:p>
            <w:pPr>
              <w:jc w:val="center"/>
              <w:spacing w:after="0"/>
              <w:rPr>
                <w:sz w:val="20"/>
                <w:szCs w:val="20"/>
                <w:color w:val="auto"/>
              </w:rPr>
            </w:pPr>
            <w:r>
              <w:rPr>
                <w:rFonts w:ascii="Arial" w:cs="Arial" w:eastAsia="Arial" w:hAnsi="Arial"/>
                <w:sz w:val="18"/>
                <w:szCs w:val="18"/>
                <w:b w:val="1"/>
                <w:bCs w:val="1"/>
                <w:color w:val="auto"/>
                <w:w w:val="90"/>
              </w:rPr>
              <w:t>200 Crescent Court, Suite 1200</w:t>
            </w:r>
          </w:p>
        </w:tc>
        <w:tc>
          <w:tcPr>
            <w:tcW w:w="1920" w:type="dxa"/>
            <w:vAlign w:val="bottom"/>
          </w:tcPr>
          <w:p>
            <w:pPr>
              <w:spacing w:after="0"/>
              <w:rPr>
                <w:sz w:val="24"/>
                <w:szCs w:val="24"/>
                <w:color w:val="auto"/>
              </w:rPr>
            </w:pPr>
          </w:p>
        </w:tc>
      </w:tr>
      <w:tr>
        <w:trPr>
          <w:trHeight w:val="224"/>
        </w:trPr>
        <w:tc>
          <w:tcPr>
            <w:tcW w:w="2140" w:type="dxa"/>
            <w:vAlign w:val="bottom"/>
          </w:tcPr>
          <w:p>
            <w:pPr>
              <w:spacing w:after="0"/>
              <w:rPr>
                <w:sz w:val="19"/>
                <w:szCs w:val="19"/>
                <w:color w:val="auto"/>
              </w:rPr>
            </w:pPr>
          </w:p>
        </w:tc>
        <w:tc>
          <w:tcPr>
            <w:tcW w:w="4800" w:type="dxa"/>
            <w:vAlign w:val="bottom"/>
          </w:tcPr>
          <w:p>
            <w:pPr>
              <w:jc w:val="center"/>
              <w:spacing w:after="0"/>
              <w:rPr>
                <w:sz w:val="20"/>
                <w:szCs w:val="20"/>
                <w:color w:val="auto"/>
              </w:rPr>
            </w:pPr>
            <w:r>
              <w:rPr>
                <w:rFonts w:ascii="Arial" w:cs="Arial" w:eastAsia="Arial" w:hAnsi="Arial"/>
                <w:sz w:val="18"/>
                <w:szCs w:val="18"/>
                <w:b w:val="1"/>
                <w:bCs w:val="1"/>
                <w:color w:val="auto"/>
                <w:w w:val="88"/>
              </w:rPr>
              <w:t>Dallas, Texas 75201</w:t>
            </w:r>
          </w:p>
        </w:tc>
        <w:tc>
          <w:tcPr>
            <w:tcW w:w="1920" w:type="dxa"/>
            <w:vAlign w:val="bottom"/>
          </w:tcPr>
          <w:p>
            <w:pPr>
              <w:spacing w:after="0"/>
              <w:rPr>
                <w:sz w:val="19"/>
                <w:szCs w:val="19"/>
                <w:color w:val="auto"/>
              </w:rPr>
            </w:pPr>
          </w:p>
        </w:tc>
      </w:tr>
      <w:tr>
        <w:trPr>
          <w:trHeight w:val="206"/>
        </w:trPr>
        <w:tc>
          <w:tcPr>
            <w:tcW w:w="2140" w:type="dxa"/>
            <w:vAlign w:val="bottom"/>
          </w:tcPr>
          <w:p>
            <w:pPr>
              <w:spacing w:after="0"/>
              <w:rPr>
                <w:sz w:val="17"/>
                <w:szCs w:val="17"/>
                <w:color w:val="auto"/>
              </w:rPr>
            </w:pPr>
          </w:p>
        </w:tc>
        <w:tc>
          <w:tcPr>
            <w:tcW w:w="4800" w:type="dxa"/>
            <w:vAlign w:val="bottom"/>
          </w:tcPr>
          <w:p>
            <w:pPr>
              <w:jc w:val="center"/>
              <w:spacing w:after="0"/>
              <w:rPr>
                <w:sz w:val="20"/>
                <w:szCs w:val="20"/>
                <w:color w:val="auto"/>
              </w:rPr>
            </w:pPr>
            <w:r>
              <w:rPr>
                <w:rFonts w:ascii="Arial" w:cs="Arial" w:eastAsia="Arial" w:hAnsi="Arial"/>
                <w:sz w:val="16"/>
                <w:szCs w:val="16"/>
                <w:color w:val="auto"/>
                <w:w w:val="93"/>
              </w:rPr>
              <w:t>(Address of principal executive offices, including zip code)</w:t>
            </w:r>
          </w:p>
        </w:tc>
        <w:tc>
          <w:tcPr>
            <w:tcW w:w="1920" w:type="dxa"/>
            <w:vAlign w:val="bottom"/>
          </w:tcPr>
          <w:p>
            <w:pPr>
              <w:spacing w:after="0"/>
              <w:rPr>
                <w:sz w:val="17"/>
                <w:szCs w:val="17"/>
                <w:color w:val="auto"/>
              </w:rPr>
            </w:pPr>
          </w:p>
        </w:tc>
      </w:tr>
      <w:tr>
        <w:trPr>
          <w:trHeight w:val="415"/>
        </w:trPr>
        <w:tc>
          <w:tcPr>
            <w:tcW w:w="2140" w:type="dxa"/>
            <w:vAlign w:val="bottom"/>
          </w:tcPr>
          <w:p>
            <w:pPr>
              <w:spacing w:after="0"/>
              <w:rPr>
                <w:sz w:val="24"/>
                <w:szCs w:val="24"/>
                <w:color w:val="auto"/>
              </w:rPr>
            </w:pPr>
          </w:p>
        </w:tc>
        <w:tc>
          <w:tcPr>
            <w:tcW w:w="4800" w:type="dxa"/>
            <w:vAlign w:val="bottom"/>
          </w:tcPr>
          <w:p>
            <w:pPr>
              <w:jc w:val="center"/>
              <w:spacing w:after="0"/>
              <w:rPr>
                <w:sz w:val="20"/>
                <w:szCs w:val="20"/>
                <w:color w:val="auto"/>
              </w:rPr>
            </w:pPr>
            <w:r>
              <w:rPr>
                <w:rFonts w:ascii="Arial" w:cs="Arial" w:eastAsia="Arial" w:hAnsi="Arial"/>
                <w:sz w:val="18"/>
                <w:szCs w:val="18"/>
                <w:b w:val="1"/>
                <w:bCs w:val="1"/>
                <w:color w:val="auto"/>
                <w:w w:val="90"/>
              </w:rPr>
              <w:t>(214) 756-6900</w:t>
            </w:r>
          </w:p>
        </w:tc>
        <w:tc>
          <w:tcPr>
            <w:tcW w:w="1920" w:type="dxa"/>
            <w:vAlign w:val="bottom"/>
          </w:tcPr>
          <w:p>
            <w:pPr>
              <w:spacing w:after="0"/>
              <w:rPr>
                <w:sz w:val="24"/>
                <w:szCs w:val="24"/>
                <w:color w:val="auto"/>
              </w:rPr>
            </w:pPr>
          </w:p>
        </w:tc>
      </w:tr>
      <w:tr>
        <w:trPr>
          <w:trHeight w:val="206"/>
        </w:trPr>
        <w:tc>
          <w:tcPr>
            <w:tcW w:w="2140" w:type="dxa"/>
            <w:vAlign w:val="bottom"/>
          </w:tcPr>
          <w:p>
            <w:pPr>
              <w:spacing w:after="0"/>
              <w:rPr>
                <w:sz w:val="17"/>
                <w:szCs w:val="17"/>
                <w:color w:val="auto"/>
              </w:rPr>
            </w:pPr>
          </w:p>
        </w:tc>
        <w:tc>
          <w:tcPr>
            <w:tcW w:w="4800" w:type="dxa"/>
            <w:vAlign w:val="bottom"/>
          </w:tcPr>
          <w:p>
            <w:pPr>
              <w:jc w:val="center"/>
              <w:spacing w:after="0"/>
              <w:rPr>
                <w:sz w:val="20"/>
                <w:szCs w:val="20"/>
                <w:color w:val="auto"/>
              </w:rPr>
            </w:pPr>
            <w:r>
              <w:rPr>
                <w:rFonts w:ascii="Arial" w:cs="Arial" w:eastAsia="Arial" w:hAnsi="Arial"/>
                <w:sz w:val="16"/>
                <w:szCs w:val="16"/>
                <w:color w:val="auto"/>
                <w:w w:val="91"/>
              </w:rPr>
              <w:t>(Registrant’s telephone number, including area code)</w:t>
            </w:r>
          </w:p>
        </w:tc>
        <w:tc>
          <w:tcPr>
            <w:tcW w:w="1920" w:type="dxa"/>
            <w:vAlign w:val="bottom"/>
          </w:tcPr>
          <w:p>
            <w:pPr>
              <w:spacing w:after="0"/>
              <w:rPr>
                <w:sz w:val="17"/>
                <w:szCs w:val="17"/>
                <w:color w:val="auto"/>
              </w:rPr>
            </w:pPr>
          </w:p>
        </w:tc>
      </w:tr>
      <w:tr>
        <w:trPr>
          <w:trHeight w:val="415"/>
        </w:trPr>
        <w:tc>
          <w:tcPr>
            <w:tcW w:w="2140" w:type="dxa"/>
            <w:vAlign w:val="bottom"/>
          </w:tcPr>
          <w:p>
            <w:pPr>
              <w:spacing w:after="0"/>
              <w:rPr>
                <w:sz w:val="24"/>
                <w:szCs w:val="24"/>
                <w:color w:val="auto"/>
              </w:rPr>
            </w:pPr>
          </w:p>
        </w:tc>
        <w:tc>
          <w:tcPr>
            <w:tcW w:w="4800" w:type="dxa"/>
            <w:vAlign w:val="bottom"/>
          </w:tcPr>
          <w:p>
            <w:pPr>
              <w:jc w:val="center"/>
              <w:spacing w:after="0"/>
              <w:rPr>
                <w:sz w:val="20"/>
                <w:szCs w:val="20"/>
                <w:color w:val="auto"/>
              </w:rPr>
            </w:pPr>
            <w:r>
              <w:rPr>
                <w:rFonts w:ascii="Arial" w:cs="Arial" w:eastAsia="Arial" w:hAnsi="Arial"/>
                <w:sz w:val="18"/>
                <w:szCs w:val="18"/>
                <w:b w:val="1"/>
                <w:bCs w:val="1"/>
                <w:color w:val="auto"/>
                <w:w w:val="90"/>
              </w:rPr>
              <w:t>Not applicable</w:t>
            </w:r>
          </w:p>
        </w:tc>
        <w:tc>
          <w:tcPr>
            <w:tcW w:w="1920" w:type="dxa"/>
            <w:vAlign w:val="bottom"/>
          </w:tcPr>
          <w:p>
            <w:pPr>
              <w:spacing w:after="0"/>
              <w:rPr>
                <w:sz w:val="24"/>
                <w:szCs w:val="24"/>
                <w:color w:val="auto"/>
              </w:rPr>
            </w:pPr>
          </w:p>
        </w:tc>
      </w:tr>
      <w:tr>
        <w:trPr>
          <w:trHeight w:val="206"/>
        </w:trPr>
        <w:tc>
          <w:tcPr>
            <w:tcW w:w="2140" w:type="dxa"/>
            <w:vAlign w:val="bottom"/>
          </w:tcPr>
          <w:p>
            <w:pPr>
              <w:spacing w:after="0"/>
              <w:rPr>
                <w:sz w:val="17"/>
                <w:szCs w:val="17"/>
                <w:color w:val="auto"/>
              </w:rPr>
            </w:pPr>
          </w:p>
        </w:tc>
        <w:tc>
          <w:tcPr>
            <w:tcW w:w="4800" w:type="dxa"/>
            <w:vAlign w:val="bottom"/>
          </w:tcPr>
          <w:p>
            <w:pPr>
              <w:jc w:val="center"/>
              <w:spacing w:after="0"/>
              <w:rPr>
                <w:sz w:val="20"/>
                <w:szCs w:val="20"/>
                <w:color w:val="auto"/>
              </w:rPr>
            </w:pPr>
            <w:r>
              <w:rPr>
                <w:rFonts w:ascii="Arial" w:cs="Arial" w:eastAsia="Arial" w:hAnsi="Arial"/>
                <w:sz w:val="16"/>
                <w:szCs w:val="16"/>
                <w:color w:val="auto"/>
                <w:w w:val="90"/>
              </w:rPr>
              <w:t>(Former name or former address, if changed since last report)</w:t>
            </w:r>
          </w:p>
        </w:tc>
        <w:tc>
          <w:tcPr>
            <w:tcW w:w="1920" w:type="dxa"/>
            <w:vAlign w:val="bottom"/>
          </w:tcPr>
          <w:p>
            <w:pPr>
              <w:spacing w:after="0"/>
              <w:rPr>
                <w:sz w:val="17"/>
                <w:szCs w:val="17"/>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obligations of the registrant under any of the following provisions:</w:t>
      </w:r>
    </w:p>
    <w:p>
      <w:pPr>
        <w:spacing w:after="0" w:line="116" w:lineRule="exact"/>
        <w:rPr>
          <w:sz w:val="24"/>
          <w:szCs w:val="24"/>
          <w:color w:val="auto"/>
        </w:rPr>
      </w:pPr>
    </w:p>
    <w:p>
      <w:pPr>
        <w:ind w:left="680" w:hanging="654"/>
        <w:spacing w:after="0"/>
        <w:tabs>
          <w:tab w:leader="none" w:pos="6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3" w:lineRule="exact"/>
        <w:rPr>
          <w:rFonts w:ascii="Arial" w:cs="Arial" w:eastAsia="Arial" w:hAnsi="Arial"/>
          <w:sz w:val="18"/>
          <w:szCs w:val="18"/>
          <w:color w:val="auto"/>
        </w:rPr>
      </w:pPr>
    </w:p>
    <w:p>
      <w:pPr>
        <w:ind w:left="680" w:hanging="654"/>
        <w:spacing w:after="0"/>
        <w:tabs>
          <w:tab w:leader="none" w:pos="6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 w:lineRule="exact"/>
        <w:rPr>
          <w:rFonts w:ascii="Arial" w:cs="Arial" w:eastAsia="Arial" w:hAnsi="Arial"/>
          <w:sz w:val="18"/>
          <w:szCs w:val="18"/>
          <w:color w:val="auto"/>
        </w:rPr>
      </w:pPr>
    </w:p>
    <w:p>
      <w:pPr>
        <w:ind w:left="680" w:hanging="654"/>
        <w:spacing w:after="0"/>
        <w:tabs>
          <w:tab w:leader="none" w:pos="6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 w:lineRule="exact"/>
        <w:rPr>
          <w:rFonts w:ascii="Arial" w:cs="Arial" w:eastAsia="Arial" w:hAnsi="Arial"/>
          <w:sz w:val="18"/>
          <w:szCs w:val="18"/>
          <w:color w:val="auto"/>
        </w:rPr>
      </w:pPr>
    </w:p>
    <w:p>
      <w:pPr>
        <w:ind w:left="680" w:hanging="654"/>
        <w:spacing w:after="0"/>
        <w:tabs>
          <w:tab w:leader="none" w:pos="6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781685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20"/>
          </w:cols>
          <w:pgMar w:left="320" w:top="1057" w:right="9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Explanatory Note</w:t>
      </w:r>
    </w:p>
    <w:p>
      <w:pPr>
        <w:spacing w:after="0" w:line="27"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On April 29, 2021, Westwood Holdings Group, Inc. (“Westwood” or the “Company”) filed a Current Report on Form 8-K (the “Initial 8-K”) to report the voting results of its 2021 Annual Meeting. This Amendment is being filed to correct a typographical error in the Initial 8-K regarding Proposal 4. The language regarding Proposal 4 incorrectly reported that the vote on the stockholders approval, on a non-binding, advisory basis, of the Company's executive compensation, did not receive the necessary votes required by law and was therefore not approved. The language regarding Proposal 4 should have stated that the stockholders approved, on a non-binding, advisory basis, the Company's executive compensation.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Except for the language regarding Proposal 4, all information set forth in the Initial 8-K Statement remains unchanged.</w:t>
      </w:r>
    </w:p>
    <w:p>
      <w:pPr>
        <w:spacing w:after="0" w:line="167" w:lineRule="exact"/>
        <w:rPr>
          <w:sz w:val="20"/>
          <w:szCs w:val="20"/>
          <w:color w:val="auto"/>
        </w:rPr>
      </w:pPr>
    </w:p>
    <w:p>
      <w:pPr>
        <w:ind w:left="900" w:right="180" w:hanging="1295"/>
        <w:spacing w:after="0" w:line="282" w:lineRule="auto"/>
        <w:tabs>
          <w:tab w:leader="none" w:pos="880" w:val="left"/>
        </w:tabs>
        <w:rPr>
          <w:sz w:val="20"/>
          <w:szCs w:val="20"/>
          <w:color w:val="auto"/>
        </w:rPr>
      </w:pPr>
      <w:r>
        <w:rPr>
          <w:rFonts w:ascii="Arial" w:cs="Arial" w:eastAsia="Arial" w:hAnsi="Arial"/>
          <w:sz w:val="18"/>
          <w:szCs w:val="18"/>
          <w:b w:val="1"/>
          <w:bCs w:val="1"/>
          <w:color w:val="auto"/>
        </w:rPr>
        <w:t>Item 5.02</w:t>
        <w:tab/>
        <w:t>Departure of Directors or Certain Officers; Election of Directors; Appointment of Certain Officers; Compensatory Arrangements of Certain Officers.</w:t>
      </w:r>
    </w:p>
    <w:p>
      <w:pPr>
        <w:spacing w:after="0" w:line="11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As previously announced and as further described under Item 5.07, on April 28, 2021, Westwood Holdings Group, Inc. (the “Company”) held its annual meeting of stockholders in Dallas, Texas (the “Annual Meeting”).</w:t>
      </w:r>
    </w:p>
    <w:p>
      <w:pPr>
        <w:spacing w:after="0" w:line="11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Company’s stockholders approved the Eighth Amended and Restated Westwood Holdings Group, Inc. Stock Incentive Plan (the “Incentive Plan”). The material revisions of the Incentive Plan included:</w:t>
      </w:r>
    </w:p>
    <w:p>
      <w:pPr>
        <w:spacing w:after="0" w:line="8"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Increase the total number of shares currently authorized under the Incentive Plan by 250,000 shares.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Incentive Plan was included as Appendix A to the Definitive Proxy Statement filed with the SEC on March 5, 2021.</w:t>
      </w:r>
    </w:p>
    <w:p>
      <w:pPr>
        <w:spacing w:after="0" w:line="22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175"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At the Annual Meeting, the following Proposals 1, 2, 3, and 4 were approved by the Company’s stockholders. No other business was brought before the Annual Meeting. The Proposals are described in detail in the Company’s definitive proxy statement filed with the SEC on March 5, 2021. The voting results for the Annual Meeting are set forth below.</w:t>
      </w:r>
    </w:p>
    <w:p>
      <w:pPr>
        <w:spacing w:after="0" w:line="143" w:lineRule="exact"/>
        <w:rPr>
          <w:sz w:val="20"/>
          <w:szCs w:val="20"/>
          <w:color w:val="auto"/>
        </w:rPr>
      </w:pPr>
    </w:p>
    <w:p>
      <w:pPr>
        <w:ind w:left="580" w:right="380" w:hanging="329"/>
        <w:spacing w:after="0" w:line="269" w:lineRule="auto"/>
        <w:tabs>
          <w:tab w:leader="none" w:pos="577"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Proposal 1</w:t>
      </w:r>
      <w:r>
        <w:rPr>
          <w:rFonts w:ascii="Arial" w:cs="Arial" w:eastAsia="Arial" w:hAnsi="Arial"/>
          <w:sz w:val="18"/>
          <w:szCs w:val="18"/>
          <w:color w:val="auto"/>
        </w:rPr>
        <w:t>: The stockholders elected the directors listed below to hold office until the next annual meeting and until their respective successors shall have been duly elected and qualified. The voting results for this Proposal 1 were as follows:</w:t>
      </w:r>
    </w:p>
    <w:tbl>
      <w:tblPr>
        <w:tblLayout w:type="fixed"/>
        <w:tblInd w:w="1620" w:type="dxa"/>
        <w:tblCellMar>
          <w:top w:w="0" w:type="dxa"/>
          <w:left w:w="0" w:type="dxa"/>
          <w:bottom w:w="0" w:type="dxa"/>
          <w:right w:w="0" w:type="dxa"/>
        </w:tblCellMar>
      </w:tblPr>
      <w:tr>
        <w:trPr>
          <w:trHeight w:val="192"/>
        </w:trPr>
        <w:tc>
          <w:tcPr>
            <w:tcW w:w="2840" w:type="dxa"/>
            <w:vAlign w:val="bottom"/>
          </w:tcPr>
          <w:p>
            <w:pPr>
              <w:ind w:left="20"/>
              <w:spacing w:after="0"/>
              <w:rPr>
                <w:sz w:val="20"/>
                <w:szCs w:val="20"/>
                <w:color w:val="auto"/>
              </w:rPr>
            </w:pPr>
            <w:r>
              <w:rPr>
                <w:rFonts w:ascii="Arial" w:cs="Arial" w:eastAsia="Arial" w:hAnsi="Arial"/>
                <w:sz w:val="14"/>
                <w:szCs w:val="14"/>
                <w:b w:val="1"/>
                <w:bCs w:val="1"/>
                <w:color w:val="auto"/>
              </w:rPr>
              <w:t>Nominee</w:t>
            </w:r>
          </w:p>
        </w:tc>
        <w:tc>
          <w:tcPr>
            <w:tcW w:w="1760" w:type="dxa"/>
            <w:vAlign w:val="bottom"/>
            <w:gridSpan w:val="2"/>
          </w:tcPr>
          <w:p>
            <w:pPr>
              <w:ind w:left="720"/>
              <w:spacing w:after="0"/>
              <w:rPr>
                <w:sz w:val="20"/>
                <w:szCs w:val="20"/>
                <w:color w:val="auto"/>
              </w:rPr>
            </w:pPr>
            <w:r>
              <w:rPr>
                <w:rFonts w:ascii="Arial" w:cs="Arial" w:eastAsia="Arial" w:hAnsi="Arial"/>
                <w:sz w:val="14"/>
                <w:szCs w:val="14"/>
                <w:b w:val="1"/>
                <w:bCs w:val="1"/>
                <w:color w:val="auto"/>
              </w:rPr>
              <w:t>For</w:t>
            </w:r>
          </w:p>
        </w:tc>
        <w:tc>
          <w:tcPr>
            <w:tcW w:w="1760" w:type="dxa"/>
            <w:vAlign w:val="bottom"/>
            <w:gridSpan w:val="2"/>
          </w:tcPr>
          <w:p>
            <w:pPr>
              <w:ind w:left="540"/>
              <w:spacing w:after="0"/>
              <w:rPr>
                <w:sz w:val="20"/>
                <w:szCs w:val="20"/>
                <w:color w:val="auto"/>
              </w:rPr>
            </w:pPr>
            <w:r>
              <w:rPr>
                <w:rFonts w:ascii="Arial" w:cs="Arial" w:eastAsia="Arial" w:hAnsi="Arial"/>
                <w:sz w:val="14"/>
                <w:szCs w:val="14"/>
                <w:b w:val="1"/>
                <w:bCs w:val="1"/>
                <w:color w:val="auto"/>
              </w:rPr>
              <w:t>Withheld</w:t>
            </w:r>
          </w:p>
        </w:tc>
        <w:tc>
          <w:tcPr>
            <w:tcW w:w="1640" w:type="dxa"/>
            <w:vAlign w:val="bottom"/>
          </w:tcPr>
          <w:p>
            <w:pPr>
              <w:jc w:val="right"/>
              <w:ind w:right="213"/>
              <w:spacing w:after="0"/>
              <w:rPr>
                <w:sz w:val="20"/>
                <w:szCs w:val="20"/>
                <w:color w:val="auto"/>
              </w:rPr>
            </w:pPr>
            <w:r>
              <w:rPr>
                <w:rFonts w:ascii="Arial" w:cs="Arial" w:eastAsia="Arial" w:hAnsi="Arial"/>
                <w:sz w:val="14"/>
                <w:szCs w:val="14"/>
                <w:b w:val="1"/>
                <w:bCs w:val="1"/>
                <w:color w:val="auto"/>
              </w:rPr>
              <w:t>Broker Non-Vote</w:t>
            </w:r>
          </w:p>
        </w:tc>
      </w:tr>
      <w:tr>
        <w:trPr>
          <w:trHeight w:val="229"/>
        </w:trPr>
        <w:tc>
          <w:tcPr>
            <w:tcW w:w="2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Brian O. Casey</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5,675,945</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171,281</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756,567</w:t>
            </w:r>
          </w:p>
        </w:tc>
      </w:tr>
      <w:tr>
        <w:trPr>
          <w:trHeight w:val="230"/>
        </w:trPr>
        <w:tc>
          <w:tcPr>
            <w:tcW w:w="2840" w:type="dxa"/>
            <w:vAlign w:val="bottom"/>
          </w:tcPr>
          <w:p>
            <w:pPr>
              <w:ind w:left="20"/>
              <w:spacing w:after="0"/>
              <w:rPr>
                <w:sz w:val="20"/>
                <w:szCs w:val="20"/>
                <w:color w:val="auto"/>
              </w:rPr>
            </w:pPr>
            <w:r>
              <w:rPr>
                <w:rFonts w:ascii="Arial" w:cs="Arial" w:eastAsia="Arial" w:hAnsi="Arial"/>
                <w:sz w:val="18"/>
                <w:szCs w:val="18"/>
                <w:color w:val="auto"/>
              </w:rPr>
              <w:t>Richard M. Frank</w:t>
            </w:r>
          </w:p>
        </w:tc>
        <w:tc>
          <w:tcPr>
            <w:tcW w:w="1640" w:type="dxa"/>
            <w:vAlign w:val="bottom"/>
          </w:tcPr>
          <w:p>
            <w:pPr>
              <w:jc w:val="right"/>
              <w:spacing w:after="0"/>
              <w:rPr>
                <w:sz w:val="20"/>
                <w:szCs w:val="20"/>
                <w:color w:val="auto"/>
              </w:rPr>
            </w:pPr>
            <w:r>
              <w:rPr>
                <w:rFonts w:ascii="Arial" w:cs="Arial" w:eastAsia="Arial" w:hAnsi="Arial"/>
                <w:sz w:val="18"/>
                <w:szCs w:val="18"/>
                <w:color w:val="auto"/>
              </w:rPr>
              <w:t>5,539,303</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307,923</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756,567</w:t>
            </w:r>
          </w:p>
        </w:tc>
      </w:tr>
      <w:tr>
        <w:trPr>
          <w:trHeight w:val="230"/>
        </w:trPr>
        <w:tc>
          <w:tcPr>
            <w:tcW w:w="2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Susan M. Byrne</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5,566,312</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280,914</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756,567</w:t>
            </w:r>
          </w:p>
        </w:tc>
      </w:tr>
      <w:tr>
        <w:trPr>
          <w:trHeight w:val="230"/>
        </w:trPr>
        <w:tc>
          <w:tcPr>
            <w:tcW w:w="2840" w:type="dxa"/>
            <w:vAlign w:val="bottom"/>
          </w:tcPr>
          <w:p>
            <w:pPr>
              <w:ind w:left="20"/>
              <w:spacing w:after="0"/>
              <w:rPr>
                <w:sz w:val="20"/>
                <w:szCs w:val="20"/>
                <w:color w:val="auto"/>
              </w:rPr>
            </w:pPr>
            <w:r>
              <w:rPr>
                <w:rFonts w:ascii="Arial" w:cs="Arial" w:eastAsia="Arial" w:hAnsi="Arial"/>
                <w:sz w:val="18"/>
                <w:szCs w:val="18"/>
                <w:color w:val="auto"/>
              </w:rPr>
              <w:t>Ellen H. Masterson</w:t>
            </w:r>
          </w:p>
        </w:tc>
        <w:tc>
          <w:tcPr>
            <w:tcW w:w="1640" w:type="dxa"/>
            <w:vAlign w:val="bottom"/>
          </w:tcPr>
          <w:p>
            <w:pPr>
              <w:jc w:val="right"/>
              <w:spacing w:after="0"/>
              <w:rPr>
                <w:sz w:val="20"/>
                <w:szCs w:val="20"/>
                <w:color w:val="auto"/>
              </w:rPr>
            </w:pPr>
            <w:r>
              <w:rPr>
                <w:rFonts w:ascii="Arial" w:cs="Arial" w:eastAsia="Arial" w:hAnsi="Arial"/>
                <w:sz w:val="18"/>
                <w:szCs w:val="18"/>
                <w:color w:val="auto"/>
              </w:rPr>
              <w:t>5,641,947</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205,279</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756,567</w:t>
            </w:r>
          </w:p>
        </w:tc>
      </w:tr>
      <w:tr>
        <w:trPr>
          <w:trHeight w:val="229"/>
        </w:trPr>
        <w:tc>
          <w:tcPr>
            <w:tcW w:w="2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Geoffrey R. Norman</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5,606,017</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241,209</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756,567</w:t>
            </w:r>
          </w:p>
        </w:tc>
      </w:tr>
      <w:tr>
        <w:trPr>
          <w:trHeight w:val="230"/>
        </w:trPr>
        <w:tc>
          <w:tcPr>
            <w:tcW w:w="2840" w:type="dxa"/>
            <w:vAlign w:val="bottom"/>
          </w:tcPr>
          <w:p>
            <w:pPr>
              <w:ind w:left="20"/>
              <w:spacing w:after="0"/>
              <w:rPr>
                <w:sz w:val="20"/>
                <w:szCs w:val="20"/>
                <w:color w:val="auto"/>
              </w:rPr>
            </w:pPr>
            <w:r>
              <w:rPr>
                <w:rFonts w:ascii="Arial" w:cs="Arial" w:eastAsia="Arial" w:hAnsi="Arial"/>
                <w:sz w:val="18"/>
                <w:szCs w:val="18"/>
                <w:color w:val="auto"/>
              </w:rPr>
              <w:t>Raymond E. Wooldridge</w:t>
            </w:r>
          </w:p>
        </w:tc>
        <w:tc>
          <w:tcPr>
            <w:tcW w:w="1640" w:type="dxa"/>
            <w:vAlign w:val="bottom"/>
          </w:tcPr>
          <w:p>
            <w:pPr>
              <w:jc w:val="right"/>
              <w:spacing w:after="0"/>
              <w:rPr>
                <w:sz w:val="20"/>
                <w:szCs w:val="20"/>
                <w:color w:val="auto"/>
              </w:rPr>
            </w:pPr>
            <w:r>
              <w:rPr>
                <w:rFonts w:ascii="Arial" w:cs="Arial" w:eastAsia="Arial" w:hAnsi="Arial"/>
                <w:sz w:val="18"/>
                <w:szCs w:val="18"/>
                <w:color w:val="auto"/>
              </w:rPr>
              <w:t>5,332,849</w:t>
            </w:r>
          </w:p>
        </w:tc>
        <w:tc>
          <w:tcPr>
            <w:tcW w:w="1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514,377</w:t>
            </w:r>
          </w:p>
        </w:tc>
        <w:tc>
          <w:tcPr>
            <w:tcW w:w="1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756,567</w:t>
            </w:r>
          </w:p>
        </w:tc>
      </w:tr>
    </w:tbl>
    <w:p>
      <w:pPr>
        <w:spacing w:after="0" w:line="200" w:lineRule="exact"/>
        <w:rPr>
          <w:sz w:val="20"/>
          <w:szCs w:val="20"/>
          <w:color w:val="auto"/>
        </w:rPr>
      </w:pPr>
    </w:p>
    <w:p>
      <w:pPr>
        <w:spacing w:after="0" w:line="230" w:lineRule="exact"/>
        <w:rPr>
          <w:sz w:val="20"/>
          <w:szCs w:val="20"/>
          <w:color w:val="auto"/>
        </w:rPr>
      </w:pPr>
    </w:p>
    <w:p>
      <w:pPr>
        <w:ind w:left="580" w:right="160" w:hanging="329"/>
        <w:spacing w:after="0" w:line="269" w:lineRule="auto"/>
        <w:tabs>
          <w:tab w:leader="none" w:pos="574"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Proposal 2</w:t>
      </w:r>
      <w:r>
        <w:rPr>
          <w:rFonts w:ascii="Arial" w:cs="Arial" w:eastAsia="Arial" w:hAnsi="Arial"/>
          <w:sz w:val="18"/>
          <w:szCs w:val="18"/>
          <w:color w:val="auto"/>
        </w:rPr>
        <w:t>: The stockholders ratified Deloitte &amp; Touche LLP as the Company’s independent auditors for the year ending December 31, 2021. The voting results for this Proposal 2 were as follows:</w:t>
      </w:r>
    </w:p>
    <w:tbl>
      <w:tblPr>
        <w:tblLayout w:type="fixed"/>
        <w:tblInd w:w="2620" w:type="dxa"/>
        <w:tblCellMar>
          <w:top w:w="0" w:type="dxa"/>
          <w:left w:w="0" w:type="dxa"/>
          <w:bottom w:w="0" w:type="dxa"/>
          <w:right w:w="0" w:type="dxa"/>
        </w:tblCellMar>
      </w:tblPr>
      <w:tr>
        <w:trPr>
          <w:trHeight w:val="192"/>
        </w:trPr>
        <w:tc>
          <w:tcPr>
            <w:tcW w:w="2040" w:type="dxa"/>
            <w:vAlign w:val="bottom"/>
            <w:gridSpan w:val="2"/>
          </w:tcPr>
          <w:p>
            <w:pPr>
              <w:ind w:left="840"/>
              <w:spacing w:after="0"/>
              <w:rPr>
                <w:sz w:val="20"/>
                <w:szCs w:val="20"/>
                <w:color w:val="auto"/>
              </w:rPr>
            </w:pPr>
            <w:r>
              <w:rPr>
                <w:rFonts w:ascii="Arial" w:cs="Arial" w:eastAsia="Arial" w:hAnsi="Arial"/>
                <w:sz w:val="14"/>
                <w:szCs w:val="14"/>
                <w:b w:val="1"/>
                <w:bCs w:val="1"/>
                <w:color w:val="auto"/>
              </w:rPr>
              <w:t>For</w:t>
            </w:r>
          </w:p>
        </w:tc>
        <w:tc>
          <w:tcPr>
            <w:tcW w:w="2040" w:type="dxa"/>
            <w:vAlign w:val="bottom"/>
            <w:gridSpan w:val="2"/>
          </w:tcPr>
          <w:p>
            <w:pPr>
              <w:ind w:left="720"/>
              <w:spacing w:after="0"/>
              <w:rPr>
                <w:sz w:val="20"/>
                <w:szCs w:val="20"/>
                <w:color w:val="auto"/>
              </w:rPr>
            </w:pPr>
            <w:r>
              <w:rPr>
                <w:rFonts w:ascii="Arial" w:cs="Arial" w:eastAsia="Arial" w:hAnsi="Arial"/>
                <w:sz w:val="14"/>
                <w:szCs w:val="14"/>
                <w:b w:val="1"/>
                <w:bCs w:val="1"/>
                <w:color w:val="auto"/>
              </w:rPr>
              <w:t>Against</w:t>
            </w:r>
          </w:p>
        </w:tc>
        <w:tc>
          <w:tcPr>
            <w:tcW w:w="1940" w:type="dxa"/>
            <w:vAlign w:val="bottom"/>
          </w:tcPr>
          <w:p>
            <w:pPr>
              <w:jc w:val="right"/>
              <w:ind w:right="659"/>
              <w:spacing w:after="0"/>
              <w:rPr>
                <w:sz w:val="20"/>
                <w:szCs w:val="20"/>
                <w:color w:val="auto"/>
              </w:rPr>
            </w:pPr>
            <w:r>
              <w:rPr>
                <w:rFonts w:ascii="Arial" w:cs="Arial" w:eastAsia="Arial" w:hAnsi="Arial"/>
                <w:sz w:val="14"/>
                <w:szCs w:val="14"/>
                <w:b w:val="1"/>
                <w:bCs w:val="1"/>
                <w:color w:val="auto"/>
              </w:rPr>
              <w:t>Abstain</w:t>
            </w:r>
          </w:p>
        </w:tc>
      </w:tr>
      <w:tr>
        <w:trPr>
          <w:trHeight w:val="229"/>
        </w:trPr>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6,399,188</w:t>
            </w:r>
          </w:p>
        </w:tc>
        <w:tc>
          <w:tcPr>
            <w:tcW w:w="120" w:type="dxa"/>
            <w:vAlign w:val="bottom"/>
            <w:tcBorders>
              <w:top w:val="single" w:sz="8" w:color="CCEEFF"/>
            </w:tcBorders>
            <w:shd w:val="clear" w:color="auto" w:fill="CCEEFF"/>
          </w:tcPr>
          <w:p>
            <w:pPr>
              <w:spacing w:after="0"/>
              <w:rPr>
                <w:sz w:val="19"/>
                <w:szCs w:val="19"/>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204,163</w:t>
            </w:r>
          </w:p>
        </w:tc>
        <w:tc>
          <w:tcPr>
            <w:tcW w:w="120" w:type="dxa"/>
            <w:vAlign w:val="bottom"/>
            <w:tcBorders>
              <w:top w:val="single" w:sz="8" w:color="CCEEFF"/>
            </w:tcBorders>
            <w:shd w:val="clear" w:color="auto" w:fill="CCEEFF"/>
          </w:tcPr>
          <w:p>
            <w:pPr>
              <w:spacing w:after="0"/>
              <w:rPr>
                <w:sz w:val="19"/>
                <w:szCs w:val="19"/>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w:t>
            </w:r>
          </w:p>
        </w:tc>
      </w:tr>
    </w:tbl>
    <w:p>
      <w:pPr>
        <w:spacing w:after="0" w:line="200" w:lineRule="exact"/>
        <w:rPr>
          <w:sz w:val="20"/>
          <w:szCs w:val="20"/>
          <w:color w:val="auto"/>
        </w:rPr>
      </w:pPr>
    </w:p>
    <w:p>
      <w:pPr>
        <w:spacing w:after="0" w:line="231" w:lineRule="exact"/>
        <w:rPr>
          <w:sz w:val="20"/>
          <w:szCs w:val="20"/>
          <w:color w:val="auto"/>
        </w:rPr>
      </w:pPr>
    </w:p>
    <w:p>
      <w:pPr>
        <w:ind w:left="580" w:right="60" w:hanging="323"/>
        <w:spacing w:after="0" w:line="269"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Proposal 3</w:t>
      </w:r>
      <w:r>
        <w:rPr>
          <w:rFonts w:ascii="Arial" w:cs="Arial" w:eastAsia="Arial" w:hAnsi="Arial"/>
          <w:sz w:val="18"/>
          <w:szCs w:val="18"/>
          <w:color w:val="auto"/>
        </w:rPr>
        <w:t>: The stockholders approved the Eighth Amended and Restated Westwood Holdings Group, Inc. Stock Incentive Plan. The voting results for this Proposal 3 were as follows:</w:t>
      </w:r>
    </w:p>
    <w:tbl>
      <w:tblPr>
        <w:tblLayout w:type="fixed"/>
        <w:tblInd w:w="2080" w:type="dxa"/>
        <w:tblCellMar>
          <w:top w:w="0" w:type="dxa"/>
          <w:left w:w="0" w:type="dxa"/>
          <w:bottom w:w="0" w:type="dxa"/>
          <w:right w:w="0" w:type="dxa"/>
        </w:tblCellMar>
      </w:tblPr>
      <w:tr>
        <w:trPr>
          <w:trHeight w:val="192"/>
        </w:trPr>
        <w:tc>
          <w:tcPr>
            <w:tcW w:w="2020" w:type="dxa"/>
            <w:vAlign w:val="bottom"/>
            <w:gridSpan w:val="2"/>
          </w:tcPr>
          <w:p>
            <w:pPr>
              <w:ind w:left="820"/>
              <w:spacing w:after="0"/>
              <w:rPr>
                <w:sz w:val="20"/>
                <w:szCs w:val="20"/>
                <w:color w:val="auto"/>
              </w:rPr>
            </w:pPr>
            <w:r>
              <w:rPr>
                <w:rFonts w:ascii="Arial" w:cs="Arial" w:eastAsia="Arial" w:hAnsi="Arial"/>
                <w:sz w:val="14"/>
                <w:szCs w:val="14"/>
                <w:b w:val="1"/>
                <w:bCs w:val="1"/>
                <w:color w:val="auto"/>
              </w:rPr>
              <w:t>For</w:t>
            </w:r>
          </w:p>
        </w:tc>
        <w:tc>
          <w:tcPr>
            <w:tcW w:w="1720" w:type="dxa"/>
            <w:vAlign w:val="bottom"/>
            <w:gridSpan w:val="2"/>
          </w:tcPr>
          <w:p>
            <w:pPr>
              <w:ind w:left="560"/>
              <w:spacing w:after="0"/>
              <w:rPr>
                <w:sz w:val="20"/>
                <w:szCs w:val="20"/>
                <w:color w:val="auto"/>
              </w:rPr>
            </w:pPr>
            <w:r>
              <w:rPr>
                <w:rFonts w:ascii="Arial" w:cs="Arial" w:eastAsia="Arial" w:hAnsi="Arial"/>
                <w:sz w:val="14"/>
                <w:szCs w:val="14"/>
                <w:b w:val="1"/>
                <w:bCs w:val="1"/>
                <w:color w:val="auto"/>
              </w:rPr>
              <w:t>Against</w:t>
            </w:r>
          </w:p>
        </w:tc>
        <w:tc>
          <w:tcPr>
            <w:tcW w:w="1740" w:type="dxa"/>
            <w:vAlign w:val="bottom"/>
            <w:gridSpan w:val="2"/>
          </w:tcPr>
          <w:p>
            <w:pPr>
              <w:ind w:left="580"/>
              <w:spacing w:after="0"/>
              <w:rPr>
                <w:sz w:val="20"/>
                <w:szCs w:val="20"/>
                <w:color w:val="auto"/>
              </w:rPr>
            </w:pPr>
            <w:r>
              <w:rPr>
                <w:rFonts w:ascii="Arial" w:cs="Arial" w:eastAsia="Arial" w:hAnsi="Arial"/>
                <w:sz w:val="14"/>
                <w:szCs w:val="14"/>
                <w:b w:val="1"/>
                <w:bCs w:val="1"/>
                <w:color w:val="auto"/>
              </w:rPr>
              <w:t>Abstain</w:t>
            </w:r>
          </w:p>
        </w:tc>
        <w:tc>
          <w:tcPr>
            <w:tcW w:w="1620" w:type="dxa"/>
            <w:vAlign w:val="bottom"/>
          </w:tcPr>
          <w:p>
            <w:pPr>
              <w:jc w:val="right"/>
              <w:ind w:right="199"/>
              <w:spacing w:after="0"/>
              <w:rPr>
                <w:sz w:val="20"/>
                <w:szCs w:val="20"/>
                <w:color w:val="auto"/>
              </w:rPr>
            </w:pPr>
            <w:r>
              <w:rPr>
                <w:rFonts w:ascii="Arial" w:cs="Arial" w:eastAsia="Arial" w:hAnsi="Arial"/>
                <w:sz w:val="14"/>
                <w:szCs w:val="14"/>
                <w:b w:val="1"/>
                <w:bCs w:val="1"/>
                <w:color w:val="auto"/>
              </w:rPr>
              <w:t>Broker Non-Vote</w:t>
            </w:r>
          </w:p>
        </w:tc>
      </w:tr>
      <w:tr>
        <w:trPr>
          <w:trHeight w:val="229"/>
        </w:trPr>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5,152,947</w:t>
            </w:r>
          </w:p>
        </w:tc>
        <w:tc>
          <w:tcPr>
            <w:tcW w:w="12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691,786</w:t>
            </w:r>
          </w:p>
        </w:tc>
        <w:tc>
          <w:tcPr>
            <w:tcW w:w="12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2,493</w:t>
            </w:r>
          </w:p>
        </w:tc>
        <w:tc>
          <w:tcPr>
            <w:tcW w:w="12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756,567</w:t>
            </w:r>
          </w:p>
        </w:tc>
      </w:tr>
    </w:tbl>
    <w:p>
      <w:pPr>
        <w:spacing w:after="0" w:line="296" w:lineRule="exact"/>
        <w:rPr>
          <w:sz w:val="20"/>
          <w:szCs w:val="20"/>
          <w:color w:val="auto"/>
        </w:rPr>
      </w:pPr>
    </w:p>
    <w:p>
      <w:pPr>
        <w:ind w:left="580" w:right="600" w:hanging="329"/>
        <w:spacing w:after="0" w:line="269" w:lineRule="auto"/>
        <w:tabs>
          <w:tab w:leader="none" w:pos="511"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Proposal 4</w:t>
      </w:r>
      <w:r>
        <w:rPr>
          <w:rFonts w:ascii="Arial" w:cs="Arial" w:eastAsia="Arial" w:hAnsi="Arial"/>
          <w:sz w:val="18"/>
          <w:szCs w:val="18"/>
          <w:color w:val="auto"/>
        </w:rPr>
        <w:t>: The stockholders approved, on a non-binding, advisory basis, the Company's executive compensation. The voting results for this Proposal 4 were as follows:</w:t>
      </w:r>
    </w:p>
    <w:tbl>
      <w:tblPr>
        <w:tblLayout w:type="fixed"/>
        <w:tblInd w:w="0" w:type="dxa"/>
        <w:tblCellMar>
          <w:top w:w="0" w:type="dxa"/>
          <w:left w:w="0" w:type="dxa"/>
          <w:bottom w:w="0" w:type="dxa"/>
          <w:right w:w="0" w:type="dxa"/>
        </w:tblCellMar>
      </w:tblPr>
      <w:tr>
        <w:trPr>
          <w:trHeight w:val="192"/>
        </w:trPr>
        <w:tc>
          <w:tcPr>
            <w:tcW w:w="2080" w:type="dxa"/>
            <w:vAlign w:val="bottom"/>
          </w:tcPr>
          <w:p>
            <w:pPr>
              <w:spacing w:after="0"/>
              <w:rPr>
                <w:sz w:val="16"/>
                <w:szCs w:val="16"/>
                <w:color w:val="auto"/>
              </w:rPr>
            </w:pPr>
          </w:p>
        </w:tc>
        <w:tc>
          <w:tcPr>
            <w:tcW w:w="2020" w:type="dxa"/>
            <w:vAlign w:val="bottom"/>
            <w:gridSpan w:val="2"/>
          </w:tcPr>
          <w:p>
            <w:pPr>
              <w:ind w:left="820"/>
              <w:spacing w:after="0"/>
              <w:rPr>
                <w:sz w:val="20"/>
                <w:szCs w:val="20"/>
                <w:color w:val="auto"/>
              </w:rPr>
            </w:pPr>
            <w:r>
              <w:rPr>
                <w:rFonts w:ascii="Arial" w:cs="Arial" w:eastAsia="Arial" w:hAnsi="Arial"/>
                <w:sz w:val="14"/>
                <w:szCs w:val="14"/>
                <w:b w:val="1"/>
                <w:bCs w:val="1"/>
                <w:color w:val="auto"/>
              </w:rPr>
              <w:t>For</w:t>
            </w:r>
          </w:p>
        </w:tc>
        <w:tc>
          <w:tcPr>
            <w:tcW w:w="1720" w:type="dxa"/>
            <w:vAlign w:val="bottom"/>
            <w:gridSpan w:val="2"/>
          </w:tcPr>
          <w:p>
            <w:pPr>
              <w:ind w:left="560"/>
              <w:spacing w:after="0"/>
              <w:rPr>
                <w:sz w:val="20"/>
                <w:szCs w:val="20"/>
                <w:color w:val="auto"/>
              </w:rPr>
            </w:pPr>
            <w:r>
              <w:rPr>
                <w:rFonts w:ascii="Arial" w:cs="Arial" w:eastAsia="Arial" w:hAnsi="Arial"/>
                <w:sz w:val="14"/>
                <w:szCs w:val="14"/>
                <w:b w:val="1"/>
                <w:bCs w:val="1"/>
                <w:color w:val="auto"/>
              </w:rPr>
              <w:t>Against</w:t>
            </w:r>
          </w:p>
        </w:tc>
        <w:tc>
          <w:tcPr>
            <w:tcW w:w="1740" w:type="dxa"/>
            <w:vAlign w:val="bottom"/>
            <w:gridSpan w:val="2"/>
          </w:tcPr>
          <w:p>
            <w:pPr>
              <w:ind w:left="580"/>
              <w:spacing w:after="0"/>
              <w:rPr>
                <w:sz w:val="20"/>
                <w:szCs w:val="20"/>
                <w:color w:val="auto"/>
              </w:rPr>
            </w:pPr>
            <w:r>
              <w:rPr>
                <w:rFonts w:ascii="Arial" w:cs="Arial" w:eastAsia="Arial" w:hAnsi="Arial"/>
                <w:sz w:val="14"/>
                <w:szCs w:val="14"/>
                <w:b w:val="1"/>
                <w:bCs w:val="1"/>
                <w:color w:val="auto"/>
              </w:rPr>
              <w:t>Abstain</w:t>
            </w:r>
          </w:p>
        </w:tc>
        <w:tc>
          <w:tcPr>
            <w:tcW w:w="3680" w:type="dxa"/>
            <w:vAlign w:val="bottom"/>
            <w:gridSpan w:val="2"/>
          </w:tcPr>
          <w:p>
            <w:pPr>
              <w:ind w:left="280"/>
              <w:spacing w:after="0"/>
              <w:rPr>
                <w:sz w:val="20"/>
                <w:szCs w:val="20"/>
                <w:color w:val="auto"/>
              </w:rPr>
            </w:pPr>
            <w:r>
              <w:rPr>
                <w:rFonts w:ascii="Arial" w:cs="Arial" w:eastAsia="Arial" w:hAnsi="Arial"/>
                <w:sz w:val="14"/>
                <w:szCs w:val="14"/>
                <w:b w:val="1"/>
                <w:bCs w:val="1"/>
                <w:color w:val="auto"/>
              </w:rPr>
              <w:t>Broker Non-Vote</w:t>
            </w:r>
          </w:p>
        </w:tc>
      </w:tr>
      <w:tr>
        <w:trPr>
          <w:trHeight w:val="229"/>
        </w:trPr>
        <w:tc>
          <w:tcPr>
            <w:tcW w:w="2080" w:type="dxa"/>
            <w:vAlign w:val="bottom"/>
          </w:tcPr>
          <w:p>
            <w:pPr>
              <w:spacing w:after="0"/>
              <w:rPr>
                <w:sz w:val="19"/>
                <w:szCs w:val="19"/>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5,692,031</w:t>
            </w:r>
          </w:p>
        </w:tc>
        <w:tc>
          <w:tcPr>
            <w:tcW w:w="12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148,990</w:t>
            </w:r>
          </w:p>
        </w:tc>
        <w:tc>
          <w:tcPr>
            <w:tcW w:w="12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6,205</w:t>
            </w:r>
          </w:p>
        </w:tc>
        <w:tc>
          <w:tcPr>
            <w:tcW w:w="12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756,567</w:t>
            </w:r>
          </w:p>
        </w:tc>
        <w:tc>
          <w:tcPr>
            <w:tcW w:w="2060" w:type="dxa"/>
            <w:vAlign w:val="bottom"/>
          </w:tcPr>
          <w:p>
            <w:pPr>
              <w:spacing w:after="0"/>
              <w:rPr>
                <w:sz w:val="19"/>
                <w:szCs w:val="19"/>
                <w:color w:val="auto"/>
              </w:rPr>
            </w:pPr>
          </w:p>
        </w:tc>
      </w:tr>
      <w:tr>
        <w:trPr>
          <w:trHeight w:val="1235"/>
        </w:trPr>
        <w:tc>
          <w:tcPr>
            <w:tcW w:w="208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2" w:name="page3"/>
    <w:bookmarkEnd w:id="2"/>
    <w:p>
      <w:pPr>
        <w:jc w:val="center"/>
        <w:ind w:right="-479"/>
        <w:spacing w:after="0"/>
        <w:rPr>
          <w:sz w:val="20"/>
          <w:szCs w:val="20"/>
          <w:color w:val="auto"/>
        </w:rPr>
      </w:pPr>
      <w:r>
        <w:rPr>
          <w:rFonts w:ascii="Arial" w:cs="Arial" w:eastAsia="Arial" w:hAnsi="Arial"/>
          <w:sz w:val="18"/>
          <w:szCs w:val="18"/>
          <w:b w:val="1"/>
          <w:bCs w:val="1"/>
          <w:color w:val="auto"/>
        </w:rPr>
        <w:t>NATURES</w:t>
      </w:r>
    </w:p>
    <w:p>
      <w:pPr>
        <w:spacing w:after="0" w:line="229" w:lineRule="exact"/>
        <w:rPr>
          <w:sz w:val="20"/>
          <w:szCs w:val="20"/>
          <w:color w:val="auto"/>
        </w:rPr>
      </w:pPr>
    </w:p>
    <w:p>
      <w:pPr>
        <w:ind w:right="40"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2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680" w:type="dxa"/>
            <w:vAlign w:val="bottom"/>
          </w:tcPr>
          <w:p>
            <w:pPr>
              <w:spacing w:after="0"/>
              <w:rPr>
                <w:sz w:val="20"/>
                <w:szCs w:val="20"/>
                <w:color w:val="auto"/>
              </w:rPr>
            </w:pPr>
          </w:p>
        </w:tc>
        <w:tc>
          <w:tcPr>
            <w:tcW w:w="4060" w:type="dxa"/>
            <w:vAlign w:val="bottom"/>
          </w:tcPr>
          <w:p>
            <w:pPr>
              <w:ind w:left="20"/>
              <w:spacing w:after="0"/>
              <w:rPr>
                <w:sz w:val="20"/>
                <w:szCs w:val="20"/>
                <w:color w:val="auto"/>
              </w:rPr>
            </w:pPr>
            <w:r>
              <w:rPr>
                <w:rFonts w:ascii="Arial" w:cs="Arial" w:eastAsia="Arial" w:hAnsi="Arial"/>
                <w:sz w:val="18"/>
                <w:szCs w:val="18"/>
                <w:color w:val="auto"/>
              </w:rPr>
              <w:t>WESTWOOD HOLDINGS GROUP, INC.</w:t>
            </w:r>
          </w:p>
        </w:tc>
      </w:tr>
      <w:tr>
        <w:trPr>
          <w:trHeight w:val="499"/>
        </w:trPr>
        <w:tc>
          <w:tcPr>
            <w:tcW w:w="6680" w:type="dxa"/>
            <w:vAlign w:val="bottom"/>
          </w:tcPr>
          <w:p>
            <w:pPr>
              <w:spacing w:after="0"/>
              <w:rPr>
                <w:sz w:val="20"/>
                <w:szCs w:val="20"/>
                <w:color w:val="auto"/>
              </w:rPr>
            </w:pPr>
            <w:r>
              <w:rPr>
                <w:rFonts w:ascii="Arial" w:cs="Arial" w:eastAsia="Arial" w:hAnsi="Arial"/>
                <w:sz w:val="18"/>
                <w:szCs w:val="18"/>
                <w:color w:val="auto"/>
              </w:rPr>
              <w:t>Date: April 29, 2021</w:t>
            </w:r>
          </w:p>
        </w:tc>
        <w:tc>
          <w:tcPr>
            <w:tcW w:w="4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Brian O. Casey</w:t>
            </w:r>
          </w:p>
        </w:tc>
      </w:tr>
      <w:tr>
        <w:trPr>
          <w:trHeight w:val="222"/>
        </w:trPr>
        <w:tc>
          <w:tcPr>
            <w:tcW w:w="6680" w:type="dxa"/>
            <w:vAlign w:val="bottom"/>
          </w:tcPr>
          <w:p>
            <w:pPr>
              <w:spacing w:after="0"/>
              <w:rPr>
                <w:sz w:val="19"/>
                <w:szCs w:val="19"/>
                <w:color w:val="auto"/>
              </w:rPr>
            </w:pPr>
          </w:p>
        </w:tc>
        <w:tc>
          <w:tcPr>
            <w:tcW w:w="4060" w:type="dxa"/>
            <w:vAlign w:val="bottom"/>
          </w:tcPr>
          <w:p>
            <w:pPr>
              <w:ind w:left="20"/>
              <w:spacing w:after="0"/>
              <w:rPr>
                <w:sz w:val="20"/>
                <w:szCs w:val="20"/>
                <w:color w:val="auto"/>
              </w:rPr>
            </w:pPr>
            <w:r>
              <w:rPr>
                <w:rFonts w:ascii="Arial" w:cs="Arial" w:eastAsia="Arial" w:hAnsi="Arial"/>
                <w:sz w:val="18"/>
                <w:szCs w:val="18"/>
                <w:color w:val="auto"/>
              </w:rPr>
              <w:t>Brian O. Casey</w:t>
            </w:r>
          </w:p>
        </w:tc>
      </w:tr>
      <w:tr>
        <w:trPr>
          <w:trHeight w:val="230"/>
        </w:trPr>
        <w:tc>
          <w:tcPr>
            <w:tcW w:w="6680" w:type="dxa"/>
            <w:vAlign w:val="bottom"/>
          </w:tcPr>
          <w:p>
            <w:pPr>
              <w:spacing w:after="0"/>
              <w:rPr>
                <w:sz w:val="20"/>
                <w:szCs w:val="20"/>
                <w:color w:val="auto"/>
              </w:rPr>
            </w:pPr>
          </w:p>
        </w:tc>
        <w:tc>
          <w:tcPr>
            <w:tcW w:w="406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bl>
    <w:p>
      <w:pPr>
        <w:spacing w:after="0" w:line="1" w:lineRule="exact"/>
        <w:rPr>
          <w:sz w:val="20"/>
          <w:szCs w:val="20"/>
          <w:color w:val="auto"/>
        </w:rPr>
      </w:pPr>
    </w:p>
    <w:sectPr>
      <w:pgSz w:w="11900" w:h="16838" w:orient="portrait"/>
      <w:cols w:equalWidth="0" w:num="1">
        <w:col w:w="10760"/>
      </w:cols>
      <w:pgMar w:left="320" w:top="891" w:right="8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2"/>
    </w:lvl>
  </w:abstractNum>
  <w:abstractNum w:abstractNumId="4">
    <w:nsid w:val="46E87CCD"/>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2021-04-30T18:23:31Z</dcterms:created>
  <dcterms:modified xsi:type="dcterms:W3CDTF">2021-04-30T18:23:31Z</dcterms:modified>
</cp:coreProperties>
</file>