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1"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13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26" w:lineRule="exact"/>
        <w:rPr>
          <w:sz w:val="24"/>
          <w:szCs w:val="24"/>
          <w:color w:val="auto"/>
        </w:rPr>
      </w:pPr>
    </w:p>
    <w:p>
      <w:pPr>
        <w:ind w:left="480" w:hanging="342"/>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35" w:lineRule="exact"/>
        <w:rPr>
          <w:sz w:val="24"/>
          <w:szCs w:val="24"/>
          <w:color w:val="auto"/>
        </w:rPr>
      </w:pPr>
    </w:p>
    <w:p>
      <w:pPr>
        <w:ind w:left="480" w:hanging="329"/>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36"/>
        </w:trPr>
        <w:tc>
          <w:tcPr>
            <w:tcW w:w="3080" w:type="dxa"/>
            <w:vAlign w:val="bottom"/>
            <w:gridSpan w:val="3"/>
          </w:tcPr>
          <w:p>
            <w:pPr>
              <w:ind w:left="580"/>
              <w:spacing w:after="0"/>
              <w:rPr>
                <w:sz w:val="20"/>
                <w:szCs w:val="20"/>
                <w:color w:val="auto"/>
              </w:rPr>
            </w:pPr>
            <w:r>
              <w:rPr>
                <w:rFonts w:ascii="Arial" w:cs="Arial" w:eastAsia="Arial" w:hAnsi="Arial"/>
                <w:sz w:val="18"/>
                <w:szCs w:val="18"/>
                <w:b w:val="1"/>
                <w:bCs w:val="1"/>
                <w:color w:val="auto"/>
                <w:w w:val="88"/>
              </w:rPr>
              <w:t>Commission file number 1-31234</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35"/>
          <w:szCs w:val="35"/>
          <w:b w:val="1"/>
          <w:bCs w:val="1"/>
          <w:color w:val="auto"/>
        </w:rPr>
        <w:t>WESTWOOD HOLDINGS GROUP,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38" w:lineRule="exact"/>
        <w:rPr>
          <w:sz w:val="24"/>
          <w:szCs w:val="24"/>
          <w:color w:val="auto"/>
        </w:rPr>
      </w:pPr>
    </w:p>
    <w:tbl>
      <w:tblPr>
        <w:tblLayout w:type="fixed"/>
        <w:tblInd w:w="480" w:type="dxa"/>
        <w:tblCellMar>
          <w:top w:w="0" w:type="dxa"/>
          <w:left w:w="0" w:type="dxa"/>
          <w:bottom w:w="0" w:type="dxa"/>
          <w:right w:w="0" w:type="dxa"/>
        </w:tblCellMar>
      </w:tblPr>
      <w:tr>
        <w:trPr>
          <w:trHeight w:val="224"/>
        </w:trPr>
        <w:tc>
          <w:tcPr>
            <w:tcW w:w="3500" w:type="dxa"/>
            <w:vAlign w:val="bottom"/>
          </w:tcPr>
          <w:p>
            <w:pPr>
              <w:jc w:val="center"/>
              <w:ind w:right="79"/>
              <w:spacing w:after="0"/>
              <w:rPr>
                <w:sz w:val="20"/>
                <w:szCs w:val="20"/>
                <w:color w:val="auto"/>
              </w:rPr>
            </w:pPr>
            <w:r>
              <w:rPr>
                <w:rFonts w:ascii="Arial" w:cs="Arial" w:eastAsia="Arial" w:hAnsi="Arial"/>
                <w:sz w:val="18"/>
                <w:szCs w:val="18"/>
                <w:b w:val="1"/>
                <w:bCs w:val="1"/>
                <w:color w:val="auto"/>
                <w:w w:val="88"/>
              </w:rPr>
              <w:t>Delaware</w:t>
            </w:r>
          </w:p>
        </w:tc>
        <w:tc>
          <w:tcPr>
            <w:tcW w:w="6080" w:type="dxa"/>
            <w:vAlign w:val="bottom"/>
          </w:tcPr>
          <w:p>
            <w:pPr>
              <w:jc w:val="right"/>
              <w:ind w:right="481"/>
              <w:spacing w:after="0"/>
              <w:rPr>
                <w:sz w:val="20"/>
                <w:szCs w:val="20"/>
                <w:color w:val="auto"/>
              </w:rPr>
            </w:pPr>
            <w:r>
              <w:rPr>
                <w:rFonts w:ascii="Arial" w:cs="Arial" w:eastAsia="Arial" w:hAnsi="Arial"/>
                <w:sz w:val="18"/>
                <w:szCs w:val="18"/>
                <w:b w:val="1"/>
                <w:bCs w:val="1"/>
                <w:color w:val="auto"/>
              </w:rPr>
              <w:t>75-2969997</w:t>
            </w:r>
          </w:p>
        </w:tc>
      </w:tr>
      <w:tr>
        <w:trPr>
          <w:trHeight w:val="179"/>
        </w:trPr>
        <w:tc>
          <w:tcPr>
            <w:tcW w:w="3500" w:type="dxa"/>
            <w:vAlign w:val="bottom"/>
          </w:tcPr>
          <w:p>
            <w:pPr>
              <w:jc w:val="center"/>
              <w:ind w:right="59"/>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6080" w:type="dxa"/>
            <w:vAlign w:val="bottom"/>
          </w:tcPr>
          <w:p>
            <w:pPr>
              <w:jc w:val="center"/>
              <w:ind w:left="4061"/>
              <w:spacing w:after="0"/>
              <w:rPr>
                <w:sz w:val="20"/>
                <w:szCs w:val="20"/>
                <w:color w:val="auto"/>
              </w:rPr>
            </w:pPr>
            <w:r>
              <w:rPr>
                <w:rFonts w:ascii="Arial" w:cs="Arial" w:eastAsia="Arial" w:hAnsi="Arial"/>
                <w:sz w:val="14"/>
                <w:szCs w:val="14"/>
                <w:color w:val="auto"/>
                <w:w w:val="95"/>
              </w:rPr>
              <w:t>(IRS Employer Identification No.)</w:t>
            </w:r>
          </w:p>
        </w:tc>
      </w:tr>
      <w:tr>
        <w:trPr>
          <w:trHeight w:val="428"/>
        </w:trPr>
        <w:tc>
          <w:tcPr>
            <w:tcW w:w="3500" w:type="dxa"/>
            <w:vAlign w:val="bottom"/>
          </w:tcPr>
          <w:p>
            <w:pPr>
              <w:jc w:val="center"/>
              <w:ind w:right="79"/>
              <w:spacing w:after="0"/>
              <w:rPr>
                <w:sz w:val="20"/>
                <w:szCs w:val="20"/>
                <w:color w:val="auto"/>
              </w:rPr>
            </w:pPr>
            <w:r>
              <w:rPr>
                <w:rFonts w:ascii="Arial" w:cs="Arial" w:eastAsia="Arial" w:hAnsi="Arial"/>
                <w:sz w:val="18"/>
                <w:szCs w:val="18"/>
                <w:b w:val="1"/>
                <w:bCs w:val="1"/>
                <w:color w:val="auto"/>
                <w:w w:val="94"/>
              </w:rPr>
              <w:t>200 CRESCENT COURT, SUITE 1200</w:t>
            </w:r>
          </w:p>
        </w:tc>
        <w:tc>
          <w:tcPr>
            <w:tcW w:w="6080" w:type="dxa"/>
            <w:vAlign w:val="bottom"/>
          </w:tcPr>
          <w:p>
            <w:pPr>
              <w:spacing w:after="0"/>
              <w:rPr>
                <w:sz w:val="24"/>
                <w:szCs w:val="24"/>
                <w:color w:val="auto"/>
              </w:rPr>
            </w:pPr>
          </w:p>
        </w:tc>
      </w:tr>
      <w:tr>
        <w:trPr>
          <w:trHeight w:val="224"/>
        </w:trPr>
        <w:tc>
          <w:tcPr>
            <w:tcW w:w="3500" w:type="dxa"/>
            <w:vAlign w:val="bottom"/>
          </w:tcPr>
          <w:p>
            <w:pPr>
              <w:ind w:left="880"/>
              <w:spacing w:after="0"/>
              <w:rPr>
                <w:sz w:val="20"/>
                <w:szCs w:val="20"/>
                <w:color w:val="auto"/>
              </w:rPr>
            </w:pPr>
            <w:r>
              <w:rPr>
                <w:rFonts w:ascii="Arial" w:cs="Arial" w:eastAsia="Arial" w:hAnsi="Arial"/>
                <w:sz w:val="18"/>
                <w:szCs w:val="18"/>
                <w:b w:val="1"/>
                <w:bCs w:val="1"/>
                <w:color w:val="auto"/>
              </w:rPr>
              <w:t>DALLAS, Texas</w:t>
            </w:r>
          </w:p>
        </w:tc>
        <w:tc>
          <w:tcPr>
            <w:tcW w:w="6080" w:type="dxa"/>
            <w:vAlign w:val="bottom"/>
          </w:tcPr>
          <w:p>
            <w:pPr>
              <w:jc w:val="right"/>
              <w:ind w:right="681"/>
              <w:spacing w:after="0"/>
              <w:rPr>
                <w:sz w:val="20"/>
                <w:szCs w:val="20"/>
                <w:color w:val="auto"/>
              </w:rPr>
            </w:pPr>
            <w:r>
              <w:rPr>
                <w:rFonts w:ascii="Arial" w:cs="Arial" w:eastAsia="Arial" w:hAnsi="Arial"/>
                <w:sz w:val="18"/>
                <w:szCs w:val="18"/>
                <w:b w:val="1"/>
                <w:bCs w:val="1"/>
                <w:color w:val="auto"/>
              </w:rPr>
              <w:t>75201</w:t>
            </w:r>
          </w:p>
        </w:tc>
      </w:tr>
      <w:tr>
        <w:trPr>
          <w:trHeight w:val="179"/>
        </w:trPr>
        <w:tc>
          <w:tcPr>
            <w:tcW w:w="3500" w:type="dxa"/>
            <w:vAlign w:val="bottom"/>
          </w:tcPr>
          <w:p>
            <w:pPr>
              <w:jc w:val="center"/>
              <w:ind w:right="79"/>
              <w:spacing w:after="0"/>
              <w:rPr>
                <w:sz w:val="20"/>
                <w:szCs w:val="20"/>
                <w:color w:val="auto"/>
              </w:rPr>
            </w:pPr>
            <w:r>
              <w:rPr>
                <w:rFonts w:ascii="Arial" w:cs="Arial" w:eastAsia="Arial" w:hAnsi="Arial"/>
                <w:sz w:val="14"/>
                <w:szCs w:val="14"/>
                <w:color w:val="auto"/>
                <w:w w:val="93"/>
              </w:rPr>
              <w:t>(Address of principal executive office)</w:t>
            </w:r>
          </w:p>
        </w:tc>
        <w:tc>
          <w:tcPr>
            <w:tcW w:w="6080" w:type="dxa"/>
            <w:vAlign w:val="bottom"/>
          </w:tcPr>
          <w:p>
            <w:pPr>
              <w:jc w:val="center"/>
              <w:ind w:left="4061"/>
              <w:spacing w:after="0"/>
              <w:rPr>
                <w:sz w:val="20"/>
                <w:szCs w:val="20"/>
                <w:color w:val="auto"/>
              </w:rPr>
            </w:pPr>
            <w:r>
              <w:rPr>
                <w:rFonts w:ascii="Arial" w:cs="Arial" w:eastAsia="Arial" w:hAnsi="Arial"/>
                <w:sz w:val="14"/>
                <w:szCs w:val="14"/>
                <w:color w:val="auto"/>
                <w:w w:val="93"/>
              </w:rPr>
              <w:t>(Zip Code)</w:t>
            </w:r>
          </w:p>
        </w:tc>
      </w:tr>
      <w:tr>
        <w:trPr>
          <w:trHeight w:val="349"/>
        </w:trPr>
        <w:tc>
          <w:tcPr>
            <w:tcW w:w="3500" w:type="dxa"/>
            <w:vAlign w:val="bottom"/>
          </w:tcPr>
          <w:p>
            <w:pPr>
              <w:spacing w:after="0"/>
              <w:rPr>
                <w:sz w:val="24"/>
                <w:szCs w:val="24"/>
                <w:color w:val="auto"/>
              </w:rPr>
            </w:pPr>
          </w:p>
        </w:tc>
        <w:tc>
          <w:tcPr>
            <w:tcW w:w="6080" w:type="dxa"/>
            <w:vAlign w:val="bottom"/>
          </w:tcPr>
          <w:p>
            <w:pPr>
              <w:jc w:val="right"/>
              <w:ind w:right="3801"/>
              <w:spacing w:after="0"/>
              <w:rPr>
                <w:sz w:val="20"/>
                <w:szCs w:val="20"/>
                <w:color w:val="auto"/>
              </w:rPr>
            </w:pPr>
            <w:r>
              <w:rPr>
                <w:rFonts w:ascii="Arial" w:cs="Arial" w:eastAsia="Arial" w:hAnsi="Arial"/>
                <w:sz w:val="18"/>
                <w:szCs w:val="18"/>
                <w:b w:val="1"/>
                <w:bCs w:val="1"/>
                <w:color w:val="auto"/>
              </w:rPr>
              <w:t>(214) 756-6900</w:t>
            </w:r>
          </w:p>
        </w:tc>
      </w:tr>
      <w:tr>
        <w:trPr>
          <w:trHeight w:val="179"/>
        </w:trPr>
        <w:tc>
          <w:tcPr>
            <w:tcW w:w="3500" w:type="dxa"/>
            <w:vAlign w:val="bottom"/>
          </w:tcPr>
          <w:p>
            <w:pPr>
              <w:spacing w:after="0"/>
              <w:rPr>
                <w:sz w:val="15"/>
                <w:szCs w:val="15"/>
                <w:color w:val="auto"/>
              </w:rPr>
            </w:pPr>
          </w:p>
        </w:tc>
        <w:tc>
          <w:tcPr>
            <w:tcW w:w="6080" w:type="dxa"/>
            <w:vAlign w:val="bottom"/>
          </w:tcPr>
          <w:p>
            <w:pPr>
              <w:jc w:val="center"/>
              <w:ind w:right="2701"/>
              <w:spacing w:after="0"/>
              <w:rPr>
                <w:sz w:val="20"/>
                <w:szCs w:val="20"/>
                <w:color w:val="auto"/>
              </w:rPr>
            </w:pPr>
            <w:r>
              <w:rPr>
                <w:rFonts w:ascii="Arial" w:cs="Arial" w:eastAsia="Arial" w:hAnsi="Arial"/>
                <w:sz w:val="14"/>
                <w:szCs w:val="14"/>
                <w:color w:val="auto"/>
                <w:w w:val="90"/>
              </w:rPr>
              <w:t>(Registrant’s telephone number, including area code)</w:t>
            </w:r>
          </w:p>
        </w:tc>
      </w:tr>
    </w:tbl>
    <w:p>
      <w:pPr>
        <w:ind w:left="122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w:t>
      </w:r>
    </w:p>
    <w:p>
      <w:pPr>
        <w:spacing w:after="0" w:line="4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4" w:lineRule="exact"/>
        <w:rPr>
          <w:sz w:val="24"/>
          <w:szCs w:val="24"/>
          <w:color w:val="auto"/>
        </w:rPr>
      </w:pPr>
    </w:p>
    <w:tbl>
      <w:tblPr>
        <w:tblLayout w:type="fixed"/>
        <w:tblInd w:w="900" w:type="dxa"/>
        <w:tblCellMar>
          <w:top w:w="0" w:type="dxa"/>
          <w:left w:w="0" w:type="dxa"/>
          <w:bottom w:w="0" w:type="dxa"/>
          <w:right w:w="0" w:type="dxa"/>
        </w:tblCellMar>
      </w:tblPr>
      <w:tr>
        <w:trPr>
          <w:trHeight w:val="179"/>
        </w:trPr>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40" w:type="dxa"/>
            <w:vAlign w:val="bottom"/>
            <w:gridSpan w:val="3"/>
          </w:tcPr>
          <w:p>
            <w:pPr>
              <w:jc w:val="center"/>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69"/>
        </w:trPr>
        <w:tc>
          <w:tcPr>
            <w:tcW w:w="640" w:type="dxa"/>
            <w:vAlign w:val="bottom"/>
          </w:tcPr>
          <w:p>
            <w:pPr>
              <w:spacing w:after="0"/>
              <w:rPr>
                <w:sz w:val="14"/>
                <w:szCs w:val="14"/>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4"/>
                <w:szCs w:val="14"/>
                <w:color w:val="auto"/>
                <w:w w:val="90"/>
              </w:rPr>
              <w:t>Title of Each Class</w:t>
            </w:r>
          </w:p>
        </w:tc>
        <w:tc>
          <w:tcPr>
            <w:tcW w:w="3940" w:type="dxa"/>
            <w:vAlign w:val="bottom"/>
            <w:gridSpan w:val="3"/>
          </w:tcPr>
          <w:p>
            <w:pPr>
              <w:jc w:val="center"/>
              <w:spacing w:after="0"/>
              <w:rPr>
                <w:sz w:val="20"/>
                <w:szCs w:val="20"/>
                <w:color w:val="auto"/>
              </w:rPr>
            </w:pPr>
            <w:r>
              <w:rPr>
                <w:rFonts w:ascii="Arial" w:cs="Arial" w:eastAsia="Arial" w:hAnsi="Arial"/>
                <w:sz w:val="14"/>
                <w:szCs w:val="14"/>
                <w:color w:val="auto"/>
                <w:w w:val="93"/>
              </w:rPr>
              <w:t>Trading Symbol</w:t>
            </w:r>
          </w:p>
        </w:tc>
        <w:tc>
          <w:tcPr>
            <w:tcW w:w="2920" w:type="dxa"/>
            <w:vAlign w:val="bottom"/>
            <w:gridSpan w:val="2"/>
          </w:tcPr>
          <w:p>
            <w:pPr>
              <w:jc w:val="center"/>
              <w:ind w:left="230"/>
              <w:spacing w:after="0"/>
              <w:rPr>
                <w:sz w:val="20"/>
                <w:szCs w:val="20"/>
                <w:color w:val="auto"/>
              </w:rPr>
            </w:pPr>
            <w:r>
              <w:rPr>
                <w:rFonts w:ascii="Arial" w:cs="Arial" w:eastAsia="Arial" w:hAnsi="Arial"/>
                <w:sz w:val="14"/>
                <w:szCs w:val="14"/>
                <w:color w:val="auto"/>
                <w:w w:val="90"/>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4"/>
        </w:trPr>
        <w:tc>
          <w:tcPr>
            <w:tcW w:w="2720" w:type="dxa"/>
            <w:vAlign w:val="bottom"/>
            <w:gridSpan w:val="3"/>
          </w:tcPr>
          <w:p>
            <w:pPr>
              <w:jc w:val="center"/>
              <w:ind w:right="380"/>
              <w:spacing w:after="0"/>
              <w:rPr>
                <w:sz w:val="20"/>
                <w:szCs w:val="20"/>
                <w:color w:val="auto"/>
              </w:rPr>
            </w:pPr>
            <w:r>
              <w:rPr>
                <w:rFonts w:ascii="Arial" w:cs="Arial" w:eastAsia="Arial" w:hAnsi="Arial"/>
                <w:sz w:val="14"/>
                <w:szCs w:val="14"/>
                <w:color w:val="auto"/>
                <w:w w:val="89"/>
              </w:rPr>
              <w:t>Common stock, par value $0.01 per share</w:t>
            </w:r>
          </w:p>
        </w:tc>
        <w:tc>
          <w:tcPr>
            <w:tcW w:w="1540" w:type="dxa"/>
            <w:vAlign w:val="bottom"/>
          </w:tcPr>
          <w:p>
            <w:pPr>
              <w:spacing w:after="0"/>
              <w:rPr>
                <w:sz w:val="16"/>
                <w:szCs w:val="16"/>
                <w:color w:val="auto"/>
              </w:rPr>
            </w:pPr>
          </w:p>
        </w:tc>
        <w:tc>
          <w:tcPr>
            <w:tcW w:w="2400" w:type="dxa"/>
            <w:vAlign w:val="bottom"/>
            <w:gridSpan w:val="2"/>
          </w:tcPr>
          <w:p>
            <w:pPr>
              <w:jc w:val="center"/>
              <w:ind w:right="1500"/>
              <w:spacing w:after="0"/>
              <w:rPr>
                <w:sz w:val="20"/>
                <w:szCs w:val="20"/>
                <w:color w:val="auto"/>
              </w:rPr>
            </w:pPr>
            <w:r>
              <w:rPr>
                <w:rFonts w:ascii="Arial" w:cs="Arial" w:eastAsia="Arial" w:hAnsi="Arial"/>
                <w:sz w:val="14"/>
                <w:szCs w:val="14"/>
                <w:color w:val="auto"/>
                <w:w w:val="99"/>
              </w:rPr>
              <w:t>WHG</w:t>
            </w:r>
          </w:p>
        </w:tc>
        <w:tc>
          <w:tcPr>
            <w:tcW w:w="3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12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1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8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1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4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740"/>
        <w:spacing w:after="0" w:line="20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$0.01 per share, outstanding as of July 20, 2021: 8,329,616.</w:t>
      </w:r>
    </w:p>
    <w:p>
      <w:pPr>
        <w:spacing w:after="0" w:line="1"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774700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946"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PART I</w:t>
            </w:r>
          </w:p>
        </w:tc>
        <w:tc>
          <w:tcPr>
            <w:tcW w:w="878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320" w:type="dxa"/>
            <w:vAlign w:val="bottom"/>
          </w:tcPr>
          <w:p>
            <w:pPr>
              <w:jc w:val="right"/>
              <w:ind w:right="461"/>
              <w:spacing w:after="0"/>
              <w:rPr>
                <w:sz w:val="20"/>
                <w:szCs w:val="20"/>
                <w:color w:val="auto"/>
              </w:rPr>
            </w:pPr>
            <w:r>
              <w:rPr>
                <w:rFonts w:ascii="Arial" w:cs="Arial" w:eastAsia="Arial" w:hAnsi="Arial"/>
                <w:sz w:val="16"/>
                <w:szCs w:val="16"/>
                <w:color w:val="auto"/>
              </w:rPr>
              <w:t>PAGE</w:t>
            </w:r>
          </w:p>
        </w:tc>
      </w:tr>
      <w:tr>
        <w:trPr>
          <w:trHeight w:val="317"/>
        </w:trPr>
        <w:tc>
          <w:tcPr>
            <w:tcW w:w="1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78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320" w:type="dxa"/>
            <w:vAlign w:val="bottom"/>
          </w:tcPr>
          <w:p>
            <w:pPr>
              <w:spacing w:after="0"/>
              <w:rPr>
                <w:sz w:val="24"/>
                <w:szCs w:val="24"/>
                <w:color w:val="auto"/>
              </w:rPr>
            </w:pPr>
          </w:p>
        </w:tc>
      </w:tr>
      <w:tr>
        <w:trPr>
          <w:trHeight w:val="284"/>
        </w:trPr>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8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June 30, 2021 and December 31, 2020</w:t>
              </w:r>
            </w:hyperlink>
          </w:p>
        </w:tc>
        <w:tc>
          <w:tcPr>
            <w:tcW w:w="1320" w:type="dxa"/>
            <w:vAlign w:val="bottom"/>
          </w:tcPr>
          <w:p>
            <w:pPr>
              <w:jc w:val="right"/>
              <w:ind w:right="301"/>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80" w:type="dxa"/>
            <w:vAlign w:val="bottom"/>
            <w:gridSpan w:val="14"/>
          </w:tcPr>
          <w:p>
            <w:pPr>
              <w:spacing w:after="0"/>
              <w:rPr>
                <w:rFonts w:ascii="Arial" w:cs="Arial" w:eastAsia="Arial" w:hAnsi="Arial"/>
                <w:sz w:val="16"/>
                <w:szCs w:val="16"/>
                <w:color w:val="0000FF"/>
                <w:w w:val="92"/>
              </w:rPr>
            </w:pPr>
            <w:hyperlink w:anchor="page3">
              <w:r>
                <w:rPr>
                  <w:rFonts w:ascii="Arial" w:cs="Arial" w:eastAsia="Arial" w:hAnsi="Arial"/>
                  <w:sz w:val="16"/>
                  <w:szCs w:val="16"/>
                  <w:color w:val="0000FF"/>
                  <w:w w:val="92"/>
                </w:rPr>
                <w:t>Condensed Consolidated Statements of Comprehensive Income (Loss) for the Three and Six Months Ended June 30, 2021 and 2020</w:t>
              </w:r>
            </w:hyperlink>
          </w:p>
        </w:tc>
        <w:tc>
          <w:tcPr>
            <w:tcW w:w="1320" w:type="dxa"/>
            <w:vAlign w:val="bottom"/>
          </w:tcPr>
          <w:p>
            <w:pPr>
              <w:jc w:val="right"/>
              <w:ind w:right="301"/>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44"/>
        </w:trPr>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2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Condensed Consolidated Statement of Stockholders’ Equity for the Three and Six Months Ended June 30, 2021 and 2020</w:t>
              </w:r>
            </w:hyperlink>
          </w:p>
        </w:tc>
        <w:tc>
          <w:tcPr>
            <w:tcW w:w="66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44"/>
        </w:trPr>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80" w:type="dxa"/>
            <w:vAlign w:val="bottom"/>
            <w:gridSpan w:val="14"/>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Cash Flows for the Six Months Ended June 30, 2021 and 2020</w:t>
              </w:r>
            </w:hyperlink>
          </w:p>
        </w:tc>
        <w:tc>
          <w:tcPr>
            <w:tcW w:w="1320" w:type="dxa"/>
            <w:vAlign w:val="bottom"/>
          </w:tcPr>
          <w:p>
            <w:pPr>
              <w:jc w:val="right"/>
              <w:ind w:right="301"/>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44"/>
        </w:trPr>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00" w:type="dxa"/>
            <w:vAlign w:val="bottom"/>
            <w:tcBorders>
              <w:top w:val="single" w:sz="8" w:color="0000FF"/>
            </w:tcBorders>
            <w:gridSpan w:val="1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2280" w:type="dxa"/>
            <w:vAlign w:val="bottom"/>
            <w:gridSpan w:val="3"/>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7">
              <w:r>
                <w:rPr>
                  <w:rFonts w:ascii="Arial" w:cs="Arial" w:eastAsia="Arial" w:hAnsi="Arial"/>
                  <w:sz w:val="16"/>
                  <w:szCs w:val="16"/>
                  <w:color w:val="0000FF"/>
                </w:rPr>
                <w:t>6</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17">
              <w:r>
                <w:rPr>
                  <w:rFonts w:ascii="Arial" w:cs="Arial" w:eastAsia="Arial" w:hAnsi="Arial"/>
                  <w:sz w:val="16"/>
                  <w:szCs w:val="16"/>
                  <w:color w:val="0000FF"/>
                  <w:w w:val="90"/>
                </w:rPr>
                <w:t>Management’s Discussion and Analysis of Financial Condition and Results of Operations</w:t>
              </w:r>
            </w:hyperlink>
          </w:p>
        </w:tc>
        <w:tc>
          <w:tcPr>
            <w:tcW w:w="3080" w:type="dxa"/>
            <w:vAlign w:val="bottom"/>
            <w:gridSpan w:val="4"/>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860" w:type="dxa"/>
            <w:vAlign w:val="bottom"/>
            <w:tcBorders>
              <w:bottom w:val="single" w:sz="8" w:color="0000FF"/>
            </w:tcBorders>
            <w:gridSpan w:val="8"/>
          </w:tcPr>
          <w:p>
            <w:pPr>
              <w:spacing w:after="0"/>
              <w:rPr>
                <w:rFonts w:ascii="Arial" w:cs="Arial" w:eastAsia="Arial" w:hAnsi="Arial"/>
                <w:sz w:val="16"/>
                <w:szCs w:val="16"/>
                <w:color w:val="0000FF"/>
                <w:w w:val="91"/>
              </w:rPr>
            </w:pPr>
            <w:hyperlink w:anchor="page27">
              <w:r>
                <w:rPr>
                  <w:rFonts w:ascii="Arial" w:cs="Arial" w:eastAsia="Arial" w:hAnsi="Arial"/>
                  <w:sz w:val="16"/>
                  <w:szCs w:val="16"/>
                  <w:color w:val="0000FF"/>
                  <w:w w:val="91"/>
                </w:rPr>
                <w:t>Quantitative and Qualitative Disclosures About Market Risk</w:t>
              </w:r>
            </w:hyperlink>
          </w:p>
        </w:tc>
        <w:tc>
          <w:tcPr>
            <w:tcW w:w="4920" w:type="dxa"/>
            <w:vAlign w:val="bottom"/>
            <w:gridSpan w:val="6"/>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27">
              <w:r>
                <w:rPr>
                  <w:rFonts w:ascii="Arial" w:cs="Arial" w:eastAsia="Arial" w:hAnsi="Arial"/>
                  <w:sz w:val="16"/>
                  <w:szCs w:val="16"/>
                  <w:color w:val="0000FF"/>
                </w:rPr>
                <w:t>24</w:t>
              </w:r>
            </w:hyperlink>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780" w:type="dxa"/>
            <w:vAlign w:val="bottom"/>
            <w:gridSpan w:val="14"/>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Controls and Procedures</w:t>
              </w:r>
            </w:hyperlink>
          </w:p>
        </w:tc>
        <w:tc>
          <w:tcPr>
            <w:tcW w:w="1320" w:type="dxa"/>
            <w:vAlign w:val="bottom"/>
          </w:tcPr>
          <w:p>
            <w:pPr>
              <w:jc w:val="right"/>
              <w:ind w:right="301"/>
              <w:spacing w:after="0"/>
              <w:rPr>
                <w:rFonts w:ascii="Arial" w:cs="Arial" w:eastAsia="Arial" w:hAnsi="Arial"/>
                <w:sz w:val="16"/>
                <w:szCs w:val="16"/>
                <w:color w:val="0000FF"/>
              </w:rPr>
            </w:pPr>
            <w:hyperlink w:anchor="page27">
              <w:r>
                <w:rPr>
                  <w:rFonts w:ascii="Arial" w:cs="Arial" w:eastAsia="Arial" w:hAnsi="Arial"/>
                  <w:sz w:val="16"/>
                  <w:szCs w:val="16"/>
                  <w:color w:val="0000FF"/>
                </w:rPr>
                <w:t>24</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8780" w:type="dxa"/>
            <w:vAlign w:val="bottom"/>
            <w:gridSpan w:val="14"/>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OTHER INFORMATION</w:t>
              </w:r>
            </w:hyperlink>
          </w:p>
        </w:tc>
        <w:tc>
          <w:tcPr>
            <w:tcW w:w="1320" w:type="dxa"/>
            <w:vAlign w:val="bottom"/>
          </w:tcPr>
          <w:p>
            <w:pPr>
              <w:jc w:val="right"/>
              <w:ind w:right="301"/>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660" w:type="dxa"/>
            <w:vAlign w:val="bottom"/>
            <w:tcBorders>
              <w:top w:val="single" w:sz="8" w:color="0000FF"/>
            </w:tcBorders>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Legal Proceedings</w:t>
              </w:r>
            </w:hyperlink>
          </w:p>
        </w:tc>
        <w:tc>
          <w:tcPr>
            <w:tcW w:w="7120" w:type="dxa"/>
            <w:vAlign w:val="bottom"/>
            <w:gridSpan w:val="9"/>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1180" w:type="dxa"/>
            <w:vAlign w:val="bottom"/>
            <w:tcBorders>
              <w:top w:val="single" w:sz="8" w:color="0000FF"/>
            </w:tcBorders>
            <w:gridSpan w:val="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Risk Factors</w:t>
              </w:r>
            </w:hyperlink>
          </w:p>
        </w:tc>
        <w:tc>
          <w:tcPr>
            <w:tcW w:w="7600" w:type="dxa"/>
            <w:vAlign w:val="bottom"/>
            <w:gridSpan w:val="11"/>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0"/>
        </w:trPr>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840" w:type="dxa"/>
            <w:vAlign w:val="bottom"/>
            <w:tcBorders>
              <w:bottom w:val="single" w:sz="8" w:color="0000FF"/>
            </w:tcBorders>
            <w:gridSpan w:val="7"/>
          </w:tcPr>
          <w:p>
            <w:pPr>
              <w:spacing w:after="0"/>
              <w:rPr>
                <w:rFonts w:ascii="Arial" w:cs="Arial" w:eastAsia="Arial" w:hAnsi="Arial"/>
                <w:sz w:val="16"/>
                <w:szCs w:val="16"/>
                <w:color w:val="0000FF"/>
                <w:w w:val="88"/>
              </w:rPr>
            </w:pPr>
            <w:hyperlink w:anchor="page30">
              <w:r>
                <w:rPr>
                  <w:rFonts w:ascii="Arial" w:cs="Arial" w:eastAsia="Arial" w:hAnsi="Arial"/>
                  <w:sz w:val="16"/>
                  <w:szCs w:val="16"/>
                  <w:color w:val="0000FF"/>
                  <w:w w:val="88"/>
                </w:rPr>
                <w:t>Unregistered Sales of Equity Securities and Use of Proceeds</w:t>
              </w:r>
            </w:hyperlink>
          </w:p>
        </w:tc>
        <w:tc>
          <w:tcPr>
            <w:tcW w:w="4940" w:type="dxa"/>
            <w:vAlign w:val="bottom"/>
            <w:gridSpan w:val="7"/>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30">
              <w:r>
                <w:rPr>
                  <w:rFonts w:ascii="Arial" w:cs="Arial" w:eastAsia="Arial" w:hAnsi="Arial"/>
                  <w:sz w:val="16"/>
                  <w:szCs w:val="16"/>
                  <w:color w:val="0000FF"/>
                </w:rPr>
                <w:t>27</w:t>
              </w:r>
            </w:hyperlink>
          </w:p>
        </w:tc>
      </w:tr>
      <w:tr>
        <w:trPr>
          <w:trHeight w:val="244"/>
        </w:trPr>
        <w:tc>
          <w:tcPr>
            <w:tcW w:w="1140" w:type="dxa"/>
            <w:vAlign w:val="bottom"/>
            <w:gridSpan w:val="3"/>
          </w:tcPr>
          <w:p>
            <w:pPr>
              <w:ind w:left="80"/>
              <w:spacing w:after="0"/>
              <w:rPr>
                <w:sz w:val="20"/>
                <w:szCs w:val="20"/>
                <w:color w:val="auto"/>
              </w:rPr>
            </w:pPr>
            <w:r>
              <w:rPr>
                <w:rFonts w:ascii="Arial" w:cs="Arial" w:eastAsia="Arial" w:hAnsi="Arial"/>
                <w:sz w:val="16"/>
                <w:szCs w:val="16"/>
                <w:color w:val="auto"/>
              </w:rPr>
              <w:t>Item 6.</w:t>
            </w:r>
          </w:p>
        </w:tc>
        <w:tc>
          <w:tcPr>
            <w:tcW w:w="8780" w:type="dxa"/>
            <w:vAlign w:val="bottom"/>
            <w:gridSpan w:val="1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Exhibits</w:t>
              </w:r>
            </w:hyperlink>
          </w:p>
        </w:tc>
        <w:tc>
          <w:tcPr>
            <w:tcW w:w="1320" w:type="dxa"/>
            <w:vAlign w:val="bottom"/>
          </w:tcPr>
          <w:p>
            <w:pPr>
              <w:jc w:val="right"/>
              <w:ind w:right="301"/>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r>
      <w:tr>
        <w:trPr>
          <w:trHeight w:val="244"/>
        </w:trPr>
        <w:tc>
          <w:tcPr>
            <w:tcW w:w="120" w:type="dxa"/>
            <w:vAlign w:val="bottom"/>
          </w:tcPr>
          <w:p>
            <w:pPr>
              <w:spacing w:after="0"/>
              <w:rPr>
                <w:sz w:val="21"/>
                <w:szCs w:val="21"/>
                <w:color w:val="auto"/>
              </w:rPr>
            </w:pPr>
          </w:p>
        </w:tc>
        <w:tc>
          <w:tcPr>
            <w:tcW w:w="1020" w:type="dxa"/>
            <w:vAlign w:val="bottom"/>
            <w:gridSpan w:val="2"/>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Signatures</w:t>
              </w:r>
            </w:hyperlink>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1"/>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733"/>
        </w:trPr>
        <w:tc>
          <w:tcPr>
            <w:tcW w:w="1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 w:name="page3"/>
    <w:bookmarkEnd w:id="2"/>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8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4"/>
        </w:trPr>
        <w:tc>
          <w:tcPr>
            <w:tcW w:w="8120" w:type="dxa"/>
            <w:vAlign w:val="bottom"/>
            <w:shd w:val="clear" w:color="auto" w:fill="CCEEFF"/>
          </w:tcPr>
          <w:p>
            <w:pPr>
              <w:ind w:left="378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08"/>
        </w:trPr>
        <w:tc>
          <w:tcPr>
            <w:tcW w:w="812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Investments, at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69,542</w:t>
            </w:r>
          </w:p>
        </w:tc>
        <w:tc>
          <w:tcPr>
            <w:tcW w:w="0" w:type="dxa"/>
            <w:vAlign w:val="bottom"/>
          </w:tcPr>
          <w:p>
            <w:pPr>
              <w:spacing w:after="0"/>
              <w:rPr>
                <w:sz w:val="1"/>
                <w:szCs w:val="1"/>
                <w:color w:val="auto"/>
              </w:rPr>
            </w:pPr>
          </w:p>
        </w:tc>
      </w:tr>
      <w:tr>
        <w:trPr>
          <w:trHeight w:val="208"/>
        </w:trPr>
        <w:tc>
          <w:tcPr>
            <w:tcW w:w="8120" w:type="dxa"/>
            <w:vAlign w:val="bottom"/>
          </w:tcPr>
          <w:p>
            <w:pPr>
              <w:ind w:left="460"/>
              <w:spacing w:after="0"/>
              <w:rPr>
                <w:sz w:val="20"/>
                <w:szCs w:val="20"/>
                <w:color w:val="auto"/>
              </w:rPr>
            </w:pPr>
            <w:r>
              <w:rPr>
                <w:rFonts w:ascii="Arial" w:cs="Arial" w:eastAsia="Arial" w:hAnsi="Arial"/>
                <w:sz w:val="16"/>
                <w:szCs w:val="16"/>
                <w:color w:val="auto"/>
              </w:rPr>
              <w:t>Prepaid income taxes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01"/>
        </w:trPr>
        <w:tc>
          <w:tcPr>
            <w:tcW w:w="812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104,657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96,314</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3,527</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w:t>
            </w: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13,535</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$8,290 and $8,056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0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152,264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2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3,213</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Dividends payable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8"/>
        </w:trPr>
        <w:tc>
          <w:tcPr>
            <w:tcW w:w="8120" w:type="dxa"/>
            <w:vAlign w:val="bottom"/>
          </w:tcPr>
          <w:p>
            <w:pPr>
              <w:ind w:left="460"/>
              <w:spacing w:after="0"/>
              <w:rPr>
                <w:sz w:val="20"/>
                <w:szCs w:val="20"/>
                <w:color w:val="auto"/>
              </w:rPr>
            </w:pPr>
            <w:r>
              <w:rPr>
                <w:rFonts w:ascii="Arial" w:cs="Arial" w:eastAsia="Arial" w:hAnsi="Arial"/>
                <w:sz w:val="16"/>
                <w:szCs w:val="16"/>
                <w:color w:val="auto"/>
              </w:rPr>
              <w:t>Compensation and benefits payable</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7,448</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8"/>
        </w:trPr>
        <w:tc>
          <w:tcPr>
            <w:tcW w:w="8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w:t>
            </w:r>
          </w:p>
        </w:tc>
        <w:tc>
          <w:tcPr>
            <w:tcW w:w="0" w:type="dxa"/>
            <w:vAlign w:val="bottom"/>
          </w:tcPr>
          <w:p>
            <w:pPr>
              <w:spacing w:after="0"/>
              <w:rPr>
                <w:sz w:val="1"/>
                <w:szCs w:val="1"/>
                <w:color w:val="auto"/>
              </w:rPr>
            </w:pPr>
          </w:p>
        </w:tc>
      </w:tr>
      <w:tr>
        <w:trPr>
          <w:trHeight w:val="208"/>
        </w:trPr>
        <w:tc>
          <w:tcPr>
            <w:tcW w:w="812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01"/>
        </w:trPr>
        <w:tc>
          <w:tcPr>
            <w:tcW w:w="81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18,441</w:t>
            </w:r>
          </w:p>
        </w:tc>
        <w:tc>
          <w:tcPr>
            <w:tcW w:w="0" w:type="dxa"/>
            <w:vAlign w:val="bottom"/>
          </w:tcPr>
          <w:p>
            <w:pPr>
              <w:spacing w:after="0"/>
              <w:rPr>
                <w:sz w:val="1"/>
                <w:szCs w:val="1"/>
                <w:color w:val="auto"/>
              </w:rPr>
            </w:pPr>
          </w:p>
        </w:tc>
      </w:tr>
      <w:tr>
        <w:trPr>
          <w:trHeight w:val="188"/>
        </w:trPr>
        <w:tc>
          <w:tcPr>
            <w:tcW w:w="81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20" w:type="dxa"/>
            <w:vAlign w:val="bottom"/>
          </w:tcPr>
          <w:p>
            <w:pPr>
              <w:ind w:left="460"/>
              <w:spacing w:after="0" w:line="161" w:lineRule="exact"/>
              <w:rPr>
                <w:sz w:val="20"/>
                <w:szCs w:val="20"/>
                <w:color w:val="auto"/>
              </w:rPr>
            </w:pPr>
            <w:r>
              <w:rPr>
                <w:rFonts w:ascii="Arial" w:cs="Arial" w:eastAsia="Arial" w:hAnsi="Arial"/>
                <w:sz w:val="16"/>
                <w:szCs w:val="16"/>
                <w:color w:val="auto"/>
                <w:w w:val="89"/>
              </w:rPr>
              <w:t>Common stock, $0.01 par value, authorized 25,000,000 shares, issued 10,661,016 and outstanding 8,324,702 shares at</w:t>
            </w:r>
          </w:p>
        </w:tc>
        <w:tc>
          <w:tcPr>
            <w:tcW w:w="300" w:type="dxa"/>
            <w:vAlign w:val="bottom"/>
          </w:tcPr>
          <w:p>
            <w:pPr>
              <w:spacing w:after="0"/>
              <w:rPr>
                <w:sz w:val="14"/>
                <w:szCs w:val="14"/>
                <w:color w:val="auto"/>
              </w:rPr>
            </w:pPr>
          </w:p>
        </w:tc>
        <w:tc>
          <w:tcPr>
            <w:tcW w:w="1220" w:type="dxa"/>
            <w:vAlign w:val="bottom"/>
            <w:vMerge w:val="restart"/>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5"/>
        </w:trPr>
        <w:tc>
          <w:tcPr>
            <w:tcW w:w="8120" w:type="dxa"/>
            <w:vAlign w:val="bottom"/>
          </w:tcPr>
          <w:p>
            <w:pPr>
              <w:ind w:left="620"/>
              <w:spacing w:after="0"/>
              <w:rPr>
                <w:sz w:val="20"/>
                <w:szCs w:val="20"/>
                <w:color w:val="auto"/>
              </w:rPr>
            </w:pPr>
            <w:r>
              <w:rPr>
                <w:rFonts w:ascii="Arial" w:cs="Arial" w:eastAsia="Arial" w:hAnsi="Arial"/>
                <w:sz w:val="16"/>
                <w:szCs w:val="16"/>
                <w:color w:val="auto"/>
              </w:rPr>
              <w:t>June 30, 2021; issued 10,500,549 and outstanding 8,326,948 shares at December 31, 2020</w:t>
            </w: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210,268</w:t>
            </w:r>
          </w:p>
        </w:tc>
        <w:tc>
          <w:tcPr>
            <w:tcW w:w="0" w:type="dxa"/>
            <w:vAlign w:val="bottom"/>
          </w:tcPr>
          <w:p>
            <w:pPr>
              <w:spacing w:after="0"/>
              <w:rPr>
                <w:sz w:val="1"/>
                <w:szCs w:val="1"/>
                <w:color w:val="auto"/>
              </w:rPr>
            </w:pPr>
          </w:p>
        </w:tc>
      </w:tr>
      <w:tr>
        <w:trPr>
          <w:trHeight w:val="208"/>
        </w:trPr>
        <w:tc>
          <w:tcPr>
            <w:tcW w:w="8120" w:type="dxa"/>
            <w:vAlign w:val="bottom"/>
          </w:tcPr>
          <w:p>
            <w:pPr>
              <w:ind w:left="460"/>
              <w:spacing w:after="0"/>
              <w:rPr>
                <w:sz w:val="20"/>
                <w:szCs w:val="20"/>
                <w:color w:val="auto"/>
              </w:rPr>
            </w:pPr>
            <w:r>
              <w:rPr>
                <w:rFonts w:ascii="Arial" w:cs="Arial" w:eastAsia="Arial" w:hAnsi="Arial"/>
                <w:sz w:val="16"/>
                <w:szCs w:val="16"/>
                <w:color w:val="auto"/>
              </w:rPr>
              <w:t>Treasury stock, at cost - 2,336,315 shares at June 30, 2021; 2,173,559 shares at December 31, 2020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(80,551)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(77,967)</w:t>
            </w:r>
          </w:p>
        </w:tc>
        <w:tc>
          <w:tcPr>
            <w:tcW w:w="0" w:type="dxa"/>
            <w:vAlign w:val="bottom"/>
          </w:tcPr>
          <w:p>
            <w:pPr>
              <w:spacing w:after="0"/>
              <w:rPr>
                <w:sz w:val="1"/>
                <w:szCs w:val="1"/>
                <w:color w:val="auto"/>
              </w:rPr>
            </w:pPr>
          </w:p>
        </w:tc>
      </w:tr>
      <w:tr>
        <w:trPr>
          <w:trHeight w:val="215"/>
        </w:trPr>
        <w:tc>
          <w:tcPr>
            <w:tcW w:w="8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Retained earnings (accumulated deficit)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01"/>
        </w:trPr>
        <w:tc>
          <w:tcPr>
            <w:tcW w:w="81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134,676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152,264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149,152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55" w:lineRule="auto"/>
        <w:rPr>
          <w:sz w:val="20"/>
          <w:szCs w:val="20"/>
          <w:color w:val="auto"/>
        </w:rPr>
      </w:pPr>
      <w:r>
        <w:rPr>
          <w:rFonts w:ascii="Arial" w:cs="Arial" w:eastAsia="Arial" w:hAnsi="Arial"/>
          <w:sz w:val="18"/>
          <w:szCs w:val="18"/>
          <w:b w:val="1"/>
          <w:bCs w:val="1"/>
          <w:color w:val="auto"/>
        </w:rPr>
        <w:t>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60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Advisory fees: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Asset-based</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20,430</w:t>
            </w:r>
          </w:p>
        </w:tc>
        <w:tc>
          <w:tcPr>
            <w:tcW w:w="0" w:type="dxa"/>
            <w:vAlign w:val="bottom"/>
          </w:tcPr>
          <w:p>
            <w:pPr>
              <w:spacing w:after="0"/>
              <w:rPr>
                <w:sz w:val="1"/>
                <w:szCs w:val="1"/>
                <w:color w:val="auto"/>
              </w:rPr>
            </w:pPr>
          </w:p>
        </w:tc>
      </w:tr>
      <w:tr>
        <w:trPr>
          <w:trHeight w:val="208"/>
        </w:trPr>
        <w:tc>
          <w:tcPr>
            <w:tcW w:w="5120" w:type="dxa"/>
            <w:vAlign w:val="bottom"/>
          </w:tcPr>
          <w:p>
            <w:pPr>
              <w:ind w:left="660"/>
              <w:spacing w:after="0"/>
              <w:rPr>
                <w:sz w:val="20"/>
                <w:szCs w:val="20"/>
                <w:color w:val="auto"/>
              </w:rPr>
            </w:pPr>
            <w:r>
              <w:rPr>
                <w:rFonts w:ascii="Arial" w:cs="Arial" w:eastAsia="Arial" w:hAnsi="Arial"/>
                <w:sz w:val="16"/>
                <w:szCs w:val="16"/>
                <w:color w:val="auto"/>
              </w:rPr>
              <w:t>Performance-based</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Trust fees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11,608</w:t>
            </w: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Trust performance-based fees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1"/>
        </w:trPr>
        <w:tc>
          <w:tcPr>
            <w:tcW w:w="512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32,544</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Employee 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23,455</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Westwood mutual funds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Information technology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4,061</w:t>
            </w: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Professional services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(Gain) loss on foreign currency transactions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08"/>
        </w:trPr>
        <w:tc>
          <w:tcPr>
            <w:tcW w:w="512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1"/>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operating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Realized gains on private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340"/>
              <w:spacing w:after="0" w:line="161" w:lineRule="exact"/>
              <w:rPr>
                <w:sz w:val="20"/>
                <w:szCs w:val="20"/>
                <w:color w:val="auto"/>
              </w:rPr>
            </w:pPr>
            <w:r>
              <w:rPr>
                <w:rFonts w:ascii="Arial" w:cs="Arial" w:eastAsia="Arial" w:hAnsi="Arial"/>
                <w:sz w:val="16"/>
                <w:szCs w:val="16"/>
                <w:color w:val="auto"/>
              </w:rPr>
              <w:t>Net change in unrealized appreciation (depreciation) on private</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05"/>
        </w:trPr>
        <w:tc>
          <w:tcPr>
            <w:tcW w:w="5120" w:type="dxa"/>
            <w:vAlign w:val="bottom"/>
          </w:tcPr>
          <w:p>
            <w:pPr>
              <w:ind w:left="340"/>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8"/>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01"/>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01"/>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7,884,771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7,879,698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7,885,901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8,147,045</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7,928,106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7,879,698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8,147,045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2021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80" w:type="dxa"/>
            <w:vAlign w:val="bottom"/>
          </w:tcPr>
          <w:p>
            <w:pPr>
              <w:spacing w:after="0"/>
              <w:rPr>
                <w:sz w:val="17"/>
                <w:szCs w:val="17"/>
                <w:color w:val="auto"/>
              </w:rPr>
            </w:pPr>
          </w:p>
        </w:tc>
        <w:tc>
          <w:tcPr>
            <w:tcW w:w="206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5"/>
                <w:szCs w:val="15"/>
                <w:b w:val="1"/>
                <w:bCs w:val="1"/>
                <w:color w:val="auto"/>
              </w:rPr>
              <w:t>Common Stock, Par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43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Arial" w:cs="Arial" w:eastAsia="Arial" w:hAnsi="Arial"/>
                <w:sz w:val="15"/>
                <w:szCs w:val="15"/>
                <w:b w:val="1"/>
                <w:bCs w:val="1"/>
                <w:color w:val="auto"/>
              </w:rPr>
              <w:t>Total</w:t>
            </w:r>
          </w:p>
        </w:tc>
      </w:tr>
      <w:tr>
        <w:trPr>
          <w:trHeight w:val="207"/>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8,313,003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211,988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133,445</w:t>
            </w:r>
          </w:p>
        </w:tc>
      </w:tr>
      <w:tr>
        <w:trPr>
          <w:trHeight w:val="208"/>
        </w:trPr>
        <w:tc>
          <w:tcPr>
            <w:tcW w:w="4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4380" w:type="dxa"/>
            <w:vAlign w:val="bottom"/>
          </w:tcPr>
          <w:p>
            <w:pPr>
              <w:ind w:left="20"/>
              <w:spacing w:after="0"/>
              <w:rPr>
                <w:sz w:val="20"/>
                <w:szCs w:val="20"/>
                <w:color w:val="auto"/>
              </w:rPr>
            </w:pPr>
            <w:r>
              <w:rPr>
                <w:rFonts w:ascii="Arial" w:cs="Arial" w:eastAsia="Arial" w:hAnsi="Arial"/>
                <w:sz w:val="16"/>
                <w:szCs w:val="16"/>
                <w:color w:val="auto"/>
              </w:rPr>
              <w:t>Dividends declared ($0.10 per share)</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08"/>
        </w:trPr>
        <w:tc>
          <w:tcPr>
            <w:tcW w:w="438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(18,866)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29"/>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8,324,702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213,362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134,676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2060" w:type="dxa"/>
            <w:vAlign w:val="bottom"/>
            <w:gridSpan w:val="4"/>
            <w:vMerge w:val="restart"/>
          </w:tcPr>
          <w:p>
            <w:pPr>
              <w:jc w:val="right"/>
              <w:ind w:right="301"/>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Accumulated Other</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20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Comprehensive</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4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b w:val="1"/>
                <w:bCs w:val="1"/>
                <w:color w:val="auto"/>
              </w:rPr>
              <w:t>Stock</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Income (Loss)</w:t>
            </w: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Retained Earnings</w:t>
            </w:r>
          </w:p>
        </w:tc>
        <w:tc>
          <w:tcPr>
            <w:tcW w:w="200" w:type="dxa"/>
            <w:vAlign w:val="bottom"/>
          </w:tcPr>
          <w:p>
            <w:pPr>
              <w:spacing w:after="0"/>
              <w:rPr>
                <w:sz w:val="16"/>
                <w:szCs w:val="16"/>
                <w:color w:val="auto"/>
              </w:rPr>
            </w:pPr>
          </w:p>
        </w:tc>
        <w:tc>
          <w:tcPr>
            <w:tcW w:w="740" w:type="dxa"/>
            <w:vAlign w:val="bottom"/>
          </w:tcPr>
          <w:p>
            <w:pPr>
              <w:jc w:val="right"/>
              <w:ind w:right="221"/>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7"/>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8,780,041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206,267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(6,185)</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138,389</w:t>
            </w:r>
          </w:p>
        </w:tc>
        <w:tc>
          <w:tcPr>
            <w:tcW w:w="0" w:type="dxa"/>
            <w:vAlign w:val="bottom"/>
          </w:tcPr>
          <w:p>
            <w:pPr>
              <w:spacing w:after="0"/>
              <w:rPr>
                <w:sz w:val="1"/>
                <w:szCs w:val="1"/>
                <w:color w:val="auto"/>
              </w:rPr>
            </w:pPr>
          </w:p>
        </w:tc>
      </w:tr>
      <w:tr>
        <w:trPr>
          <w:trHeight w:val="208"/>
        </w:trPr>
        <w:tc>
          <w:tcPr>
            <w:tcW w:w="2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1" w:lineRule="exact"/>
              <w:rPr>
                <w:sz w:val="20"/>
                <w:szCs w:val="20"/>
                <w:color w:val="auto"/>
              </w:rPr>
            </w:pPr>
            <w:r>
              <w:rPr>
                <w:rFonts w:ascii="Arial" w:cs="Arial" w:eastAsia="Arial" w:hAnsi="Arial"/>
                <w:sz w:val="16"/>
                <w:szCs w:val="16"/>
                <w:color w:val="auto"/>
              </w:rPr>
              <w:t>Issuance of restricted stock, net of</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9,998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880" w:type="dxa"/>
            <w:vAlign w:val="bottom"/>
          </w:tcPr>
          <w:p>
            <w:pPr>
              <w:ind w:left="180"/>
              <w:spacing w:after="0"/>
              <w:rPr>
                <w:sz w:val="20"/>
                <w:szCs w:val="20"/>
                <w:color w:val="auto"/>
              </w:rPr>
            </w:pPr>
            <w:r>
              <w:rPr>
                <w:rFonts w:ascii="Arial" w:cs="Arial" w:eastAsia="Arial" w:hAnsi="Arial"/>
                <w:sz w:val="16"/>
                <w:szCs w:val="16"/>
                <w:color w:val="auto"/>
              </w:rPr>
              <w:t>forfeitures</w:t>
            </w: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1" w:lineRule="exact"/>
              <w:rPr>
                <w:sz w:val="20"/>
                <w:szCs w:val="20"/>
                <w:color w:val="auto"/>
              </w:rPr>
            </w:pPr>
            <w:r>
              <w:rPr>
                <w:rFonts w:ascii="Arial" w:cs="Arial" w:eastAsia="Arial" w:hAnsi="Arial"/>
                <w:sz w:val="16"/>
                <w:szCs w:val="16"/>
                <w:color w:val="auto"/>
              </w:rPr>
              <w:t>Dividend reversal for forfeited restricted</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2880" w:type="dxa"/>
            <w:vAlign w:val="bottom"/>
          </w:tcPr>
          <w:p>
            <w:pPr>
              <w:ind w:left="180"/>
              <w:spacing w:after="0"/>
              <w:rPr>
                <w:sz w:val="20"/>
                <w:szCs w:val="20"/>
                <w:color w:val="auto"/>
              </w:rPr>
            </w:pPr>
            <w:r>
              <w:rPr>
                <w:rFonts w:ascii="Arial" w:cs="Arial" w:eastAsia="Arial" w:hAnsi="Arial"/>
                <w:sz w:val="16"/>
                <w:szCs w:val="16"/>
                <w:color w:val="auto"/>
              </w:rPr>
              <w:t>stock</w:t>
            </w: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01"/>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8,382,342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208,572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(78,050)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(4,814)</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 w:name="page6"/>
    <w:bookmarkEnd w:id="5"/>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6"/>
            <w:vMerge w:val="restart"/>
          </w:tcPr>
          <w:p>
            <w:pPr>
              <w:jc w:val="right"/>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Retained Earnings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2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4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7"/>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Stock</w:t>
            </w:r>
          </w:p>
        </w:tc>
        <w:tc>
          <w:tcPr>
            <w:tcW w:w="12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94"/>
              </w:rPr>
              <w:t>Deficit)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7"/>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8,326,948</w:t>
            </w:r>
          </w:p>
        </w:tc>
        <w:tc>
          <w:tcPr>
            <w:tcW w:w="640" w:type="dxa"/>
            <w:vAlign w:val="bottom"/>
            <w:gridSpan w:val="2"/>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210,268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5,071</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Issuance of restricted stock, net of forfeitures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6"/>
              </w:rPr>
              <w:t>160,470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Dividends declared ($0.20 per share)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4"/>
              </w:rPr>
              <w:t>3,097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Purchases of treasury stock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(111,357)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Restricted stock returned for payment of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(51,359)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1"/>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8,324,702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2"/>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color w:val="auto"/>
              </w:rPr>
              <w:t>213,362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134,676</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2"/>
        </w:trPr>
        <w:tc>
          <w:tcPr>
            <w:tcW w:w="2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5"/>
                <w:szCs w:val="15"/>
                <w:b w:val="1"/>
                <w:bCs w:val="1"/>
                <w:color w:val="auto"/>
                <w:w w:val="92"/>
              </w:rPr>
              <w:t>Common Stock, Par</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102"/>
              <w:spacing w:after="0"/>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24"/>
                <w:szCs w:val="24"/>
                <w:color w:val="auto"/>
              </w:rPr>
            </w:pPr>
          </w:p>
        </w:tc>
        <w:tc>
          <w:tcPr>
            <w:tcW w:w="960" w:type="dxa"/>
            <w:vAlign w:val="bottom"/>
            <w:gridSpan w:val="4"/>
          </w:tcPr>
          <w:p>
            <w:pPr>
              <w:jc w:val="right"/>
              <w:ind w:right="122"/>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24"/>
                <w:szCs w:val="24"/>
                <w:color w:val="auto"/>
              </w:rPr>
            </w:pPr>
          </w:p>
        </w:tc>
        <w:tc>
          <w:tcPr>
            <w:tcW w:w="154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w w:val="92"/>
              </w:rPr>
              <w:t>Accumulated Other</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Paid-In Capital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5"/>
                <w:szCs w:val="15"/>
                <w:b w:val="1"/>
                <w:bCs w:val="1"/>
                <w:color w:val="auto"/>
                <w:w w:val="92"/>
              </w:rPr>
              <w:t>Stock</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6"/>
              </w:rPr>
              <w:t>Comprehensive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
              <w:spacing w:after="0"/>
              <w:rPr>
                <w:sz w:val="20"/>
                <w:szCs w:val="20"/>
                <w:color w:val="auto"/>
              </w:rPr>
            </w:pPr>
            <w:r>
              <w:rPr>
                <w:rFonts w:ascii="Arial" w:cs="Arial" w:eastAsia="Arial" w:hAnsi="Arial"/>
                <w:sz w:val="15"/>
                <w:szCs w:val="15"/>
                <w:b w:val="1"/>
                <w:bCs w:val="1"/>
                <w:color w:val="auto"/>
                <w:w w:val="89"/>
              </w:rPr>
              <w:t>Retained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8,881,086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103</w:t>
            </w:r>
          </w:p>
        </w:tc>
        <w:tc>
          <w:tcPr>
            <w:tcW w:w="580" w:type="dxa"/>
            <w:vAlign w:val="bottom"/>
            <w:gridSpan w:val="3"/>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203,441</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(63,281)</w:t>
            </w:r>
          </w:p>
        </w:tc>
        <w:tc>
          <w:tcPr>
            <w:tcW w:w="480" w:type="dxa"/>
            <w:vAlign w:val="bottom"/>
            <w:gridSpan w:val="2"/>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162"/>
        </w:trPr>
        <w:tc>
          <w:tcPr>
            <w:tcW w:w="30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Issuance of restricted stock, net of</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251,531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060" w:type="dxa"/>
            <w:vAlign w:val="bottom"/>
            <w:gridSpan w:val="2"/>
          </w:tcPr>
          <w:p>
            <w:pPr>
              <w:ind w:left="180"/>
              <w:spacing w:after="0"/>
              <w:rPr>
                <w:sz w:val="20"/>
                <w:szCs w:val="20"/>
                <w:color w:val="auto"/>
              </w:rPr>
            </w:pPr>
            <w:r>
              <w:rPr>
                <w:rFonts w:ascii="Arial" w:cs="Arial" w:eastAsia="Arial" w:hAnsi="Arial"/>
                <w:sz w:val="16"/>
                <w:szCs w:val="16"/>
                <w:color w:val="auto"/>
              </w:rPr>
              <w:t>forfeitures</w:t>
            </w: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($0.43 per share)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165"/>
        </w:trPr>
        <w:tc>
          <w:tcPr>
            <w:tcW w:w="30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Reclassification of compensation liability to</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 paid in shares</w:t>
            </w:r>
          </w:p>
        </w:tc>
        <w:tc>
          <w:tcPr>
            <w:tcW w:w="9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Purchases of treasury stock</w:t>
            </w:r>
          </w:p>
        </w:tc>
        <w:tc>
          <w:tcPr>
            <w:tcW w:w="860" w:type="dxa"/>
            <w:vAlign w:val="bottom"/>
          </w:tcPr>
          <w:p>
            <w:pPr>
              <w:jc w:val="right"/>
              <w:spacing w:after="0"/>
              <w:rPr>
                <w:sz w:val="20"/>
                <w:szCs w:val="20"/>
                <w:color w:val="auto"/>
              </w:rPr>
            </w:pPr>
            <w:r>
              <w:rPr>
                <w:rFonts w:ascii="Arial" w:cs="Arial" w:eastAsia="Arial" w:hAnsi="Arial"/>
                <w:sz w:val="16"/>
                <w:szCs w:val="16"/>
                <w:color w:val="auto"/>
              </w:rPr>
              <w:t>(679,756)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(12,952)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(12,952)</w:t>
            </w:r>
          </w:p>
        </w:tc>
        <w:tc>
          <w:tcPr>
            <w:tcW w:w="0" w:type="dxa"/>
            <w:vAlign w:val="bottom"/>
          </w:tcPr>
          <w:p>
            <w:pPr>
              <w:spacing w:after="0"/>
              <w:rPr>
                <w:sz w:val="1"/>
                <w:szCs w:val="1"/>
                <w:color w:val="auto"/>
              </w:rPr>
            </w:pPr>
          </w:p>
        </w:tc>
      </w:tr>
      <w:tr>
        <w:trPr>
          <w:trHeight w:val="165"/>
        </w:trPr>
        <w:tc>
          <w:tcPr>
            <w:tcW w:w="30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5"/>
              </w:rPr>
              <w:t>Purchases of treasury stock under employee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8"/>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plans</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Restricted stock returned for payment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(43,045)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8,382,342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106</w:t>
            </w:r>
          </w:p>
        </w:tc>
        <w:tc>
          <w:tcPr>
            <w:tcW w:w="580" w:type="dxa"/>
            <w:vAlign w:val="bottom"/>
            <w:gridSpan w:val="3"/>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208,572</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(78,050)</w:t>
            </w:r>
          </w:p>
        </w:tc>
        <w:tc>
          <w:tcPr>
            <w:tcW w:w="480" w:type="dxa"/>
            <w:vAlign w:val="bottom"/>
            <w:gridSpan w:val="2"/>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131,429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05"/>
        </w:trPr>
        <w:tc>
          <w:tcPr>
            <w:tcW w:w="79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r>
      <w:tr>
        <w:trPr>
          <w:trHeight w:val="181"/>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Net income (loss)</w:t>
            </w: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5,071</w:t>
            </w:r>
          </w:p>
        </w:tc>
        <w:tc>
          <w:tcPr>
            <w:tcW w:w="100" w:type="dxa"/>
            <w:vAlign w:val="bottom"/>
          </w:tcPr>
          <w:p>
            <w:pPr>
              <w:spacing w:after="0"/>
              <w:rPr>
                <w:sz w:val="16"/>
                <w:szCs w:val="16"/>
                <w:color w:val="auto"/>
              </w:rPr>
            </w:pP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(1,473)</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Adjustments to reconcile net income to net cash (used in) provided by operating activities: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Depreciation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Amortization of intangible assets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Net change in unrealized (appreciation) depreciation on investments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2,273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904</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Realized gains on private investments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Stock based compensation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3,097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4,921</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Deferred income taxes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Non-cash lease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614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615</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Gain on asset disposition</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Change in operating assets and liabilities: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(purchases) sales of trading securities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20,029</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Accounts receivable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2,350</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Other current assets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Accounts payable and accrued liabilities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(361)</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Compensation and benefits payable</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(5,790)</w:t>
            </w:r>
          </w:p>
        </w:tc>
      </w:tr>
      <w:tr>
        <w:trPr>
          <w:trHeight w:val="194"/>
        </w:trPr>
        <w:tc>
          <w:tcPr>
            <w:tcW w:w="7940" w:type="dxa"/>
            <w:vAlign w:val="bottom"/>
          </w:tcPr>
          <w:p>
            <w:pPr>
              <w:ind w:left="660"/>
              <w:spacing w:after="0"/>
              <w:rPr>
                <w:sz w:val="20"/>
                <w:szCs w:val="20"/>
                <w:color w:val="auto"/>
              </w:rPr>
            </w:pPr>
            <w:r>
              <w:rPr>
                <w:rFonts w:ascii="Arial" w:cs="Arial" w:eastAsia="Arial" w:hAnsi="Arial"/>
                <w:sz w:val="15"/>
                <w:szCs w:val="15"/>
                <w:color w:val="auto"/>
              </w:rPr>
              <w:t>Income taxes payable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2,899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307</w:t>
            </w:r>
          </w:p>
        </w:tc>
      </w:tr>
      <w:tr>
        <w:trPr>
          <w:trHeight w:val="202"/>
        </w:trPr>
        <w:tc>
          <w:tcPr>
            <w:tcW w:w="79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Other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(771)</w:t>
            </w:r>
          </w:p>
        </w:tc>
      </w:tr>
      <w:tr>
        <w:trPr>
          <w:trHeight w:val="187"/>
        </w:trPr>
        <w:tc>
          <w:tcPr>
            <w:tcW w:w="7940" w:type="dxa"/>
            <w:vAlign w:val="bottom"/>
            <w:tcBorders>
              <w:bottom w:val="single" w:sz="8" w:color="CCEEFF"/>
            </w:tcBorders>
          </w:tcPr>
          <w:p>
            <w:pPr>
              <w:ind w:left="860"/>
              <w:spacing w:after="0" w:line="169" w:lineRule="exact"/>
              <w:rPr>
                <w:sz w:val="20"/>
                <w:szCs w:val="20"/>
                <w:color w:val="auto"/>
              </w:rPr>
            </w:pPr>
            <w:r>
              <w:rPr>
                <w:rFonts w:ascii="Arial" w:cs="Arial" w:eastAsia="Arial" w:hAnsi="Arial"/>
                <w:sz w:val="15"/>
                <w:szCs w:val="15"/>
                <w:color w:val="auto"/>
              </w:rPr>
              <w:t>Net cash (used in) provided by operating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21,824</w:t>
            </w: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Sale of investments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9,258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Sale of property and equipment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Purchase of property and equipment</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Purchase of investments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7940" w:type="dxa"/>
            <w:vAlign w:val="bottom"/>
            <w:tcBorders>
              <w:bottom w:val="single" w:sz="8" w:color="CCEEFF"/>
            </w:tcBorders>
          </w:tcPr>
          <w:p>
            <w:pPr>
              <w:ind w:left="860"/>
              <w:spacing w:after="0" w:line="169" w:lineRule="exact"/>
              <w:rPr>
                <w:sz w:val="20"/>
                <w:szCs w:val="20"/>
                <w:color w:val="auto"/>
              </w:rPr>
            </w:pPr>
            <w:r>
              <w:rPr>
                <w:rFonts w:ascii="Arial" w:cs="Arial" w:eastAsia="Arial" w:hAnsi="Arial"/>
                <w:sz w:val="15"/>
                <w:szCs w:val="15"/>
                <w:color w:val="auto"/>
              </w:rPr>
              <w:t>Net cash provided by (used in) investing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9,651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r>
      <w:tr>
        <w:trPr>
          <w:trHeight w:val="182"/>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Purchases of treasury stock</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(12,952)</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Purchase of treasury stock under employee stock plans</w:t>
            </w:r>
          </w:p>
        </w:tc>
        <w:tc>
          <w:tcPr>
            <w:tcW w:w="10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Restricted stock returned for payment of taxes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(1,120)</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dividends paid</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(1,619)</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(11,043)</w:t>
            </w:r>
          </w:p>
        </w:tc>
      </w:tr>
      <w:tr>
        <w:trPr>
          <w:trHeight w:val="187"/>
        </w:trPr>
        <w:tc>
          <w:tcPr>
            <w:tcW w:w="7940" w:type="dxa"/>
            <w:vAlign w:val="bottom"/>
            <w:tcBorders>
              <w:bottom w:val="single" w:sz="8" w:color="CCEEFF"/>
            </w:tcBorders>
          </w:tcPr>
          <w:p>
            <w:pPr>
              <w:ind w:left="860"/>
              <w:spacing w:after="0" w:line="169" w:lineRule="exact"/>
              <w:rPr>
                <w:sz w:val="20"/>
                <w:szCs w:val="20"/>
                <w:color w:val="auto"/>
              </w:rPr>
            </w:pPr>
            <w:r>
              <w:rPr>
                <w:rFonts w:ascii="Arial" w:cs="Arial" w:eastAsia="Arial" w:hAnsi="Arial"/>
                <w:sz w:val="15"/>
                <w:szCs w:val="15"/>
                <w:color w:val="auto"/>
              </w:rPr>
              <w:t>Net cash used in financing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(25,812)</w:t>
            </w:r>
          </w:p>
        </w:tc>
      </w:tr>
      <w:tr>
        <w:trPr>
          <w:trHeight w:val="19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currency rate changes on cash</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(1,796)</w:t>
            </w:r>
          </w:p>
        </w:tc>
      </w:tr>
      <w:tr>
        <w:trPr>
          <w:trHeight w:val="18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Change in Cash and Cash Equivalents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(5,840)</w:t>
            </w:r>
          </w:p>
        </w:tc>
      </w:tr>
      <w:tr>
        <w:trPr>
          <w:trHeight w:val="196"/>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13,016</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49,766</w:t>
            </w:r>
          </w:p>
        </w:tc>
      </w:tr>
      <w:tr>
        <w:trPr>
          <w:trHeight w:val="165"/>
        </w:trPr>
        <w:tc>
          <w:tcPr>
            <w:tcW w:w="7940" w:type="dxa"/>
            <w:vAlign w:val="bottom"/>
          </w:tcPr>
          <w:p>
            <w:pPr>
              <w:ind w:left="20"/>
              <w:spacing w:after="0" w:line="165" w:lineRule="exact"/>
              <w:rPr>
                <w:sz w:val="20"/>
                <w:szCs w:val="20"/>
                <w:color w:val="auto"/>
              </w:rPr>
            </w:pPr>
            <w:r>
              <w:rPr>
                <w:rFonts w:ascii="Arial" w:cs="Arial" w:eastAsia="Arial" w:hAnsi="Arial"/>
                <w:sz w:val="15"/>
                <w:szCs w:val="15"/>
                <w:color w:val="auto"/>
              </w:rPr>
              <w:t>Cash and cash equivalents, end of period</w:t>
            </w:r>
          </w:p>
        </w:tc>
        <w:tc>
          <w:tcPr>
            <w:tcW w:w="1040" w:type="dxa"/>
            <w:vAlign w:val="bottom"/>
            <w:tcBorders>
              <w:bottom w:val="single" w:sz="8" w:color="auto"/>
            </w:tcBorders>
          </w:tcPr>
          <w:p>
            <w:pPr>
              <w:jc w:val="right"/>
              <w:ind w:right="864"/>
              <w:spacing w:after="0" w:line="165"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17,247</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44"/>
              <w:spacing w:after="0" w:line="165" w:lineRule="exact"/>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5"/>
                <w:szCs w:val="15"/>
                <w:color w:val="auto"/>
              </w:rPr>
              <w:t>43,926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4"/>
        </w:trPr>
        <w:tc>
          <w:tcPr>
            <w:tcW w:w="7940" w:type="dxa"/>
            <w:vAlign w:val="bottom"/>
            <w:shd w:val="clear" w:color="auto" w:fill="CCEEFF"/>
          </w:tcPr>
          <w:p>
            <w:pPr>
              <w:ind w:left="20"/>
              <w:spacing w:after="0" w:line="164" w:lineRule="exact"/>
              <w:rPr>
                <w:sz w:val="20"/>
                <w:szCs w:val="20"/>
                <w:color w:val="auto"/>
              </w:rPr>
            </w:pPr>
            <w:r>
              <w:rPr>
                <w:rFonts w:ascii="Arial" w:cs="Arial" w:eastAsia="Arial" w:hAnsi="Arial"/>
                <w:sz w:val="15"/>
                <w:szCs w:val="15"/>
                <w:b w:val="1"/>
                <w:bCs w:val="1"/>
                <w:color w:val="auto"/>
              </w:rPr>
              <w:t>Supplemental cash flow information:</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4"/>
        </w:trPr>
        <w:tc>
          <w:tcPr>
            <w:tcW w:w="7940" w:type="dxa"/>
            <w:vAlign w:val="bottom"/>
          </w:tcPr>
          <w:p>
            <w:pPr>
              <w:ind w:left="340"/>
              <w:spacing w:after="0"/>
              <w:rPr>
                <w:sz w:val="20"/>
                <w:szCs w:val="20"/>
                <w:color w:val="auto"/>
              </w:rPr>
            </w:pPr>
            <w:r>
              <w:rPr>
                <w:rFonts w:ascii="Arial" w:cs="Arial" w:eastAsia="Arial" w:hAnsi="Arial"/>
                <w:sz w:val="15"/>
                <w:szCs w:val="15"/>
                <w:color w:val="auto"/>
              </w:rPr>
              <w:t>Cash paid during the period for income taxes</w:t>
            </w:r>
          </w:p>
        </w:tc>
        <w:tc>
          <w:tcPr>
            <w:tcW w:w="1040" w:type="dxa"/>
            <w:vAlign w:val="bottom"/>
          </w:tcPr>
          <w:p>
            <w:pPr>
              <w:jc w:val="right"/>
              <w:ind w:right="864"/>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6"/>
                <w:szCs w:val="16"/>
                <w:color w:val="auto"/>
              </w:rPr>
            </w:pP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288</w:t>
            </w:r>
          </w:p>
        </w:tc>
      </w:tr>
      <w:tr>
        <w:trPr>
          <w:trHeight w:val="202"/>
        </w:trPr>
        <w:tc>
          <w:tcPr>
            <w:tcW w:w="7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dividends</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 w:name="page8"/>
    <w:bookmarkEnd w:id="7"/>
    <w:p>
      <w:pPr>
        <w:jc w:val="center"/>
        <w:ind w:left="360" w:right="270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16" w:lineRule="exact"/>
        <w:rPr>
          <w:sz w:val="20"/>
          <w:szCs w:val="20"/>
          <w:color w:val="auto"/>
        </w:rPr>
      </w:pPr>
    </w:p>
    <w:p>
      <w:pPr>
        <w:ind w:firstLine="475"/>
        <w:spacing w:after="0" w:line="249" w:lineRule="auto"/>
        <w:rPr>
          <w:sz w:val="20"/>
          <w:szCs w:val="20"/>
          <w:color w:val="auto"/>
        </w:rPr>
      </w:pPr>
      <w:r>
        <w:rPr>
          <w:rFonts w:ascii="Arial" w:cs="Arial" w:eastAsia="Arial" w:hAnsi="Arial"/>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On July 27, 2020, Westwood’s Board of Directors approved the liquidation of Westwood International Advisors, which occurred effective September 30, 2020.</w:t>
      </w:r>
    </w:p>
    <w:p>
      <w:pPr>
        <w:spacing w:after="0" w:line="88" w:lineRule="exact"/>
        <w:rPr>
          <w:sz w:val="20"/>
          <w:szCs w:val="20"/>
          <w:color w:val="auto"/>
        </w:rPr>
      </w:pPr>
    </w:p>
    <w:p>
      <w:pPr>
        <w:ind w:right="140" w:firstLine="475"/>
        <w:spacing w:after="0" w:line="307" w:lineRule="auto"/>
        <w:rPr>
          <w:sz w:val="20"/>
          <w:szCs w:val="20"/>
          <w:color w:val="auto"/>
        </w:rPr>
      </w:pPr>
      <w:r>
        <w:rPr>
          <w:rFonts w:ascii="Arial" w:cs="Arial" w:eastAsia="Arial" w:hAnsi="Arial"/>
          <w:sz w:val="15"/>
          <w:szCs w:val="15"/>
          <w:color w:val="auto"/>
        </w:rPr>
        <w:t>Westwood Management provides investment advisory services to institutional clients, a family of mutual funds called the Westwood Funds®, other mutual funds, individual investors and clients of Westwood Trust. Prior to its liquidation, our wholly owned subsidiary, Westwood International Advisors, provided investment advisory services to institutional clients, the Westwood Funds®, other mutual funds, the UCITS Fund (which was liquidated in June 2020),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49" w:lineRule="exact"/>
        <w:rPr>
          <w:sz w:val="20"/>
          <w:szCs w:val="20"/>
          <w:color w:val="auto"/>
        </w:rPr>
      </w:pPr>
    </w:p>
    <w:p>
      <w:pPr>
        <w:ind w:right="260" w:firstLine="475"/>
        <w:spacing w:after="0" w:line="263" w:lineRule="auto"/>
        <w:rPr>
          <w:sz w:val="20"/>
          <w:szCs w:val="20"/>
          <w:color w:val="auto"/>
        </w:rPr>
      </w:pPr>
      <w:r>
        <w:rPr>
          <w:rFonts w:ascii="Arial" w:cs="Arial" w:eastAsia="Arial" w:hAnsi="Arial"/>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69" w:lineRule="exact"/>
        <w:rPr>
          <w:sz w:val="20"/>
          <w:szCs w:val="20"/>
          <w:color w:val="auto"/>
        </w:rPr>
      </w:pPr>
    </w:p>
    <w:p>
      <w:pPr>
        <w:ind w:left="40" w:right="6420" w:hanging="34"/>
        <w:spacing w:after="0" w:line="370" w:lineRule="auto"/>
        <w:tabs>
          <w:tab w:leader="none" w:pos="18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80" w:firstLine="475"/>
        <w:spacing w:after="0" w:line="248"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90" w:lineRule="exact"/>
        <w:rPr>
          <w:sz w:val="20"/>
          <w:szCs w:val="20"/>
          <w:color w:val="auto"/>
        </w:rPr>
      </w:pPr>
    </w:p>
    <w:p>
      <w:pPr>
        <w:ind w:firstLine="475"/>
        <w:spacing w:after="0" w:line="249"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2020,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0" w:lineRule="exact"/>
        <w:rPr>
          <w:sz w:val="20"/>
          <w:szCs w:val="20"/>
          <w:color w:val="auto"/>
        </w:rPr>
      </w:pPr>
    </w:p>
    <w:p>
      <w:pPr>
        <w:jc w:val="both"/>
        <w:ind w:right="60" w:firstLine="475"/>
        <w:spacing w:after="0" w:line="27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is intended to simplify various aspects of the income tax accounting guidance, including interim-period accounting for enacted changes in tax law. ASU 2019-12 is effective for public business entities for fiscal years beginning after December 15, 2020, including interim periods within those fiscal years, and early adoption is permitted. We adopted this ASU as of January 1, 2021 and it did not have a significant effect on our Condensed Consolidated Financial Statements.</w:t>
      </w:r>
    </w:p>
    <w:p>
      <w:pPr>
        <w:spacing w:after="0" w:line="65" w:lineRule="exact"/>
        <w:rPr>
          <w:sz w:val="20"/>
          <w:szCs w:val="20"/>
          <w:color w:val="auto"/>
        </w:rPr>
      </w:pPr>
    </w:p>
    <w:p>
      <w:pPr>
        <w:ind w:right="9600" w:firstLine="6"/>
        <w:spacing w:after="0" w:line="445"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Revenue Recognition</w:t>
      </w:r>
    </w:p>
    <w:p>
      <w:pPr>
        <w:ind w:firstLine="475"/>
        <w:spacing w:after="0" w:line="254"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8" w:name="page9"/>
    <w:bookmarkEnd w:id="8"/>
    <w:p>
      <w:pPr>
        <w:jc w:val="center"/>
        <w:ind w:left="360" w:right="212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16" w:lineRule="exact"/>
        <w:rPr>
          <w:sz w:val="20"/>
          <w:szCs w:val="20"/>
          <w:color w:val="auto"/>
        </w:rPr>
      </w:pPr>
    </w:p>
    <w:p>
      <w:pPr>
        <w:ind w:firstLine="475"/>
        <w:spacing w:after="0" w:line="264" w:lineRule="auto"/>
        <w:rPr>
          <w:sz w:val="20"/>
          <w:szCs w:val="20"/>
          <w:color w:val="auto"/>
        </w:rPr>
      </w:pPr>
      <w:r>
        <w:rPr>
          <w:rFonts w:ascii="Arial" w:cs="Arial" w:eastAsia="Arial" w:hAnsi="Arial"/>
          <w:sz w:val="17"/>
          <w:szCs w:val="17"/>
          <w:color w:val="auto"/>
        </w:rPr>
        <w:t>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79" w:lineRule="exact"/>
        <w:rPr>
          <w:sz w:val="20"/>
          <w:szCs w:val="20"/>
          <w:color w:val="auto"/>
        </w:rPr>
      </w:pPr>
    </w:p>
    <w:p>
      <w:pPr>
        <w:jc w:val="both"/>
        <w:ind w:firstLine="475"/>
        <w:spacing w:after="0" w:line="317" w:lineRule="auto"/>
        <w:rPr>
          <w:sz w:val="20"/>
          <w:szCs w:val="20"/>
          <w:color w:val="auto"/>
        </w:rPr>
      </w:pPr>
      <w:r>
        <w:rPr>
          <w:rFonts w:ascii="Arial" w:cs="Arial" w:eastAsia="Arial" w:hAnsi="Arial"/>
          <w:sz w:val="15"/>
          <w:szCs w:val="15"/>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39" w:lineRule="exact"/>
        <w:rPr>
          <w:sz w:val="20"/>
          <w:szCs w:val="20"/>
          <w:color w:val="auto"/>
        </w:rPr>
      </w:pPr>
    </w:p>
    <w:p>
      <w:pPr>
        <w:jc w:val="both"/>
        <w:ind w:firstLine="475"/>
        <w:spacing w:after="0" w:line="292"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16" w:lineRule="exact"/>
        <w:rPr>
          <w:sz w:val="20"/>
          <w:szCs w:val="20"/>
          <w:color w:val="auto"/>
        </w:rPr>
      </w:pPr>
    </w:p>
    <w:p>
      <w:pPr>
        <w:jc w:val="both"/>
        <w:ind w:right="40" w:firstLine="475"/>
        <w:spacing w:after="0" w:line="254"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82" w:lineRule="exact"/>
        <w:rPr>
          <w:sz w:val="20"/>
          <w:szCs w:val="20"/>
          <w:color w:val="auto"/>
        </w:rPr>
      </w:pPr>
    </w:p>
    <w:p>
      <w:pPr>
        <w:ind w:right="140" w:firstLine="475"/>
        <w:spacing w:after="0" w:line="254"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16" w:lineRule="exact"/>
        <w:rPr>
          <w:sz w:val="20"/>
          <w:szCs w:val="20"/>
          <w:color w:val="auto"/>
        </w:rPr>
      </w:pPr>
    </w:p>
    <w:p>
      <w:pPr>
        <w:ind w:right="40" w:firstLine="475"/>
        <w:spacing w:after="0" w:line="267"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ind w:right="400" w:firstLine="475"/>
        <w:spacing w:after="0" w:line="263" w:lineRule="auto"/>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 In 2021, we recast certain prior year revenues related to performance-based fees.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6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306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r>
      <w:tr>
        <w:trPr>
          <w:trHeight w:val="208"/>
        </w:trPr>
        <w:tc>
          <w:tcPr>
            <w:tcW w:w="3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Advisory Fees:</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3060" w:type="dxa"/>
            <w:vAlign w:val="bottom"/>
          </w:tcPr>
          <w:p>
            <w:pPr>
              <w:ind w:left="820"/>
              <w:spacing w:after="0"/>
              <w:rPr>
                <w:sz w:val="20"/>
                <w:szCs w:val="20"/>
                <w:color w:val="auto"/>
              </w:rPr>
            </w:pPr>
            <w:r>
              <w:rPr>
                <w:rFonts w:ascii="Arial" w:cs="Arial" w:eastAsia="Arial" w:hAnsi="Arial"/>
                <w:sz w:val="18"/>
                <w:szCs w:val="18"/>
                <w:color w:val="auto"/>
              </w:rPr>
              <w:t>Institutional</w:t>
            </w:r>
          </w:p>
        </w:tc>
        <w:tc>
          <w:tcPr>
            <w:tcW w:w="140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19"/>
                <w:szCs w:val="19"/>
                <w:color w:val="auto"/>
              </w:rPr>
            </w:pPr>
          </w:p>
        </w:tc>
        <w:tc>
          <w:tcPr>
            <w:tcW w:w="1400" w:type="dxa"/>
            <w:vAlign w:val="bottom"/>
          </w:tcPr>
          <w:p>
            <w:pPr>
              <w:jc w:val="right"/>
              <w:ind w:right="73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16,083</w:t>
            </w:r>
          </w:p>
        </w:tc>
        <w:tc>
          <w:tcPr>
            <w:tcW w:w="12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15,452</w:t>
            </w:r>
          </w:p>
        </w:tc>
      </w:tr>
      <w:tr>
        <w:trPr>
          <w:trHeight w:val="225"/>
        </w:trPr>
        <w:tc>
          <w:tcPr>
            <w:tcW w:w="3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Mutual Funds</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24"/>
        </w:trPr>
        <w:tc>
          <w:tcPr>
            <w:tcW w:w="3060" w:type="dxa"/>
            <w:vAlign w:val="bottom"/>
          </w:tcPr>
          <w:p>
            <w:pPr>
              <w:ind w:left="820"/>
              <w:spacing w:after="0"/>
              <w:rPr>
                <w:sz w:val="20"/>
                <w:szCs w:val="20"/>
                <w:color w:val="auto"/>
              </w:rPr>
            </w:pPr>
            <w:r>
              <w:rPr>
                <w:rFonts w:ascii="Arial" w:cs="Arial" w:eastAsia="Arial" w:hAnsi="Arial"/>
                <w:sz w:val="18"/>
                <w:szCs w:val="18"/>
                <w:color w:val="auto"/>
              </w:rPr>
              <w:t>Wealth Management</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5"/>
        </w:trPr>
        <w:tc>
          <w:tcPr>
            <w:tcW w:w="3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Trust Fees</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r>
      <w:tr>
        <w:trPr>
          <w:trHeight w:val="224"/>
        </w:trPr>
        <w:tc>
          <w:tcPr>
            <w:tcW w:w="3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3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14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17,484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15,875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32,544</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right="180" w:firstLine="475"/>
        <w:spacing w:after="0" w:line="263" w:lineRule="auto"/>
        <w:rPr>
          <w:sz w:val="20"/>
          <w:szCs w:val="20"/>
          <w:color w:val="auto"/>
        </w:rPr>
      </w:pPr>
      <w:r>
        <w:rPr>
          <w:rFonts w:ascii="Arial" w:cs="Arial" w:eastAsia="Arial" w:hAnsi="Arial"/>
          <w:sz w:val="18"/>
          <w:szCs w:val="18"/>
          <w:color w:val="auto"/>
        </w:rPr>
        <w:t>We serve clients primarily in the United States, but also in various locations around the world. The following table presents our revenue disaggregated by our clients' geographical locations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Performance-based</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22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4"/>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17,187</w:t>
            </w:r>
          </w:p>
        </w:tc>
      </w:tr>
      <w:tr>
        <w:trPr>
          <w:trHeight w:val="238"/>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Performance-based</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22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4"/>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5"/>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0"/>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48"/>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Performance-based</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22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4"/>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34,330</w:t>
            </w:r>
          </w:p>
        </w:tc>
      </w:tr>
      <w:tr>
        <w:trPr>
          <w:trHeight w:val="218"/>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w:t>
            </w:r>
          </w:p>
        </w:tc>
      </w:tr>
      <w:tr>
        <w:trPr>
          <w:trHeight w:val="20"/>
        </w:trPr>
        <w:tc>
          <w:tcPr>
            <w:tcW w:w="40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25"/>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Advisory</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Trust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1"/>
              </w:rPr>
              <w:t>Performance-based</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22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4"/>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25"/>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24"/>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w:t>
            </w:r>
          </w:p>
        </w:tc>
      </w:tr>
      <w:tr>
        <w:trPr>
          <w:trHeight w:val="243"/>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w:t>
      </w:r>
    </w:p>
    <w:p>
      <w:pPr>
        <w:spacing w:after="0" w:line="169" w:lineRule="exact"/>
        <w:rPr>
          <w:sz w:val="20"/>
          <w:szCs w:val="20"/>
          <w:color w:val="auto"/>
        </w:rPr>
      </w:pPr>
    </w:p>
    <w:p>
      <w:pPr>
        <w:jc w:val="both"/>
        <w:ind w:right="300" w:firstLine="475"/>
        <w:spacing w:after="0" w:line="254" w:lineRule="auto"/>
        <w:rPr>
          <w:sz w:val="20"/>
          <w:szCs w:val="20"/>
          <w:color w:val="auto"/>
        </w:rPr>
      </w:pPr>
      <w:r>
        <w:rPr>
          <w:rFonts w:ascii="Arial" w:cs="Arial" w:eastAsia="Arial" w:hAnsi="Arial"/>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decision maker, our Chief Executive Officer, evaluates the performance of our segments based primarily on fee revenues and Economic Earnings. Refer to the "Supplemental Financial Information" section in Item 2. "Management Discussion and Analysis of Financial Conditions and Results" for the Economic Earnings calculation.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16" w:lineRule="exact"/>
        <w:rPr>
          <w:sz w:val="20"/>
          <w:szCs w:val="20"/>
          <w:color w:val="auto"/>
        </w:rPr>
      </w:pPr>
    </w:p>
    <w:p>
      <w:pPr>
        <w:ind w:right="140" w:firstLine="475"/>
        <w:spacing w:after="0" w:line="311" w:lineRule="auto"/>
        <w:rPr>
          <w:sz w:val="20"/>
          <w:szCs w:val="20"/>
          <w:color w:val="auto"/>
        </w:rPr>
      </w:pPr>
      <w:r>
        <w:rPr>
          <w:rFonts w:ascii="Arial" w:cs="Arial" w:eastAsia="Arial" w:hAnsi="Arial"/>
          <w:sz w:val="15"/>
          <w:szCs w:val="15"/>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the UCITS Fund (liquidated in June 2020) and collective investment trusts. Westwood Management and Westwood International Advisors (prior to its closure, effective September 30, 2020), which provide investment advisory services to similar clients, are included in our Advisory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Trust provides trust and custodial services and participation in common trust funds that it sponsors to institutions and high net worth individuals.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vMerge w:val="restart"/>
          </w:tcPr>
          <w:p>
            <w:pPr>
              <w:ind w:left="500"/>
              <w:spacing w:after="0"/>
              <w:rPr>
                <w:sz w:val="20"/>
                <w:szCs w:val="20"/>
                <w:color w:val="auto"/>
              </w:rPr>
            </w:pPr>
            <w:r>
              <w:rPr>
                <w:rFonts w:ascii="Arial" w:cs="Arial" w:eastAsia="Arial" w:hAnsi="Arial"/>
                <w:sz w:val="16"/>
                <w:szCs w:val="16"/>
                <w:i w:val="1"/>
                <w:iCs w:val="1"/>
                <w:color w:val="auto"/>
              </w:rPr>
              <w:t>(in thousands)</w:t>
            </w:r>
          </w:p>
        </w:tc>
        <w:tc>
          <w:tcPr>
            <w:tcW w:w="68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Advisory</w:t>
            </w:r>
          </w:p>
        </w:tc>
        <w:tc>
          <w:tcPr>
            <w:tcW w:w="720" w:type="dxa"/>
            <w:vAlign w:val="bottom"/>
          </w:tcPr>
          <w:p>
            <w:pPr>
              <w:spacing w:after="0"/>
              <w:rPr>
                <w:sz w:val="16"/>
                <w:szCs w:val="16"/>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Trust</w:t>
            </w:r>
          </w:p>
        </w:tc>
        <w:tc>
          <w:tcPr>
            <w:tcW w:w="6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Westwood</w:t>
            </w:r>
          </w:p>
        </w:tc>
        <w:tc>
          <w:tcPr>
            <w:tcW w:w="64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620" w:type="dxa"/>
            <w:vAlign w:val="bottom"/>
          </w:tcPr>
          <w:p>
            <w:pPr>
              <w:spacing w:after="0"/>
              <w:rPr>
                <w:sz w:val="16"/>
                <w:szCs w:val="16"/>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8"/>
        </w:trPr>
        <w:tc>
          <w:tcPr>
            <w:tcW w:w="24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700" w:type="dxa"/>
            <w:vAlign w:val="bottom"/>
            <w:gridSpan w:val="3"/>
          </w:tcPr>
          <w:p>
            <w:pPr>
              <w:ind w:left="500"/>
              <w:spacing w:after="0"/>
              <w:rPr>
                <w:sz w:val="20"/>
                <w:szCs w:val="20"/>
                <w:color w:val="auto"/>
              </w:rPr>
            </w:pPr>
            <w:r>
              <w:rPr>
                <w:rFonts w:ascii="Arial" w:cs="Arial" w:eastAsia="Arial" w:hAnsi="Arial"/>
                <w:sz w:val="16"/>
                <w:szCs w:val="16"/>
                <w:b w:val="1"/>
                <w:bCs w:val="1"/>
                <w:color w:val="auto"/>
              </w:rPr>
              <w:t>Holdings</w:t>
            </w:r>
          </w:p>
        </w:tc>
        <w:tc>
          <w:tcPr>
            <w:tcW w:w="6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4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6"/>
                <w:szCs w:val="16"/>
                <w:b w:val="1"/>
                <w:bCs w:val="1"/>
                <w:color w:val="auto"/>
                <w:w w:val="95"/>
              </w:rPr>
              <w:t>Three Months Ended June</w:t>
            </w:r>
          </w:p>
        </w:tc>
        <w:tc>
          <w:tcPr>
            <w:tcW w:w="6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30, 2021</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500"/>
              <w:spacing w:after="0" w:line="161" w:lineRule="exact"/>
              <w:rPr>
                <w:sz w:val="20"/>
                <w:szCs w:val="20"/>
                <w:color w:val="auto"/>
              </w:rPr>
            </w:pPr>
            <w:r>
              <w:rPr>
                <w:rFonts w:ascii="Arial" w:cs="Arial" w:eastAsia="Arial" w:hAnsi="Arial"/>
                <w:sz w:val="16"/>
                <w:szCs w:val="16"/>
                <w:color w:val="auto"/>
              </w:rPr>
              <w:t>Net fee revenues from</w:t>
            </w: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4"/>
                <w:szCs w:val="14"/>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4"/>
                <w:szCs w:val="14"/>
                <w:color w:val="auto"/>
              </w:rPr>
            </w:pPr>
          </w:p>
        </w:tc>
        <w:tc>
          <w:tcPr>
            <w:tcW w:w="6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ind w:left="90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6"/>
                <w:szCs w:val="16"/>
                <w:color w:val="auto"/>
              </w:rPr>
              <w:t>external sources</w:t>
            </w:r>
          </w:p>
        </w:tc>
        <w:tc>
          <w:tcPr>
            <w:tcW w:w="6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Net intersegment revenues</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Segment assets</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152,264</w:t>
            </w:r>
          </w:p>
        </w:tc>
        <w:tc>
          <w:tcPr>
            <w:tcW w:w="0" w:type="dxa"/>
            <w:vAlign w:val="bottom"/>
          </w:tcPr>
          <w:p>
            <w:pPr>
              <w:spacing w:after="0"/>
              <w:rPr>
                <w:sz w:val="1"/>
                <w:szCs w:val="1"/>
                <w:color w:val="auto"/>
              </w:rPr>
            </w:pPr>
          </w:p>
        </w:tc>
      </w:tr>
      <w:tr>
        <w:trPr>
          <w:trHeight w:val="224"/>
        </w:trPr>
        <w:tc>
          <w:tcPr>
            <w:tcW w:w="2440" w:type="dxa"/>
            <w:vAlign w:val="bottom"/>
          </w:tcPr>
          <w:p>
            <w:pPr>
              <w:ind w:left="500"/>
              <w:spacing w:after="0"/>
              <w:rPr>
                <w:sz w:val="20"/>
                <w:szCs w:val="20"/>
                <w:color w:val="auto"/>
              </w:rPr>
            </w:pPr>
            <w:r>
              <w:rPr>
                <w:rFonts w:ascii="Arial" w:cs="Arial" w:eastAsia="Arial" w:hAnsi="Arial"/>
                <w:sz w:val="16"/>
                <w:szCs w:val="16"/>
                <w:color w:val="auto"/>
              </w:rPr>
              <w:t>Segment goodwill</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51"/>
        </w:trPr>
        <w:tc>
          <w:tcPr>
            <w:tcW w:w="2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500"/>
              <w:spacing w:after="0" w:line="158" w:lineRule="exact"/>
              <w:rPr>
                <w:sz w:val="20"/>
                <w:szCs w:val="20"/>
                <w:color w:val="auto"/>
              </w:rPr>
            </w:pPr>
            <w:r>
              <w:rPr>
                <w:rFonts w:ascii="Arial" w:cs="Arial" w:eastAsia="Arial" w:hAnsi="Arial"/>
                <w:sz w:val="16"/>
                <w:szCs w:val="16"/>
                <w:b w:val="1"/>
                <w:bCs w:val="1"/>
                <w:color w:val="auto"/>
                <w:w w:val="95"/>
              </w:rPr>
              <w:t>Three Months Ended June</w:t>
            </w: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30, 2020</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40" w:type="dxa"/>
            <w:vAlign w:val="bottom"/>
            <w:shd w:val="clear" w:color="auto" w:fill="CCEEFF"/>
          </w:tcPr>
          <w:p>
            <w:pPr>
              <w:ind w:left="500"/>
              <w:spacing w:after="0" w:line="165" w:lineRule="exact"/>
              <w:rPr>
                <w:sz w:val="20"/>
                <w:szCs w:val="20"/>
                <w:color w:val="auto"/>
              </w:rPr>
            </w:pPr>
            <w:r>
              <w:rPr>
                <w:rFonts w:ascii="Arial" w:cs="Arial" w:eastAsia="Arial" w:hAnsi="Arial"/>
                <w:sz w:val="16"/>
                <w:szCs w:val="16"/>
                <w:color w:val="auto"/>
              </w:rPr>
              <w:t>Net fee revenues from</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sources</w:t>
            </w:r>
          </w:p>
        </w:tc>
        <w:tc>
          <w:tcPr>
            <w:tcW w:w="6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500"/>
              <w:spacing w:after="0"/>
              <w:rPr>
                <w:sz w:val="20"/>
                <w:szCs w:val="20"/>
                <w:color w:val="auto"/>
              </w:rPr>
            </w:pPr>
            <w:r>
              <w:rPr>
                <w:rFonts w:ascii="Arial" w:cs="Arial" w:eastAsia="Arial" w:hAnsi="Arial"/>
                <w:sz w:val="16"/>
                <w:szCs w:val="16"/>
                <w:color w:val="auto"/>
                <w:w w:val="99"/>
              </w:rPr>
              <w:t>Net intersegment revenues</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500"/>
              <w:spacing w:after="0" w:line="162" w:lineRule="exact"/>
              <w:rPr>
                <w:sz w:val="20"/>
                <w:szCs w:val="20"/>
                <w:color w:val="auto"/>
              </w:rPr>
            </w:pPr>
            <w:r>
              <w:rPr>
                <w:rFonts w:ascii="Arial" w:cs="Arial" w:eastAsia="Arial" w:hAnsi="Arial"/>
                <w:sz w:val="16"/>
                <w:szCs w:val="16"/>
                <w:color w:val="auto"/>
              </w:rPr>
              <w:t>Net interest and dividend</w:t>
            </w:r>
          </w:p>
        </w:tc>
        <w:tc>
          <w:tcPr>
            <w:tcW w:w="6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net</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Segment assets</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147,421</w:t>
            </w:r>
          </w:p>
        </w:tc>
        <w:tc>
          <w:tcPr>
            <w:tcW w:w="0" w:type="dxa"/>
            <w:vAlign w:val="bottom"/>
          </w:tcPr>
          <w:p>
            <w:pPr>
              <w:spacing w:after="0"/>
              <w:rPr>
                <w:sz w:val="1"/>
                <w:szCs w:val="1"/>
                <w:color w:val="auto"/>
              </w:rPr>
            </w:pPr>
          </w:p>
        </w:tc>
      </w:tr>
      <w:tr>
        <w:trPr>
          <w:trHeight w:val="224"/>
        </w:trPr>
        <w:tc>
          <w:tcPr>
            <w:tcW w:w="2440" w:type="dxa"/>
            <w:vAlign w:val="bottom"/>
          </w:tcPr>
          <w:p>
            <w:pPr>
              <w:ind w:left="500"/>
              <w:spacing w:after="0"/>
              <w:rPr>
                <w:sz w:val="20"/>
                <w:szCs w:val="20"/>
                <w:color w:val="auto"/>
              </w:rPr>
            </w:pPr>
            <w:r>
              <w:rPr>
                <w:rFonts w:ascii="Arial" w:cs="Arial" w:eastAsia="Arial" w:hAnsi="Arial"/>
                <w:sz w:val="16"/>
                <w:szCs w:val="16"/>
                <w:color w:val="auto"/>
              </w:rPr>
              <w:t>Segment goodwill</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Advisory</w:t>
            </w:r>
          </w:p>
        </w:tc>
        <w:tc>
          <w:tcPr>
            <w:tcW w:w="24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Westwood</w:t>
            </w:r>
          </w:p>
        </w:tc>
        <w:tc>
          <w:tcPr>
            <w:tcW w:w="14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Holdings</w:t>
            </w: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23,794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36,075</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(1,468)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(1,468)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32,773</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intersegment revenues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22,114</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(1,336)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32,544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16" w:lineRule="exact"/>
        <w:rPr>
          <w:sz w:val="20"/>
          <w:szCs w:val="20"/>
          <w:color w:val="auto"/>
        </w:rPr>
      </w:pPr>
    </w:p>
    <w:p>
      <w:pPr>
        <w:ind w:right="20" w:firstLine="475"/>
        <w:spacing w:after="0" w:line="251" w:lineRule="auto"/>
        <w:rPr>
          <w:sz w:val="20"/>
          <w:szCs w:val="20"/>
          <w:color w:val="auto"/>
        </w:rPr>
      </w:pPr>
      <w:r>
        <w:rPr>
          <w:rFonts w:ascii="Arial" w:cs="Arial" w:eastAsia="Arial" w:hAnsi="Arial"/>
          <w:sz w:val="18"/>
          <w:szCs w:val="18"/>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85" w:lineRule="exact"/>
        <w:rPr>
          <w:sz w:val="20"/>
          <w:szCs w:val="20"/>
          <w:color w:val="auto"/>
        </w:rPr>
      </w:pPr>
    </w:p>
    <w:p>
      <w:pPr>
        <w:ind w:right="120" w:firstLine="475"/>
        <w:spacing w:after="0" w:line="276" w:lineRule="auto"/>
        <w:rPr>
          <w:sz w:val="20"/>
          <w:szCs w:val="20"/>
          <w:color w:val="auto"/>
        </w:rPr>
      </w:pPr>
      <w:r>
        <w:rPr>
          <w:rFonts w:ascii="Arial" w:cs="Arial" w:eastAsia="Arial" w:hAnsi="Arial"/>
          <w:sz w:val="17"/>
          <w:szCs w:val="17"/>
          <w:color w:val="auto"/>
        </w:rPr>
        <w:t>Following observable price changes for this investment in the year ended December 31, 2019, we recorded an unrealized gain of $2.8 million. Following InvestCloud's recapitalization in the first quarter of 2021, we recorded a realized gain of approximately $8.3 million when our originally purchased shares were redeemed. Following this redemption we re-invested $4.4 million of our proceeds into newly issued shares of InvestCloud.</w:t>
      </w:r>
    </w:p>
    <w:p>
      <w:pPr>
        <w:spacing w:after="0" w:line="65" w:lineRule="exact"/>
        <w:rPr>
          <w:sz w:val="20"/>
          <w:szCs w:val="20"/>
          <w:color w:val="auto"/>
        </w:rPr>
      </w:pPr>
    </w:p>
    <w:p>
      <w:pPr>
        <w:jc w:val="both"/>
        <w:ind w:right="440" w:firstLine="475"/>
        <w:spacing w:after="0" w:line="328" w:lineRule="auto"/>
        <w:rPr>
          <w:sz w:val="20"/>
          <w:szCs w:val="20"/>
          <w:color w:val="auto"/>
        </w:rPr>
      </w:pPr>
      <w:r>
        <w:rPr>
          <w:rFonts w:ascii="Arial" w:cs="Arial" w:eastAsia="Arial" w:hAnsi="Arial"/>
          <w:sz w:val="15"/>
          <w:szCs w:val="15"/>
          <w:color w:val="auto"/>
        </w:rPr>
        <w:t>Our investment in Charis, the parent company of Westwood Private Bank ("Charis"), is included in “Noncurrent investments at fair value” on our Condensed Consolidated Balance Sheets and is measured at fair value on a recurring basis. In the three and six months ended June 30, 2021, we recorded unrealized gains of approximately $0.2 million and $0.7 million, respectively, following fair value increases from market transactions.</w:t>
      </w:r>
    </w:p>
    <w:p>
      <w:pPr>
        <w:spacing w:after="0" w:line="32" w:lineRule="exact"/>
        <w:rPr>
          <w:sz w:val="20"/>
          <w:szCs w:val="20"/>
          <w:color w:val="auto"/>
        </w:rPr>
      </w:pPr>
    </w:p>
    <w:p>
      <w:pPr>
        <w:ind w:right="140" w:firstLine="475"/>
        <w:spacing w:after="0" w:line="328" w:lineRule="auto"/>
        <w:rPr>
          <w:sz w:val="20"/>
          <w:szCs w:val="20"/>
          <w:color w:val="auto"/>
        </w:rPr>
      </w:pPr>
      <w:r>
        <w:rPr>
          <w:rFonts w:ascii="Arial" w:cs="Arial" w:eastAsia="Arial" w:hAnsi="Arial"/>
          <w:sz w:val="15"/>
          <w:szCs w:val="15"/>
          <w:color w:val="auto"/>
        </w:rPr>
        <w:t>In the three months ended June 30, 2020, we recorded an unrealized gain of $0.3 million, primarily as a result of the banking industry recovery following the previous downturn due to global macroeconomic effects of the Coronavirus disease ("COVID-19") pandemic. In the six months ended June 30, 2020, we recorded an unrealized loss of $0.7 million, primarily as a result of the global macroeconomic effects of COVID-19.</w:t>
      </w:r>
    </w:p>
    <w:p>
      <w:pPr>
        <w:spacing w:after="0" w:line="32" w:lineRule="exact"/>
        <w:rPr>
          <w:sz w:val="20"/>
          <w:szCs w:val="20"/>
          <w:color w:val="auto"/>
        </w:rPr>
      </w:pPr>
    </w:p>
    <w:p>
      <w:pPr>
        <w:jc w:val="both"/>
        <w:ind w:firstLine="475"/>
        <w:spacing w:after="0" w:line="254" w:lineRule="auto"/>
        <w:rPr>
          <w:sz w:val="20"/>
          <w:szCs w:val="20"/>
          <w:color w:val="auto"/>
        </w:rPr>
      </w:pPr>
      <w:r>
        <w:rPr>
          <w:rFonts w:ascii="Arial" w:cs="Arial" w:eastAsia="Arial" w:hAnsi="Arial"/>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800"/>
              <w:spacing w:after="0"/>
              <w:rPr>
                <w:sz w:val="20"/>
                <w:szCs w:val="20"/>
                <w:color w:val="auto"/>
              </w:rPr>
            </w:pPr>
            <w:r>
              <w:rPr>
                <w:rFonts w:ascii="Arial" w:cs="Arial" w:eastAsia="Arial" w:hAnsi="Arial"/>
                <w:sz w:val="16"/>
                <w:szCs w:val="16"/>
                <w:b w:val="1"/>
                <w:bCs w:val="1"/>
                <w:color w:val="auto"/>
              </w:rPr>
              <w:t>Gross</w:t>
            </w:r>
          </w:p>
        </w:tc>
        <w:tc>
          <w:tcPr>
            <w:tcW w:w="1680" w:type="dxa"/>
            <w:vAlign w:val="bottom"/>
            <w:gridSpan w:val="3"/>
          </w:tcPr>
          <w:p>
            <w:pPr>
              <w:ind w:left="820"/>
              <w:spacing w:after="0"/>
              <w:rPr>
                <w:sz w:val="20"/>
                <w:szCs w:val="20"/>
                <w:color w:val="auto"/>
              </w:rPr>
            </w:pPr>
            <w:r>
              <w:rPr>
                <w:rFonts w:ascii="Arial" w:cs="Arial" w:eastAsia="Arial" w:hAnsi="Arial"/>
                <w:sz w:val="16"/>
                <w:szCs w:val="16"/>
                <w:b w:val="1"/>
                <w:bCs w:val="1"/>
                <w:color w:val="auto"/>
              </w:rPr>
              <w:t>Gross</w:t>
            </w:r>
          </w:p>
        </w:tc>
        <w:tc>
          <w:tcPr>
            <w:tcW w:w="580" w:type="dxa"/>
            <w:vAlign w:val="bottom"/>
          </w:tcPr>
          <w:p>
            <w:pPr>
              <w:spacing w:after="0"/>
              <w:rPr>
                <w:sz w:val="16"/>
                <w:szCs w:val="16"/>
                <w:color w:val="auto"/>
              </w:rPr>
            </w:pPr>
          </w:p>
        </w:tc>
        <w:tc>
          <w:tcPr>
            <w:tcW w:w="102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Unrealized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ind w:right="573"/>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tcPr>
          <w:p>
            <w:pPr>
              <w:jc w:val="right"/>
              <w:ind w:right="116"/>
              <w:spacing w:after="0"/>
              <w:rPr>
                <w:sz w:val="20"/>
                <w:szCs w:val="20"/>
                <w:color w:val="auto"/>
              </w:rPr>
            </w:pPr>
            <w:r>
              <w:rPr>
                <w:rFonts w:ascii="Arial" w:cs="Arial" w:eastAsia="Arial" w:hAnsi="Arial"/>
                <w:sz w:val="16"/>
                <w:szCs w:val="16"/>
                <w:b w:val="1"/>
                <w:bCs w:val="1"/>
                <w:color w:val="auto"/>
              </w:rPr>
              <w:t>Gains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6"/>
              <w:spacing w:after="0"/>
              <w:rPr>
                <w:sz w:val="20"/>
                <w:szCs w:val="20"/>
                <w:color w:val="auto"/>
              </w:rPr>
            </w:pPr>
            <w:r>
              <w:rPr>
                <w:rFonts w:ascii="Arial" w:cs="Arial" w:eastAsia="Arial" w:hAnsi="Arial"/>
                <w:sz w:val="16"/>
                <w:szCs w:val="16"/>
                <w:b w:val="1"/>
                <w:bCs w:val="1"/>
                <w:color w:val="auto"/>
              </w:rPr>
              <w:t>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33"/>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June 30, 2021:</w:t>
            </w:r>
          </w:p>
        </w:tc>
        <w:tc>
          <w:tcPr>
            <w:tcW w:w="7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w w:val="94"/>
              </w:rPr>
              <w:t>U.S. Government and Government agency obligations</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62,831</w:t>
            </w:r>
          </w:p>
        </w:tc>
        <w:tc>
          <w:tcPr>
            <w:tcW w:w="120" w:type="dxa"/>
            <w:vAlign w:val="bottom"/>
          </w:tcPr>
          <w:p>
            <w:pPr>
              <w:spacing w:after="0"/>
              <w:rPr>
                <w:sz w:val="19"/>
                <w:szCs w:val="19"/>
                <w:color w:val="auto"/>
              </w:rPr>
            </w:pPr>
          </w:p>
        </w:tc>
        <w:tc>
          <w:tcPr>
            <w:tcW w:w="116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(437)</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62,394</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Equity funds</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Equities</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Exchange-traded bond funds</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4620" w:type="dxa"/>
            <w:vAlign w:val="bottom"/>
            <w:tcBorders>
              <w:top w:val="single" w:sz="8" w:color="CCEEFF"/>
            </w:tcBorders>
            <w:shd w:val="clear" w:color="auto" w:fill="CCEEFF"/>
          </w:tcPr>
          <w:p>
            <w:pPr>
              <w:ind w:left="820"/>
              <w:spacing w:after="0" w:line="204" w:lineRule="exact"/>
              <w:rPr>
                <w:sz w:val="20"/>
                <w:szCs w:val="20"/>
                <w:color w:val="auto"/>
              </w:rPr>
            </w:pPr>
            <w:r>
              <w:rPr>
                <w:rFonts w:ascii="Arial" w:cs="Arial" w:eastAsia="Arial" w:hAnsi="Arial"/>
                <w:sz w:val="18"/>
                <w:szCs w:val="18"/>
                <w:color w:val="auto"/>
              </w:rPr>
              <w:t>Total trading securities</w:t>
            </w:r>
          </w:p>
        </w:tc>
        <w:tc>
          <w:tcPr>
            <w:tcW w:w="7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75,312</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(437)</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Private investment fund</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Private equity</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7"/>
        </w:trPr>
        <w:tc>
          <w:tcPr>
            <w:tcW w:w="4620" w:type="dxa"/>
            <w:vAlign w:val="bottom"/>
          </w:tcPr>
          <w:p>
            <w:pPr>
              <w:ind w:left="820"/>
              <w:spacing w:after="0"/>
              <w:rPr>
                <w:sz w:val="20"/>
                <w:szCs w:val="20"/>
                <w:color w:val="auto"/>
              </w:rPr>
            </w:pPr>
            <w:r>
              <w:rPr>
                <w:rFonts w:ascii="Arial" w:cs="Arial" w:eastAsia="Arial" w:hAnsi="Arial"/>
                <w:sz w:val="18"/>
                <w:szCs w:val="18"/>
                <w:color w:val="auto"/>
              </w:rPr>
              <w:t>Total investments carried at fair value</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78,997</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858</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(591)</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79,264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rPr>
              <w:t>December 31, 2020:</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U.S. Government and Government agency obligations</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64,954</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Equity funds</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Equities</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Exchange-traded bond funds</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4620" w:type="dxa"/>
            <w:vAlign w:val="bottom"/>
          </w:tcPr>
          <w:p>
            <w:pPr>
              <w:ind w:left="820"/>
              <w:spacing w:after="0" w:line="204" w:lineRule="exact"/>
              <w:rPr>
                <w:sz w:val="20"/>
                <w:szCs w:val="20"/>
                <w:color w:val="auto"/>
              </w:rPr>
            </w:pPr>
            <w:r>
              <w:rPr>
                <w:rFonts w:ascii="Arial" w:cs="Arial" w:eastAsia="Arial" w:hAnsi="Arial"/>
                <w:sz w:val="18"/>
                <w:szCs w:val="18"/>
                <w:color w:val="auto"/>
              </w:rPr>
              <w:t>Total trading securities</w:t>
            </w:r>
          </w:p>
        </w:tc>
        <w:tc>
          <w:tcPr>
            <w:tcW w:w="7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69,628</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(185)</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69,542</w:t>
            </w: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Private investment fund</w:t>
            </w: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4"/>
        </w:trPr>
        <w:tc>
          <w:tcPr>
            <w:tcW w:w="462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462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investments carried at fair value</w:t>
            </w:r>
          </w:p>
        </w:tc>
        <w:tc>
          <w:tcPr>
            <w:tcW w:w="7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6" w:lineRule="exact"/>
        <w:rPr>
          <w:sz w:val="20"/>
          <w:szCs w:val="20"/>
          <w:color w:val="auto"/>
        </w:rPr>
      </w:pPr>
    </w:p>
    <w:p>
      <w:pPr>
        <w:ind w:right="120" w:firstLine="475"/>
        <w:spacing w:after="0" w:line="263"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75" w:lineRule="exact"/>
        <w:rPr>
          <w:sz w:val="20"/>
          <w:szCs w:val="20"/>
          <w:color w:val="auto"/>
        </w:rPr>
      </w:pPr>
    </w:p>
    <w:p>
      <w:pPr>
        <w:ind w:left="1120" w:hanging="56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09" w:lineRule="exact"/>
        <w:rPr>
          <w:rFonts w:ascii="Arial" w:cs="Arial" w:eastAsia="Arial" w:hAnsi="Arial"/>
          <w:sz w:val="18"/>
          <w:szCs w:val="18"/>
          <w:color w:val="auto"/>
        </w:rPr>
      </w:pPr>
    </w:p>
    <w:p>
      <w:pPr>
        <w:ind w:left="1120" w:hanging="56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09" w:lineRule="exact"/>
        <w:rPr>
          <w:rFonts w:ascii="Arial" w:cs="Arial" w:eastAsia="Arial" w:hAnsi="Arial"/>
          <w:sz w:val="18"/>
          <w:szCs w:val="18"/>
          <w:color w:val="auto"/>
        </w:rPr>
      </w:pPr>
    </w:p>
    <w:p>
      <w:pPr>
        <w:ind w:left="1120" w:hanging="56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0" w:lineRule="exact"/>
        <w:rPr>
          <w:sz w:val="20"/>
          <w:szCs w:val="20"/>
          <w:color w:val="auto"/>
        </w:rPr>
      </w:pPr>
    </w:p>
    <w:p>
      <w:pPr>
        <w:ind w:right="280" w:firstLine="475"/>
        <w:spacing w:after="0" w:line="263" w:lineRule="auto"/>
        <w:rPr>
          <w:sz w:val="20"/>
          <w:szCs w:val="20"/>
          <w:color w:val="auto"/>
        </w:rPr>
      </w:pPr>
      <w:r>
        <w:rPr>
          <w:rFonts w:ascii="Arial" w:cs="Arial" w:eastAsia="Arial" w:hAnsi="Arial"/>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ind w:right="140" w:firstLine="475"/>
        <w:spacing w:after="0" w:line="263"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tbl>
      <w:tblPr>
        <w:tblLayout w:type="fixed"/>
        <w:tblInd w:w="0" w:type="dxa"/>
        <w:tblCellMar>
          <w:top w:w="0" w:type="dxa"/>
          <w:left w:w="0" w:type="dxa"/>
          <w:bottom w:w="0" w:type="dxa"/>
          <w:right w:w="0" w:type="dxa"/>
        </w:tblCellMar>
      </w:tblPr>
      <w:tr>
        <w:trPr>
          <w:trHeight w:val="166"/>
        </w:trPr>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640" w:type="dxa"/>
            <w:vAlign w:val="bottom"/>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Level 2</w:t>
            </w:r>
          </w:p>
        </w:tc>
        <w:tc>
          <w:tcPr>
            <w:tcW w:w="66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580" w:type="dxa"/>
            <w:vAlign w:val="bottom"/>
          </w:tcPr>
          <w:p>
            <w:pPr>
              <w:spacing w:after="0"/>
              <w:rPr>
                <w:sz w:val="14"/>
                <w:szCs w:val="14"/>
                <w:color w:val="auto"/>
              </w:rPr>
            </w:pPr>
          </w:p>
        </w:tc>
        <w:tc>
          <w:tcPr>
            <w:tcW w:w="1040" w:type="dxa"/>
            <w:vAlign w:val="bottom"/>
            <w:gridSpan w:val="2"/>
          </w:tcPr>
          <w:p>
            <w:pPr>
              <w:ind w:left="20"/>
              <w:spacing w:after="0" w:line="166" w:lineRule="exact"/>
              <w:rPr>
                <w:sz w:val="20"/>
                <w:szCs w:val="20"/>
                <w:color w:val="auto"/>
              </w:rPr>
            </w:pPr>
            <w:r>
              <w:rPr>
                <w:rFonts w:ascii="Arial" w:cs="Arial" w:eastAsia="Arial" w:hAnsi="Arial"/>
                <w:sz w:val="16"/>
                <w:szCs w:val="16"/>
                <w:b w:val="1"/>
                <w:bCs w:val="1"/>
                <w:color w:val="auto"/>
              </w:rPr>
              <w:t>Investments</w:t>
            </w:r>
          </w:p>
        </w:tc>
        <w:tc>
          <w:tcPr>
            <w:tcW w:w="720" w:type="dxa"/>
            <w:vAlign w:val="bottom"/>
          </w:tcPr>
          <w:p>
            <w:pPr>
              <w:spacing w:after="0"/>
              <w:rPr>
                <w:sz w:val="14"/>
                <w:szCs w:val="14"/>
                <w:color w:val="auto"/>
              </w:rPr>
            </w:pPr>
          </w:p>
        </w:tc>
        <w:tc>
          <w:tcPr>
            <w:tcW w:w="880" w:type="dxa"/>
            <w:vAlign w:val="bottom"/>
            <w:vMerge w:val="restart"/>
          </w:tcPr>
          <w:p>
            <w:pPr>
              <w:jc w:val="right"/>
              <w:ind w:right="29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20" w:type="dxa"/>
            <w:vAlign w:val="bottom"/>
            <w:gridSpan w:val="3"/>
          </w:tcPr>
          <w:p>
            <w:pPr>
              <w:ind w:left="80"/>
              <w:spacing w:after="0" w:line="211" w:lineRule="exact"/>
              <w:rPr>
                <w:sz w:val="20"/>
                <w:szCs w:val="20"/>
                <w:color w:val="auto"/>
              </w:rPr>
            </w:pPr>
            <w:r>
              <w:rPr>
                <w:rFonts w:ascii="Arial" w:cs="Arial" w:eastAsia="Arial" w:hAnsi="Arial"/>
                <w:sz w:val="16"/>
                <w:szCs w:val="16"/>
                <w:b w:val="1"/>
                <w:bCs w:val="1"/>
                <w:color w:val="auto"/>
                <w:w w:val="99"/>
              </w:rPr>
              <w:t xml:space="preserve">Measured at NAV </w:t>
            </w:r>
            <w:r>
              <w:rPr>
                <w:rFonts w:ascii="Arial" w:cs="Arial" w:eastAsia="Arial" w:hAnsi="Arial"/>
                <w:sz w:val="20"/>
                <w:szCs w:val="20"/>
                <w:color w:val="auto"/>
                <w:w w:val="99"/>
                <w:vertAlign w:val="superscript"/>
              </w:rPr>
              <w:t>(1)</w:t>
            </w:r>
          </w:p>
        </w:tc>
        <w:tc>
          <w:tcPr>
            <w:tcW w:w="7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tcBorders>
              <w:top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b w:val="1"/>
                <w:bCs w:val="1"/>
                <w:color w:val="auto"/>
              </w:rPr>
              <w:t>As of June 30, 2021:</w:t>
            </w: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500"/>
              <w:spacing w:after="0"/>
              <w:rPr>
                <w:sz w:val="20"/>
                <w:szCs w:val="20"/>
                <w:color w:val="auto"/>
              </w:rPr>
            </w:pPr>
            <w:r>
              <w:rPr>
                <w:rFonts w:ascii="Arial" w:cs="Arial" w:eastAsia="Arial" w:hAnsi="Arial"/>
                <w:sz w:val="18"/>
                <w:szCs w:val="18"/>
                <w:color w:val="auto"/>
              </w:rPr>
              <w:t>Investments in trading securities</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75,066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75,066</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Private investment fund</w:t>
            </w:r>
          </w:p>
        </w:tc>
        <w:tc>
          <w:tcPr>
            <w:tcW w:w="7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Private equity</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w:t>
            </w:r>
          </w:p>
        </w:tc>
        <w:tc>
          <w:tcPr>
            <w:tcW w:w="0" w:type="dxa"/>
            <w:vAlign w:val="bottom"/>
          </w:tcPr>
          <w:p>
            <w:pPr>
              <w:spacing w:after="0"/>
              <w:rPr>
                <w:sz w:val="1"/>
                <w:szCs w:val="1"/>
                <w:color w:val="auto"/>
              </w:rPr>
            </w:pPr>
          </w:p>
        </w:tc>
      </w:tr>
      <w:tr>
        <w:trPr>
          <w:trHeight w:val="153"/>
        </w:trPr>
        <w:tc>
          <w:tcPr>
            <w:tcW w:w="3140" w:type="dxa"/>
            <w:vAlign w:val="bottom"/>
            <w:shd w:val="clear" w:color="auto" w:fill="CCEEFF"/>
          </w:tcPr>
          <w:p>
            <w:pPr>
              <w:ind w:left="820"/>
              <w:spacing w:after="0" w:line="153" w:lineRule="exact"/>
              <w:rPr>
                <w:sz w:val="20"/>
                <w:szCs w:val="20"/>
                <w:color w:val="auto"/>
              </w:rPr>
            </w:pPr>
            <w:r>
              <w:rPr>
                <w:rFonts w:ascii="Arial" w:cs="Arial" w:eastAsia="Arial" w:hAnsi="Arial"/>
                <w:sz w:val="17"/>
                <w:szCs w:val="17"/>
                <w:color w:val="auto"/>
              </w:rPr>
              <w:t>Total assets measured at fair</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75,066</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4,087</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79,264</w:t>
            </w: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340"/>
              <w:spacing w:after="0" w:line="197" w:lineRule="exact"/>
              <w:rPr>
                <w:sz w:val="20"/>
                <w:szCs w:val="20"/>
                <w:color w:val="auto"/>
              </w:rPr>
            </w:pPr>
            <w:r>
              <w:rPr>
                <w:rFonts w:ascii="Arial" w:cs="Arial" w:eastAsia="Arial" w:hAnsi="Arial"/>
                <w:sz w:val="18"/>
                <w:szCs w:val="18"/>
                <w:color w:val="auto"/>
              </w:rPr>
              <w:t>value</w:t>
            </w:r>
          </w:p>
        </w:tc>
        <w:tc>
          <w:tcPr>
            <w:tcW w:w="7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As of December 31, 2020:</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500"/>
              <w:spacing w:after="0"/>
              <w:rPr>
                <w:sz w:val="20"/>
                <w:szCs w:val="20"/>
                <w:color w:val="auto"/>
              </w:rPr>
            </w:pPr>
            <w:r>
              <w:rPr>
                <w:rFonts w:ascii="Arial" w:cs="Arial" w:eastAsia="Arial" w:hAnsi="Arial"/>
                <w:sz w:val="18"/>
                <w:szCs w:val="18"/>
                <w:color w:val="auto"/>
              </w:rPr>
              <w:t>Investments in trading securities</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69,542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69,542</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Private investment fund</w:t>
            </w:r>
          </w:p>
        </w:tc>
        <w:tc>
          <w:tcPr>
            <w:tcW w:w="7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4"/>
        </w:trPr>
        <w:tc>
          <w:tcPr>
            <w:tcW w:w="31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Private equity</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w:t>
            </w:r>
          </w:p>
        </w:tc>
        <w:tc>
          <w:tcPr>
            <w:tcW w:w="0" w:type="dxa"/>
            <w:vAlign w:val="bottom"/>
          </w:tcPr>
          <w:p>
            <w:pPr>
              <w:spacing w:after="0"/>
              <w:rPr>
                <w:sz w:val="1"/>
                <w:szCs w:val="1"/>
                <w:color w:val="auto"/>
              </w:rPr>
            </w:pPr>
          </w:p>
        </w:tc>
      </w:tr>
      <w:tr>
        <w:trPr>
          <w:trHeight w:val="153"/>
        </w:trPr>
        <w:tc>
          <w:tcPr>
            <w:tcW w:w="3140" w:type="dxa"/>
            <w:vAlign w:val="bottom"/>
            <w:shd w:val="clear" w:color="auto" w:fill="CCEEFF"/>
          </w:tcPr>
          <w:p>
            <w:pPr>
              <w:ind w:left="820"/>
              <w:spacing w:after="0" w:line="153" w:lineRule="exact"/>
              <w:rPr>
                <w:sz w:val="20"/>
                <w:szCs w:val="20"/>
                <w:color w:val="auto"/>
              </w:rPr>
            </w:pPr>
            <w:r>
              <w:rPr>
                <w:rFonts w:ascii="Arial" w:cs="Arial" w:eastAsia="Arial" w:hAnsi="Arial"/>
                <w:sz w:val="17"/>
                <w:szCs w:val="17"/>
                <w:color w:val="auto"/>
              </w:rPr>
              <w:t>Total assets measured at fair</w:t>
            </w:r>
          </w:p>
        </w:tc>
        <w:tc>
          <w:tcPr>
            <w:tcW w:w="70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69,542</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3,431</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73,069</w:t>
            </w: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340"/>
              <w:spacing w:after="0" w:line="197" w:lineRule="exact"/>
              <w:rPr>
                <w:sz w:val="20"/>
                <w:szCs w:val="20"/>
                <w:color w:val="auto"/>
              </w:rPr>
            </w:pPr>
            <w:r>
              <w:rPr>
                <w:rFonts w:ascii="Arial" w:cs="Arial" w:eastAsia="Arial" w:hAnsi="Arial"/>
                <w:sz w:val="18"/>
                <w:szCs w:val="18"/>
                <w:color w:val="auto"/>
              </w:rPr>
              <w:t>value</w:t>
            </w:r>
          </w:p>
        </w:tc>
        <w:tc>
          <w:tcPr>
            <w:tcW w:w="7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0" w:right="380" w:firstLine="479"/>
        <w:spacing w:after="0" w:line="232" w:lineRule="auto"/>
        <w:tabs>
          <w:tab w:leader="none" w:pos="695"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91" w:lineRule="exact"/>
        <w:rPr>
          <w:sz w:val="20"/>
          <w:szCs w:val="20"/>
          <w:color w:val="auto"/>
        </w:rPr>
      </w:pPr>
    </w:p>
    <w:p>
      <w:pPr>
        <w:ind w:right="20" w:firstLine="475"/>
        <w:spacing w:after="0" w:line="270"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summarizes the changes in Level 3 investments measured at fair value on a recurring basis for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2"/>
              </w:rPr>
              <w:t>Fair Value using Significant Unobservable Inputs (Level 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37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1"/>
        </w:trPr>
        <w:tc>
          <w:tcPr>
            <w:tcW w:w="37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Beginning balance</w:t>
            </w:r>
          </w:p>
        </w:tc>
        <w:tc>
          <w:tcPr>
            <w:tcW w:w="13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3,872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172"/>
        </w:trPr>
        <w:tc>
          <w:tcPr>
            <w:tcW w:w="3760" w:type="dxa"/>
            <w:vAlign w:val="bottom"/>
          </w:tcPr>
          <w:p>
            <w:pPr>
              <w:ind w:left="600"/>
              <w:spacing w:after="0" w:line="172" w:lineRule="exact"/>
              <w:rPr>
                <w:sz w:val="20"/>
                <w:szCs w:val="20"/>
                <w:color w:val="auto"/>
              </w:rPr>
            </w:pPr>
            <w:r>
              <w:rPr>
                <w:rFonts w:ascii="Arial" w:cs="Arial" w:eastAsia="Arial" w:hAnsi="Arial"/>
                <w:sz w:val="18"/>
                <w:szCs w:val="18"/>
                <w:color w:val="auto"/>
              </w:rPr>
              <w:t>Unrealized gains (losses) on private</w:t>
            </w:r>
          </w:p>
        </w:tc>
        <w:tc>
          <w:tcPr>
            <w:tcW w:w="13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investments</w:t>
            </w: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Ending balance</w:t>
            </w:r>
          </w:p>
        </w:tc>
        <w:tc>
          <w:tcPr>
            <w:tcW w:w="13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4,087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3,314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right="20" w:firstLine="475"/>
        <w:spacing w:after="0" w:line="276" w:lineRule="auto"/>
        <w:rPr>
          <w:sz w:val="20"/>
          <w:szCs w:val="20"/>
          <w:color w:val="auto"/>
        </w:rPr>
      </w:pPr>
      <w:r>
        <w:rPr>
          <w:rFonts w:ascii="Arial" w:cs="Arial" w:eastAsia="Arial" w:hAnsi="Arial"/>
          <w:sz w:val="17"/>
          <w:szCs w:val="17"/>
          <w:color w:val="auto"/>
        </w:rPr>
        <w:t>The June 30, 2021 private investment fair value of $4.1 million was valued using a market approach based on a price to tangible book value multiple, with unobservable book value multiples ranging from $1.38 to $2.28 per share, with a weighted average of $1.51 per share. Significant increases (decreases) in book value multiples in isolation would have resulted in a significantly higher (lower) fair value measurement.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7. INCOME TAXES</w:t>
      </w:r>
    </w:p>
    <w:p>
      <w:pPr>
        <w:spacing w:after="0" w:line="116" w:lineRule="exact"/>
        <w:rPr>
          <w:sz w:val="20"/>
          <w:szCs w:val="20"/>
          <w:color w:val="auto"/>
        </w:rPr>
      </w:pPr>
    </w:p>
    <w:p>
      <w:pPr>
        <w:ind w:right="260" w:firstLine="475"/>
        <w:spacing w:after="0" w:line="251" w:lineRule="auto"/>
        <w:rPr>
          <w:sz w:val="20"/>
          <w:szCs w:val="20"/>
          <w:color w:val="auto"/>
        </w:rPr>
      </w:pPr>
      <w:r>
        <w:rPr>
          <w:rFonts w:ascii="Arial" w:cs="Arial" w:eastAsia="Arial" w:hAnsi="Arial"/>
          <w:sz w:val="18"/>
          <w:szCs w:val="18"/>
          <w:color w:val="auto"/>
        </w:rPr>
        <w:t>Our effective income tax rate differed from the 21% statutory rate for the first and second quarters of 2021 and 2020 due to permanent differences between book and tax restricted stock expense based on a decrease in our stock price between the restricted stock grant and vesting dates. In addition, in the first quarter of 2020, a discrete benefit adjustment (related to the remeasurement of certain deferred taxes following the enactment of the Coronavirus Aid, Relief, and Economic Security Act) lowered our effective tax rate.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16" w:lineRule="exact"/>
        <w:rPr>
          <w:sz w:val="20"/>
          <w:szCs w:val="20"/>
          <w:color w:val="auto"/>
        </w:rPr>
      </w:pPr>
    </w:p>
    <w:p>
      <w:pPr>
        <w:ind w:right="40" w:firstLine="475"/>
        <w:spacing w:after="0" w:line="254" w:lineRule="auto"/>
        <w:rPr>
          <w:sz w:val="20"/>
          <w:szCs w:val="20"/>
          <w:color w:val="auto"/>
        </w:rPr>
      </w:pPr>
      <w:r>
        <w:rPr>
          <w:rFonts w:ascii="Arial" w:cs="Arial" w:eastAsia="Arial" w:hAnsi="Arial"/>
          <w:sz w:val="18"/>
          <w:szCs w:val="18"/>
          <w:color w:val="auto"/>
        </w:rPr>
        <w:t>Basic earnings (loss) per common share is computed by dividing net income (loss) available to common stockholders by the weighted average number of shares outstanding for the applicable period. Diluted earnings (loss) per share is computed based on the weighted average number of shares outstanding plus the effect of any dilutive shares of restricted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stock granted to employees and non-employee directors. There were approximately 139,000 and 326,000 anti-dilutive restricted shares outstanding for the three months ended June 30, 2021 and June 30, 2020, respectively. There were approximately 186,000 and 229,000 anti-dilutive restricted shares outstanding for the six months ended June 30, 2021 and June 30, 2020, respectively.</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sets forth the computation of basic and diluted earnings (loss) per share (in thousands, except per share and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760" w:type="dxa"/>
            <w:vAlign w:val="bottom"/>
          </w:tcPr>
          <w:p>
            <w:pPr>
              <w:spacing w:after="0"/>
              <w:rPr>
                <w:sz w:val="18"/>
                <w:szCs w:val="18"/>
                <w:color w:val="auto"/>
              </w:rPr>
            </w:pPr>
          </w:p>
        </w:tc>
        <w:tc>
          <w:tcPr>
            <w:tcW w:w="2800" w:type="dxa"/>
            <w:vAlign w:val="bottom"/>
            <w:gridSpan w:val="4"/>
          </w:tcPr>
          <w:p>
            <w:pPr>
              <w:jc w:val="right"/>
              <w:ind w:right="533"/>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5"/>
        </w:trPr>
        <w:tc>
          <w:tcPr>
            <w:tcW w:w="40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1"/>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income (loss)</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90"/>
              </w:rPr>
              <w:t>Weighted average shares outstanding - basic</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7,884,771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7,879,698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7,885,901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8,147,045</w:t>
            </w:r>
          </w:p>
        </w:tc>
        <w:tc>
          <w:tcPr>
            <w:tcW w:w="0" w:type="dxa"/>
            <w:vAlign w:val="bottom"/>
          </w:tcPr>
          <w:p>
            <w:pPr>
              <w:spacing w:after="0"/>
              <w:rPr>
                <w:sz w:val="1"/>
                <w:szCs w:val="1"/>
                <w:color w:val="auto"/>
              </w:rPr>
            </w:pPr>
          </w:p>
        </w:tc>
      </w:tr>
      <w:tr>
        <w:trPr>
          <w:trHeight w:val="172"/>
        </w:trPr>
        <w:tc>
          <w:tcPr>
            <w:tcW w:w="4040" w:type="dxa"/>
            <w:vAlign w:val="bottom"/>
          </w:tcPr>
          <w:p>
            <w:pPr>
              <w:ind w:left="500"/>
              <w:spacing w:after="0" w:line="172" w:lineRule="exact"/>
              <w:rPr>
                <w:sz w:val="20"/>
                <w:szCs w:val="20"/>
                <w:color w:val="auto"/>
              </w:rPr>
            </w:pPr>
            <w:r>
              <w:rPr>
                <w:rFonts w:ascii="Arial" w:cs="Arial" w:eastAsia="Arial" w:hAnsi="Arial"/>
                <w:sz w:val="18"/>
                <w:szCs w:val="18"/>
                <w:color w:val="auto"/>
                <w:w w:val="90"/>
              </w:rPr>
              <w:t>Dilutive potential shares from unvested restricted</w:t>
            </w:r>
          </w:p>
        </w:tc>
        <w:tc>
          <w:tcPr>
            <w:tcW w:w="7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43,335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36,841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87"/>
              </w:rPr>
              <w:t>Weighted average shares outstanding - diluted</w:t>
            </w:r>
          </w:p>
        </w:tc>
        <w:tc>
          <w:tcPr>
            <w:tcW w:w="7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7,928,106</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7,879,698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7,922,742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8,147,045</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Earnings (loss) per share:</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500"/>
              <w:spacing w:after="0"/>
              <w:rPr>
                <w:sz w:val="20"/>
                <w:szCs w:val="20"/>
                <w:color w:val="auto"/>
              </w:rPr>
            </w:pPr>
            <w:r>
              <w:rPr>
                <w:rFonts w:ascii="Arial" w:cs="Arial" w:eastAsia="Arial" w:hAnsi="Arial"/>
                <w:sz w:val="18"/>
                <w:szCs w:val="18"/>
                <w:color w:val="auto"/>
              </w:rPr>
              <w:t>Basic</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6" w:lineRule="exact"/>
        <w:rPr>
          <w:sz w:val="20"/>
          <w:szCs w:val="20"/>
          <w:color w:val="auto"/>
        </w:rPr>
      </w:pPr>
    </w:p>
    <w:p>
      <w:pPr>
        <w:jc w:val="both"/>
        <w:ind w:right="100" w:firstLine="475"/>
        <w:spacing w:after="0" w:line="251"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2020, and recorded $3.4 million of impairment expense related to our Advisory segment. No goodwill impairments were recorded during the three and six months ended June 30, 2021 or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16" w:lineRule="exact"/>
        <w:rPr>
          <w:sz w:val="20"/>
          <w:szCs w:val="20"/>
          <w:color w:val="auto"/>
        </w:rPr>
      </w:pPr>
    </w:p>
    <w:p>
      <w:pPr>
        <w:ind w:right="120" w:firstLine="475"/>
        <w:spacing w:after="0" w:line="270"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2021 or June 30,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10. LEASES</w:t>
      </w:r>
    </w:p>
    <w:p>
      <w:pPr>
        <w:spacing w:after="0" w:line="116" w:lineRule="exact"/>
        <w:rPr>
          <w:sz w:val="20"/>
          <w:szCs w:val="20"/>
          <w:color w:val="auto"/>
        </w:rPr>
      </w:pPr>
    </w:p>
    <w:p>
      <w:pPr>
        <w:ind w:right="40" w:firstLine="475"/>
        <w:spacing w:after="0" w:line="263" w:lineRule="auto"/>
        <w:rPr>
          <w:sz w:val="20"/>
          <w:szCs w:val="20"/>
          <w:color w:val="auto"/>
        </w:rPr>
      </w:pPr>
      <w:r>
        <w:rPr>
          <w:rFonts w:ascii="Arial" w:cs="Arial" w:eastAsia="Arial" w:hAnsi="Arial"/>
          <w:sz w:val="18"/>
          <w:szCs w:val="18"/>
          <w:color w:val="auto"/>
        </w:rPr>
        <w:t>In February 2021, we sublet approximately 10,000 square feet of our Dallas, Texas office space to a third party. The agreement began in the first quarter of 2021 and provides for monthly rent of approximately $20,000 through the fourth quarter of 2025.</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February 2021, we terminated our Toronto, Ontario office space lease, originally expiring in October 2021.</w:t>
      </w:r>
    </w:p>
    <w:p>
      <w:pPr>
        <w:spacing w:after="0" w:line="110" w:lineRule="exact"/>
        <w:rPr>
          <w:sz w:val="20"/>
          <w:szCs w:val="20"/>
          <w:color w:val="auto"/>
        </w:rPr>
      </w:pPr>
    </w:p>
    <w:p>
      <w:pPr>
        <w:ind w:firstLine="475"/>
        <w:spacing w:after="0" w:line="254" w:lineRule="auto"/>
        <w:rPr>
          <w:sz w:val="20"/>
          <w:szCs w:val="20"/>
          <w:color w:val="auto"/>
        </w:rPr>
      </w:pPr>
      <w:r>
        <w:rPr>
          <w:rFonts w:ascii="Arial" w:cs="Arial" w:eastAsia="Arial" w:hAnsi="Arial"/>
          <w:sz w:val="18"/>
          <w:szCs w:val="18"/>
          <w:color w:val="auto"/>
        </w:rPr>
        <w:t>As of June 30, 2021, aside from the above, there have been no material changes outside the ordinary course of business to our leases since December 31, 2020. For information regarding our leases, refer to Note 11 “Leases” in Part IV, Item 15. “Exhibits, Financial Statement Schedules” in our Annual Report on Form 10-K for the fiscal year ended December 31, 2020.</w:t>
      </w:r>
    </w:p>
    <w:p>
      <w:pPr>
        <w:spacing w:after="0" w:line="200" w:lineRule="exact"/>
        <w:rPr>
          <w:sz w:val="20"/>
          <w:szCs w:val="20"/>
          <w:color w:val="auto"/>
        </w:rPr>
      </w:pPr>
    </w:p>
    <w:p>
      <w:pPr>
        <w:spacing w:after="0" w:line="220" w:lineRule="exact"/>
        <w:rPr>
          <w:sz w:val="20"/>
          <w:szCs w:val="20"/>
          <w:color w:val="auto"/>
        </w:rPr>
      </w:pPr>
    </w:p>
    <w:p>
      <w:pPr>
        <w:ind w:right="8720" w:firstLine="6"/>
        <w:spacing w:after="0" w:line="430" w:lineRule="auto"/>
        <w:tabs>
          <w:tab w:leader="none" w:pos="25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Repurchase Program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jc w:val="both"/>
        <w:ind w:right="160" w:firstLine="475"/>
        <w:spacing w:after="0" w:line="254" w:lineRule="auto"/>
        <w:rPr>
          <w:sz w:val="20"/>
          <w:szCs w:val="20"/>
          <w:color w:val="auto"/>
        </w:rPr>
      </w:pPr>
      <w:r>
        <w:rPr>
          <w:rFonts w:ascii="Arial" w:cs="Arial" w:eastAsia="Arial" w:hAnsi="Arial"/>
          <w:sz w:val="18"/>
          <w:szCs w:val="18"/>
          <w:color w:val="auto"/>
        </w:rPr>
        <w:t>In February 2020, our Board of Directors authorized management to repurchase up to an additional $10.0 million of our outstanding common stock on the open market or in privately negotiated transactions. In April 2020, our Board of Directors authorized management to repurchase up to an additional $10.0 million of share repurchases under our share repurchase program.</w:t>
      </w:r>
    </w:p>
    <w:p>
      <w:pPr>
        <w:spacing w:after="0" w:line="82" w:lineRule="exact"/>
        <w:rPr>
          <w:sz w:val="20"/>
          <w:szCs w:val="20"/>
          <w:color w:val="auto"/>
        </w:rPr>
      </w:pPr>
    </w:p>
    <w:p>
      <w:pPr>
        <w:ind w:right="240" w:firstLine="475"/>
        <w:spacing w:after="0" w:line="251" w:lineRule="auto"/>
        <w:rPr>
          <w:sz w:val="20"/>
          <w:szCs w:val="20"/>
          <w:color w:val="auto"/>
        </w:rPr>
      </w:pPr>
      <w:r>
        <w:rPr>
          <w:rFonts w:ascii="Arial" w:cs="Arial" w:eastAsia="Arial" w:hAnsi="Arial"/>
          <w:sz w:val="18"/>
          <w:szCs w:val="18"/>
          <w:color w:val="auto"/>
        </w:rPr>
        <w:t>During the three months ended June 30, 2021, the Company repurchased 18,866 shares of our common stock at an average price of $15.63 per share, including commissions, for an aggregate purchase price of $0.3 million under our share repurchase plan. During the six months ended June 30, 2021, the Company repurchased 111,357 shares of our common stock at an average price of $15.27 per share, including commissions, for an aggregate purchase price of $1.7 million under our share repurchase plan.</w:t>
      </w:r>
    </w:p>
    <w:p>
      <w:pPr>
        <w:spacing w:after="0" w:line="85" w:lineRule="exact"/>
        <w:rPr>
          <w:sz w:val="20"/>
          <w:szCs w:val="20"/>
          <w:color w:val="auto"/>
        </w:rPr>
      </w:pPr>
    </w:p>
    <w:p>
      <w:pPr>
        <w:ind w:right="160" w:firstLine="475"/>
        <w:spacing w:after="0" w:line="251" w:lineRule="auto"/>
        <w:rPr>
          <w:sz w:val="20"/>
          <w:szCs w:val="20"/>
          <w:color w:val="auto"/>
        </w:rPr>
      </w:pPr>
      <w:r>
        <w:rPr>
          <w:rFonts w:ascii="Arial" w:cs="Arial" w:eastAsia="Arial" w:hAnsi="Arial"/>
          <w:sz w:val="18"/>
          <w:szCs w:val="18"/>
          <w:color w:val="auto"/>
        </w:rPr>
        <w:t>During the three months ended June 30, 2020, the Company repurchased 407,697 shares of our common stock at an average price of $19.83 per share, including commissions, for an aggregate purchase price of $8.1 million under our share repurchase plan. During the six months ended June 30, 2020, the Company repurchased 679,756 shares of our common stock at an average price of $19.05 per share, including commissions, for an aggregate purchase price of $13.0 million under our share repurchase plan.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16" w:lineRule="exact"/>
        <w:rPr>
          <w:sz w:val="20"/>
          <w:szCs w:val="20"/>
          <w:color w:val="auto"/>
        </w:rPr>
      </w:pPr>
    </w:p>
    <w:p>
      <w:pPr>
        <w:ind w:right="300" w:firstLine="475"/>
        <w:spacing w:after="0" w:line="251" w:lineRule="auto"/>
        <w:rPr>
          <w:sz w:val="20"/>
          <w:szCs w:val="20"/>
          <w:color w:val="auto"/>
        </w:rPr>
      </w:pPr>
      <w:r>
        <w:rPr>
          <w:rFonts w:ascii="Arial" w:cs="Arial" w:eastAsia="Arial" w:hAnsi="Arial"/>
          <w:sz w:val="18"/>
          <w:szCs w:val="18"/>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w:t>
      </w:r>
      <w:r>
        <w:rPr>
          <w:rFonts w:ascii="Arial" w:cs="Arial" w:eastAsia="Arial" w:hAnsi="Arial"/>
          <w:sz w:val="18"/>
          <w:szCs w:val="18"/>
          <w:color w:val="222222"/>
        </w:rPr>
        <w:t>“Investments”</w:t>
      </w:r>
      <w:r>
        <w:rPr>
          <w:rFonts w:ascii="Arial" w:cs="Arial" w:eastAsia="Arial" w:hAnsi="Arial"/>
          <w:sz w:val="18"/>
          <w:szCs w:val="18"/>
          <w:color w:val="auto"/>
        </w:rPr>
        <w:t xml:space="preserve"> (“Private Equity”) to determine whether each of these entities is a variable interest entity (“VIE”) or voting ownership entity (“VOE”).</w:t>
      </w:r>
    </w:p>
    <w:p>
      <w:pPr>
        <w:spacing w:after="0" w:line="85" w:lineRule="exact"/>
        <w:rPr>
          <w:sz w:val="20"/>
          <w:szCs w:val="20"/>
          <w:color w:val="auto"/>
        </w:rPr>
      </w:pPr>
    </w:p>
    <w:p>
      <w:pPr>
        <w:ind w:right="300" w:firstLine="475"/>
        <w:spacing w:after="0" w:line="254"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82" w:lineRule="exact"/>
        <w:rPr>
          <w:sz w:val="20"/>
          <w:szCs w:val="20"/>
          <w:color w:val="auto"/>
        </w:rPr>
      </w:pPr>
    </w:p>
    <w:p>
      <w:pPr>
        <w:ind w:right="540" w:firstLine="475"/>
        <w:spacing w:after="0" w:line="276" w:lineRule="auto"/>
        <w:rPr>
          <w:sz w:val="20"/>
          <w:szCs w:val="20"/>
          <w:color w:val="auto"/>
        </w:rPr>
      </w:pPr>
      <w:r>
        <w:rPr>
          <w:rFonts w:ascii="Arial" w:cs="Arial" w:eastAsia="Arial" w:hAnsi="Arial"/>
          <w:sz w:val="17"/>
          <w:szCs w:val="17"/>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65" w:lineRule="exact"/>
        <w:rPr>
          <w:sz w:val="20"/>
          <w:szCs w:val="20"/>
          <w:color w:val="auto"/>
        </w:rPr>
      </w:pPr>
    </w:p>
    <w:p>
      <w:pPr>
        <w:ind w:right="280" w:firstLine="475"/>
        <w:spacing w:after="0" w:line="263" w:lineRule="auto"/>
        <w:rPr>
          <w:sz w:val="20"/>
          <w:szCs w:val="20"/>
          <w:color w:val="auto"/>
        </w:rPr>
      </w:pPr>
      <w:r>
        <w:rPr>
          <w:rFonts w:ascii="Arial" w:cs="Arial" w:eastAsia="Arial" w:hAnsi="Arial"/>
          <w:sz w:val="18"/>
          <w:szCs w:val="18"/>
          <w:color w:val="auto"/>
        </w:rPr>
        <w:t>Based on our analyses of our investments in these entities for the periods ended June 30, 2021 and December 31, 2020, we have not consolidated the CTFs or Private Funds under the VIE method or the Westwood Funds® or Private Equity under the VOE method.</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recognized fee revenue from the Westwood VIEs and Westwood VOEs as follows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3040" w:type="dxa"/>
            <w:vAlign w:val="bottom"/>
            <w:gridSpan w:val="4"/>
          </w:tcPr>
          <w:p>
            <w:pPr>
              <w:jc w:val="right"/>
              <w:ind w:right="876"/>
              <w:spacing w:after="0"/>
              <w:rPr>
                <w:sz w:val="20"/>
                <w:szCs w:val="20"/>
                <w:color w:val="auto"/>
              </w:rPr>
            </w:pPr>
            <w:r>
              <w:rPr>
                <w:rFonts w:ascii="Arial" w:cs="Arial" w:eastAsia="Arial" w:hAnsi="Arial"/>
                <w:sz w:val="16"/>
                <w:szCs w:val="16"/>
                <w:b w:val="1"/>
                <w:bCs w:val="1"/>
                <w:color w:val="auto"/>
              </w:rPr>
              <w:t>Six Months Ended</w:t>
            </w:r>
          </w:p>
        </w:tc>
      </w:tr>
      <w:tr>
        <w:trPr>
          <w:trHeight w:val="205"/>
        </w:trPr>
        <w:tc>
          <w:tcPr>
            <w:tcW w:w="38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2021</w:t>
            </w:r>
          </w:p>
        </w:tc>
        <w:tc>
          <w:tcPr>
            <w:tcW w:w="6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0"/>
              </w:rPr>
              <w:t>June 30, 2020</w:t>
            </w: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6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0"/>
              </w:rPr>
              <w:t>June 30, 2020</w:t>
            </w:r>
          </w:p>
        </w:tc>
      </w:tr>
      <w:tr>
        <w:trPr>
          <w:trHeight w:val="221"/>
        </w:trPr>
        <w:tc>
          <w:tcPr>
            <w:tcW w:w="38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Fee Revenues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140"/>
        <w:spacing w:after="0" w:line="257"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displays the AUM and the risk of loss in each vehicle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w w:val="94"/>
              </w:rPr>
              <w:t>As of June 30, 2021</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ind w:left="740"/>
              <w:spacing w:after="0"/>
              <w:rPr>
                <w:sz w:val="20"/>
                <w:szCs w:val="20"/>
                <w:color w:val="auto"/>
              </w:rPr>
            </w:pPr>
            <w:r>
              <w:rPr>
                <w:rFonts w:ascii="Arial" w:cs="Arial" w:eastAsia="Arial" w:hAnsi="Arial"/>
                <w:sz w:val="16"/>
                <w:szCs w:val="16"/>
                <w:b w:val="1"/>
                <w:bCs w:val="1"/>
                <w:color w:val="auto"/>
                <w:w w:val="91"/>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right"/>
              <w:ind w:right="161"/>
              <w:spacing w:after="0" w:line="158" w:lineRule="exact"/>
              <w:rPr>
                <w:sz w:val="20"/>
                <w:szCs w:val="20"/>
                <w:color w:val="auto"/>
              </w:rPr>
            </w:pPr>
            <w:r>
              <w:rPr>
                <w:rFonts w:ascii="Arial" w:cs="Arial" w:eastAsia="Arial" w:hAnsi="Arial"/>
                <w:sz w:val="16"/>
                <w:szCs w:val="16"/>
                <w:b w:val="1"/>
                <w:bCs w:val="1"/>
                <w:color w:val="auto"/>
                <w:w w:val="99"/>
              </w:rPr>
              <w:t>Under</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88"/>
              </w:rPr>
              <w:t>Amount at Risk</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Management</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Investment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VIEs/VOEs: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820"/>
              <w:spacing w:after="0"/>
              <w:rPr>
                <w:sz w:val="20"/>
                <w:szCs w:val="20"/>
                <w:color w:val="auto"/>
              </w:rPr>
            </w:pPr>
            <w:r>
              <w:rPr>
                <w:rFonts w:ascii="Arial" w:cs="Arial" w:eastAsia="Arial" w:hAnsi="Arial"/>
                <w:sz w:val="18"/>
                <w:szCs w:val="18"/>
                <w:color w:val="auto"/>
              </w:rPr>
              <w:t>Westwood Funds®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2,857</w:t>
            </w: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Common Trust Funds</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740" w:type="dxa"/>
            <w:vAlign w:val="bottom"/>
          </w:tcPr>
          <w:p>
            <w:pPr>
              <w:ind w:left="820"/>
              <w:spacing w:after="0"/>
              <w:rPr>
                <w:sz w:val="20"/>
                <w:szCs w:val="20"/>
                <w:color w:val="auto"/>
              </w:rPr>
            </w:pPr>
            <w:r>
              <w:rPr>
                <w:rFonts w:ascii="Arial" w:cs="Arial" w:eastAsia="Arial" w:hAnsi="Arial"/>
                <w:sz w:val="18"/>
                <w:szCs w:val="18"/>
                <w:color w:val="auto"/>
              </w:rPr>
              <w:t>Private Funds</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jc w:val="right"/>
              <w:ind w:right="1"/>
              <w:spacing w:after="0"/>
              <w:rPr>
                <w:sz w:val="20"/>
                <w:szCs w:val="20"/>
                <w:color w:val="auto"/>
              </w:rPr>
            </w:pPr>
            <w:r>
              <w:rPr>
                <w:rFonts w:ascii="Arial" w:cs="Arial" w:eastAsia="Arial" w:hAnsi="Arial"/>
                <w:sz w:val="16"/>
                <w:szCs w:val="16"/>
                <w:color w:val="auto"/>
                <w:w w:val="80"/>
              </w:rPr>
              <w:t>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Private Equity</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0"/>
              </w:rPr>
              <w:t>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4"/>
        </w:trPr>
        <w:tc>
          <w:tcPr>
            <w:tcW w:w="5740" w:type="dxa"/>
            <w:vAlign w:val="bottom"/>
          </w:tcPr>
          <w:p>
            <w:pPr>
              <w:ind w:left="500"/>
              <w:spacing w:after="0"/>
              <w:rPr>
                <w:sz w:val="20"/>
                <w:szCs w:val="20"/>
                <w:color w:val="auto"/>
              </w:rPr>
            </w:pPr>
            <w:r>
              <w:rPr>
                <w:rFonts w:ascii="Arial" w:cs="Arial" w:eastAsia="Arial" w:hAnsi="Arial"/>
                <w:sz w:val="18"/>
                <w:szCs w:val="18"/>
                <w:color w:val="auto"/>
              </w:rPr>
              <w:t>All other assets:</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Wealth Management</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3,458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Institutional</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7,123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Assets Under Management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14,407</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13. RELATED PARTY TRANSACTIONS</w:t>
      </w:r>
    </w:p>
    <w:p>
      <w:pPr>
        <w:spacing w:after="0" w:line="116" w:lineRule="exact"/>
        <w:rPr>
          <w:sz w:val="20"/>
          <w:szCs w:val="20"/>
          <w:color w:val="auto"/>
        </w:rPr>
      </w:pPr>
    </w:p>
    <w:p>
      <w:pPr>
        <w:ind w:right="100" w:firstLine="475"/>
        <w:spacing w:after="0" w:line="251"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both the three months ended June 30, 2021 and June 30, 2020, we recorded trust fees from these accounts of $0.1 million. For both the six months ended June 30, 2021 and June 30, 2020, we recorded trust fees from these accounts of $0.2 million. There were no amounts due from these accounts as of June 30, 2021, and there was $0.1 million due from these accounts as of December 31, 2020.</w:t>
      </w:r>
    </w:p>
    <w:p>
      <w:pPr>
        <w:spacing w:after="0" w:line="85" w:lineRule="exact"/>
        <w:rPr>
          <w:sz w:val="20"/>
          <w:szCs w:val="20"/>
          <w:color w:val="auto"/>
        </w:rPr>
      </w:pPr>
    </w:p>
    <w:p>
      <w:pPr>
        <w:ind w:right="20" w:firstLine="475"/>
        <w:spacing w:after="0" w:line="248" w:lineRule="auto"/>
        <w:rPr>
          <w:sz w:val="20"/>
          <w:szCs w:val="20"/>
          <w:color w:val="auto"/>
        </w:rPr>
      </w:pPr>
      <w:r>
        <w:rPr>
          <w:rFonts w:ascii="Arial" w:cs="Arial" w:eastAsia="Arial" w:hAnsi="Arial"/>
          <w:sz w:val="18"/>
          <w:szCs w:val="18"/>
          <w:color w:val="auto"/>
        </w:rPr>
        <w:t>The Company engages in transactions with its affiliates in the ordinary course of business. Westwood International Advisors (prior to its closure, effective September 30, 2020) and Westwood Management provide investment advisory services to the UCITS Fund and the Westwood Funds®. Certain members of our management served on the board of directors of the UCITS Fund (liquidated as of June 2020). Under the terms of the investment advisory agreements, the Company earns quarterly fees paid by clients of the fund or by the funds directly. The fees are based on negotiated fee schedules applied to AUM. The Company earned $0.2 million in fees from the affiliated funds for the three months ended June 30, 2020, and $0.7 million in fees for the six months ended June 30, 2020.</w:t>
      </w:r>
    </w:p>
    <w:p>
      <w:pPr>
        <w:spacing w:after="0" w:line="242" w:lineRule="exact"/>
        <w:rPr>
          <w:sz w:val="20"/>
          <w:szCs w:val="20"/>
          <w:color w:val="auto"/>
        </w:rPr>
      </w:pPr>
    </w:p>
    <w:p>
      <w:pPr>
        <w:ind w:left="480" w:right="9040" w:hanging="474"/>
        <w:spacing w:after="0" w:line="392" w:lineRule="auto"/>
        <w:tabs>
          <w:tab w:leader="none" w:pos="269"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color w:val="auto"/>
        </w:rPr>
        <w:t>Dividends Declared</w:t>
      </w:r>
    </w:p>
    <w:p>
      <w:pPr>
        <w:spacing w:after="0" w:line="1" w:lineRule="exact"/>
        <w:rPr>
          <w:sz w:val="20"/>
          <w:szCs w:val="20"/>
          <w:color w:val="auto"/>
        </w:rPr>
      </w:pPr>
    </w:p>
    <w:p>
      <w:pPr>
        <w:ind w:right="660" w:firstLine="475"/>
        <w:spacing w:after="0" w:line="263" w:lineRule="auto"/>
        <w:rPr>
          <w:sz w:val="20"/>
          <w:szCs w:val="20"/>
          <w:color w:val="auto"/>
        </w:rPr>
      </w:pPr>
      <w:r>
        <w:rPr>
          <w:rFonts w:ascii="Arial" w:cs="Arial" w:eastAsia="Arial" w:hAnsi="Arial"/>
          <w:sz w:val="18"/>
          <w:szCs w:val="18"/>
          <w:color w:val="auto"/>
        </w:rPr>
        <w:t>On July 27, 2021, the Board of Directors declared a quarterly cash dividend of $0.10 per share of common stock payable on October 1, 2021 to stockholders of record on September 3, 2021.</w:t>
      </w:r>
    </w:p>
    <w:p>
      <w:pPr>
        <w:spacing w:after="0" w:line="75" w:lineRule="exact"/>
        <w:rPr>
          <w:sz w:val="20"/>
          <w:szCs w:val="20"/>
          <w:color w:val="auto"/>
        </w:rPr>
      </w:pPr>
    </w:p>
    <w:p>
      <w:pPr>
        <w:ind w:right="80" w:firstLine="475"/>
        <w:spacing w:after="0" w:line="263" w:lineRule="auto"/>
        <w:rPr>
          <w:sz w:val="20"/>
          <w:szCs w:val="20"/>
          <w:color w:val="auto"/>
        </w:rPr>
      </w:pPr>
      <w:r>
        <w:rPr>
          <w:rFonts w:ascii="Arial" w:cs="Arial" w:eastAsia="Arial" w:hAnsi="Arial"/>
          <w:sz w:val="18"/>
          <w:szCs w:val="18"/>
          <w:color w:val="auto"/>
        </w:rPr>
        <w:t>On July 27, 2021, the Board of Directors also declared a special cash dividend of $2.50 per common share, payable on August 20, 2021 to stockholders of record on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1200"/>
        <w:spacing w:after="0" w:line="370"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75"/>
        <w:spacing w:after="0" w:line="264"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2020, filed with the SEC, and those risks set forth below:</w:t>
      </w:r>
    </w:p>
    <w:p>
      <w:pPr>
        <w:spacing w:after="0" w:line="79" w:lineRule="exact"/>
        <w:rPr>
          <w:sz w:val="20"/>
          <w:szCs w:val="20"/>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09" w:lineRule="exact"/>
        <w:rPr>
          <w:rFonts w:ascii="Arial" w:cs="Arial" w:eastAsia="Arial" w:hAnsi="Arial"/>
          <w:sz w:val="18"/>
          <w:szCs w:val="18"/>
          <w:color w:val="auto"/>
        </w:rPr>
      </w:pPr>
    </w:p>
    <w:p>
      <w:pPr>
        <w:ind w:left="960" w:right="820" w:hanging="321"/>
        <w:spacing w:after="0" w:line="263"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stockholder rights agreement may make it more difficult for others to obtain control over us, even if it would be beneficial to our stockholders;</w:t>
      </w:r>
    </w:p>
    <w:p>
      <w:pPr>
        <w:spacing w:after="0" w:line="74"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actions of activist stockholders;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inclusion of foreign company investments in our AUM;</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the operations and funds of our subsidiaries;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09" w:lineRule="exact"/>
        <w:rPr>
          <w:rFonts w:ascii="Arial" w:cs="Arial" w:eastAsia="Arial" w:hAnsi="Arial"/>
          <w:sz w:val="18"/>
          <w:szCs w:val="18"/>
          <w:color w:val="auto"/>
        </w:rPr>
      </w:pPr>
    </w:p>
    <w:p>
      <w:pPr>
        <w:ind w:left="960" w:right="320" w:hanging="321"/>
        <w:spacing w:after="0" w:line="263"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74"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09" w:lineRule="exact"/>
        <w:rPr>
          <w:rFonts w:ascii="Arial" w:cs="Arial" w:eastAsia="Arial" w:hAnsi="Arial"/>
          <w:sz w:val="18"/>
          <w:szCs w:val="18"/>
          <w:color w:val="auto"/>
        </w:rPr>
      </w:pPr>
    </w:p>
    <w:p>
      <w:pPr>
        <w:ind w:left="960" w:right="120" w:hanging="321"/>
        <w:spacing w:after="0" w:line="263"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our stockholder rights agreement, our organizational documents contain provisions that may prevent or deter another group from paying a premium over the market price to our stockholders to acquire our stock;</w:t>
      </w:r>
    </w:p>
    <w:p>
      <w:pPr>
        <w:spacing w:after="0" w:line="74"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072" w:right="459" w:bottom="1440" w:gutter="0" w:footer="0" w:header="0"/>
        </w:sectPr>
      </w:pPr>
    </w:p>
    <w:bookmarkStart w:id="18" w:name="page19"/>
    <w:bookmarkEnd w:id="18"/>
    <w:p>
      <w:pPr>
        <w:ind w:left="960" w:hanging="32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 and</w:t>
      </w:r>
    </w:p>
    <w:p>
      <w:pPr>
        <w:spacing w:after="0" w:line="109" w:lineRule="exact"/>
        <w:rPr>
          <w:rFonts w:ascii="Arial" w:cs="Arial" w:eastAsia="Arial" w:hAnsi="Arial"/>
          <w:sz w:val="18"/>
          <w:szCs w:val="18"/>
          <w:color w:val="auto"/>
        </w:rPr>
      </w:pPr>
    </w:p>
    <w:p>
      <w:pPr>
        <w:ind w:left="960" w:hanging="32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0" w:lineRule="exact"/>
        <w:rPr>
          <w:sz w:val="20"/>
          <w:szCs w:val="20"/>
          <w:color w:val="auto"/>
        </w:rPr>
      </w:pPr>
    </w:p>
    <w:p>
      <w:pPr>
        <w:ind w:right="100" w:firstLine="475"/>
        <w:spacing w:after="0" w:line="25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6" w:lineRule="exact"/>
        <w:rPr>
          <w:sz w:val="20"/>
          <w:szCs w:val="20"/>
          <w:color w:val="auto"/>
        </w:rPr>
      </w:pPr>
    </w:p>
    <w:p>
      <w:pPr>
        <w:ind w:right="340" w:firstLine="475"/>
        <w:spacing w:after="0" w:line="317" w:lineRule="auto"/>
        <w:rPr>
          <w:sz w:val="20"/>
          <w:szCs w:val="20"/>
          <w:color w:val="auto"/>
        </w:rPr>
      </w:pPr>
      <w:r>
        <w:rPr>
          <w:rFonts w:ascii="Arial" w:cs="Arial" w:eastAsia="Arial" w:hAnsi="Arial"/>
          <w:sz w:val="15"/>
          <w:szCs w:val="15"/>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individuals and clients of Westwood Trust.</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On July 27, 2020, Westwood’s Board of Directors approved the closure of Westwood International Advisors and Westwood’s office in Toronto, Canada.</w:t>
      </w:r>
    </w:p>
    <w:p>
      <w:pPr>
        <w:spacing w:after="0" w:line="144" w:lineRule="exact"/>
        <w:rPr>
          <w:sz w:val="20"/>
          <w:szCs w:val="20"/>
          <w:color w:val="auto"/>
        </w:rPr>
      </w:pPr>
    </w:p>
    <w:p>
      <w:pPr>
        <w:ind w:right="160" w:firstLine="475"/>
        <w:spacing w:after="0" w:line="251" w:lineRule="auto"/>
        <w:rPr>
          <w:sz w:val="20"/>
          <w:szCs w:val="20"/>
          <w:color w:val="auto"/>
        </w:rPr>
      </w:pPr>
      <w:r>
        <w:rPr>
          <w:rFonts w:ascii="Arial" w:cs="Arial" w:eastAsia="Arial" w:hAnsi="Arial"/>
          <w:sz w:val="18"/>
          <w:szCs w:val="18"/>
          <w:color w:val="auto"/>
        </w:rPr>
        <w:t>Westwood Trust provides trust and custodial services and participation in common trust funds to institutions and high net worth individuals. Our revenues are generally derived from fees based on a percentage of AUM. Westwood International Advisors provided investment advisory services to an Irish investment company authorized pursuant to the European Communities (Undertakings for Collective Investment in Transferable Securities) Regulation 2011 (as amended) (the “UCITS Fund”), which was liquidated in June 2020.</w:t>
      </w:r>
    </w:p>
    <w:p>
      <w:pPr>
        <w:spacing w:after="0" w:line="85" w:lineRule="exact"/>
        <w:rPr>
          <w:sz w:val="20"/>
          <w:szCs w:val="20"/>
          <w:color w:val="auto"/>
        </w:rPr>
      </w:pPr>
    </w:p>
    <w:p>
      <w:pPr>
        <w:ind w:right="300" w:firstLine="475"/>
        <w:spacing w:after="0" w:line="364" w:lineRule="auto"/>
        <w:rPr>
          <w:sz w:val="20"/>
          <w:szCs w:val="20"/>
          <w:color w:val="auto"/>
        </w:rPr>
      </w:pPr>
      <w:r>
        <w:rPr>
          <w:rFonts w:ascii="Arial" w:cs="Arial" w:eastAsia="Arial" w:hAnsi="Arial"/>
          <w:sz w:val="15"/>
          <w:szCs w:val="15"/>
          <w:color w:val="auto"/>
        </w:rPr>
        <w:t>We began marketing our SmallCap Value product to institutional investors in early 2004. SmallCap Value approached its asset capacity in 2021, and accordingly we closed it to new institutional separate accounts and platforms. The funds remain open, and open to additions from existing clients.</w:t>
      </w:r>
    </w:p>
    <w:p>
      <w:pPr>
        <w:spacing w:after="0" w:line="5" w:lineRule="exact"/>
        <w:rPr>
          <w:sz w:val="20"/>
          <w:szCs w:val="20"/>
          <w:color w:val="auto"/>
        </w:rPr>
      </w:pPr>
    </w:p>
    <w:p>
      <w:pPr>
        <w:ind w:right="140" w:firstLine="475"/>
        <w:spacing w:after="0" w:line="311" w:lineRule="auto"/>
        <w:rPr>
          <w:sz w:val="20"/>
          <w:szCs w:val="20"/>
          <w:color w:val="auto"/>
        </w:rPr>
      </w:pPr>
      <w:r>
        <w:rPr>
          <w:rFonts w:ascii="Arial" w:cs="Arial" w:eastAsia="Arial" w:hAnsi="Arial"/>
          <w:sz w:val="15"/>
          <w:szCs w:val="15"/>
          <w:color w:val="auto"/>
        </w:rPr>
        <w:t>We continue to closely monitor the impact of the COVID-19 pandemic on all aspects of our business, particularly the impact on global stock markets. Beginning in 2020, we have taken a number of precautionary measures designed to help minimize the risk of the spread of the virus to our employees, including encouraging our employees to work remotely. The investments we have made in technology over the past several years, particularly our significant investments in cloud-based systems and business continuity planning, have allowed our team to serve our clients from their homes or our offices. While our ability to meet with clients declined at the beginning of the pandemic, we were able to subsequently rebound as our clients embraced digital interactions.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0" w:lineRule="exact"/>
        <w:rPr>
          <w:sz w:val="20"/>
          <w:szCs w:val="20"/>
          <w:color w:val="auto"/>
        </w:rPr>
      </w:pPr>
    </w:p>
    <w:p>
      <w:pPr>
        <w:ind w:right="20" w:firstLine="475"/>
        <w:spacing w:after="0" w:line="303" w:lineRule="auto"/>
        <w:rPr>
          <w:sz w:val="20"/>
          <w:szCs w:val="20"/>
          <w:color w:val="auto"/>
        </w:rPr>
      </w:pPr>
      <w:r>
        <w:rPr>
          <w:rFonts w:ascii="Arial" w:cs="Arial" w:eastAsia="Arial" w:hAnsi="Arial"/>
          <w:sz w:val="15"/>
          <w:szCs w:val="15"/>
          <w:color w:val="auto"/>
        </w:rPr>
        <w:t>We derive our revenues from investment advisory fees, trust fees and other revenues. Our advisory fees are generated by Westwood Management and Westwood International Advisors (prior to its closure, effective September 30, 2020),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265" w:lineRule="exact"/>
        <w:rPr>
          <w:sz w:val="20"/>
          <w:szCs w:val="20"/>
          <w:color w:val="auto"/>
        </w:rPr>
      </w:pPr>
    </w:p>
    <w:p>
      <w:pPr>
        <w:ind w:firstLine="475"/>
        <w:spacing w:after="0" w:line="249"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3" w:right="359" w:bottom="1440" w:gutter="0" w:footer="0" w:header="0"/>
        </w:sectPr>
      </w:pPr>
    </w:p>
    <w:bookmarkStart w:id="19" w:name="page20"/>
    <w:bookmarkEnd w:id="19"/>
    <w:p>
      <w:pPr>
        <w:ind w:left="480"/>
        <w:spacing w:after="0"/>
        <w:rPr>
          <w:sz w:val="20"/>
          <w:szCs w:val="20"/>
          <w:color w:val="auto"/>
        </w:rPr>
      </w:pPr>
      <w:r>
        <w:rPr>
          <w:rFonts w:ascii="Arial" w:cs="Arial" w:eastAsia="Arial" w:hAnsi="Arial"/>
          <w:sz w:val="18"/>
          <w:szCs w:val="18"/>
          <w:color w:val="auto"/>
        </w:rPr>
        <w:t>Our other revenues primarily consist of investment income from our seed money investments into new investment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Employee compensation and benefits expenses generally consist of salaries, incentive compensation, equity-based compensation and benefits.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0" w:lineRule="exact"/>
        <w:rPr>
          <w:sz w:val="20"/>
          <w:szCs w:val="20"/>
          <w:color w:val="auto"/>
        </w:rPr>
      </w:pPr>
    </w:p>
    <w:p>
      <w:pPr>
        <w:ind w:right="520" w:firstLine="475"/>
        <w:spacing w:after="0" w:line="263"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0" w:lineRule="exact"/>
        <w:rPr>
          <w:sz w:val="20"/>
          <w:szCs w:val="20"/>
          <w:color w:val="auto"/>
        </w:rPr>
      </w:pPr>
    </w:p>
    <w:p>
      <w:pPr>
        <w:ind w:right="100" w:firstLine="475"/>
        <w:spacing w:after="0" w:line="292"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 on Private Investments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Realized gains on private investments includes amounts by which the net proceeds from the sale or redemption of our private investments exceeded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Private Investments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change in unrealized appreciation (depreciation) on private investments includes changes in the value of our private equity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income primarily consists of income from the sublease of a portion of our corporate offices.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69" w:lineRule="exact"/>
        <w:rPr>
          <w:sz w:val="20"/>
          <w:szCs w:val="20"/>
          <w:color w:val="auto"/>
        </w:rPr>
      </w:pPr>
    </w:p>
    <w:p>
      <w:pPr>
        <w:ind w:firstLine="475"/>
        <w:spacing w:after="0" w:line="263" w:lineRule="auto"/>
        <w:rPr>
          <w:sz w:val="20"/>
          <w:szCs w:val="20"/>
          <w:color w:val="auto"/>
        </w:rPr>
      </w:pPr>
      <w:r>
        <w:rPr>
          <w:rFonts w:ascii="Arial" w:cs="Arial" w:eastAsia="Arial" w:hAnsi="Arial"/>
          <w:sz w:val="18"/>
          <w:szCs w:val="18"/>
          <w:color w:val="auto"/>
        </w:rPr>
        <w:t>AUM increased $2.5 billion to $14.4 billion at June 30, 2021 compared with $11.9 billion at June 30, 2020. The average of beginning and ending AUM for the second quarter of 2021 was $14.5 billion compared to $11.8 billion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3" w:right="399" w:bottom="1440" w:gutter="0" w:footer="0" w:header="0"/>
        </w:sectPr>
      </w:pPr>
    </w:p>
    <w:bookmarkStart w:id="20" w:name="page21"/>
    <w:bookmarkEnd w:id="20"/>
    <w:p>
      <w:pPr>
        <w:ind w:left="480"/>
        <w:spacing w:after="0"/>
        <w:rPr>
          <w:sz w:val="20"/>
          <w:szCs w:val="20"/>
          <w:color w:val="auto"/>
        </w:rPr>
      </w:pPr>
      <w:r>
        <w:rPr>
          <w:rFonts w:ascii="Arial" w:cs="Arial" w:eastAsia="Arial" w:hAnsi="Arial"/>
          <w:sz w:val="18"/>
          <w:szCs w:val="18"/>
          <w:color w:val="auto"/>
        </w:rPr>
        <w:t>The following table displays AUM as of June 30, 2021 and 2020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As of 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5"/>
        </w:trPr>
        <w:tc>
          <w:tcPr>
            <w:tcW w:w="60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7"/>
                <w:szCs w:val="17"/>
                <w:color w:val="auto"/>
              </w:rPr>
            </w:pPr>
          </w:p>
        </w:tc>
      </w:tr>
      <w:tr>
        <w:trPr>
          <w:trHeight w:val="221"/>
        </w:trPr>
        <w:tc>
          <w:tcPr>
            <w:tcW w:w="6060" w:type="dxa"/>
            <w:vAlign w:val="bottom"/>
            <w:shd w:val="clear" w:color="auto" w:fill="CCEEFF"/>
          </w:tcPr>
          <w:p>
            <w:pPr>
              <w:ind w:left="500"/>
              <w:spacing w:after="0" w:line="221" w:lineRule="exact"/>
              <w:rPr>
                <w:sz w:val="20"/>
                <w:szCs w:val="20"/>
                <w:color w:val="auto"/>
              </w:rPr>
            </w:pPr>
            <w:r>
              <w:rPr>
                <w:rFonts w:ascii="Arial" w:cs="Arial" w:eastAsia="Arial" w:hAnsi="Arial"/>
                <w:sz w:val="18"/>
                <w:szCs w:val="18"/>
                <w:color w:val="auto"/>
              </w:rPr>
              <w:t>Institutional</w:t>
            </w:r>
            <w:r>
              <w:rPr>
                <w:rFonts w:ascii="Arial" w:cs="Arial" w:eastAsia="Arial" w:hAnsi="Arial"/>
                <w:sz w:val="22"/>
                <w:szCs w:val="22"/>
                <w:color w:val="auto"/>
                <w:vertAlign w:val="superscript"/>
              </w:rPr>
              <w:t>(1)</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460" w:type="dxa"/>
            <w:vAlign w:val="bottom"/>
            <w:gridSpan w:val="2"/>
            <w:shd w:val="clear" w:color="auto" w:fill="CCEEFF"/>
          </w:tcPr>
          <w:p>
            <w:pPr>
              <w:jc w:val="right"/>
              <w:ind w:right="370"/>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060" w:type="dxa"/>
            <w:vAlign w:val="bottom"/>
          </w:tcPr>
          <w:p>
            <w:pPr>
              <w:ind w:left="500"/>
              <w:spacing w:after="0" w:line="224" w:lineRule="exact"/>
              <w:rPr>
                <w:sz w:val="20"/>
                <w:szCs w:val="20"/>
                <w:color w:val="auto"/>
              </w:rPr>
            </w:pPr>
            <w:r>
              <w:rPr>
                <w:rFonts w:ascii="Arial" w:cs="Arial" w:eastAsia="Arial" w:hAnsi="Arial"/>
                <w:sz w:val="18"/>
                <w:szCs w:val="18"/>
                <w:color w:val="auto"/>
              </w:rPr>
              <w:t>Wealth Management</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w:t>
            </w:r>
          </w:p>
        </w:tc>
        <w:tc>
          <w:tcPr>
            <w:tcW w:w="1460" w:type="dxa"/>
            <w:vAlign w:val="bottom"/>
            <w:gridSpan w:val="2"/>
          </w:tcPr>
          <w:p>
            <w:pPr>
              <w:jc w:val="right"/>
              <w:ind w:right="370"/>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9"/>
                <w:szCs w:val="19"/>
                <w:color w:val="auto"/>
              </w:rPr>
            </w:pPr>
          </w:p>
        </w:tc>
      </w:tr>
      <w:tr>
        <w:trPr>
          <w:trHeight w:val="224"/>
        </w:trPr>
        <w:tc>
          <w:tcPr>
            <w:tcW w:w="6060" w:type="dxa"/>
            <w:vAlign w:val="bottom"/>
            <w:shd w:val="clear" w:color="auto" w:fill="CCEEFF"/>
          </w:tcPr>
          <w:p>
            <w:pPr>
              <w:ind w:left="500"/>
              <w:spacing w:after="0" w:line="224" w:lineRule="exact"/>
              <w:rPr>
                <w:sz w:val="20"/>
                <w:szCs w:val="20"/>
                <w:color w:val="auto"/>
              </w:rPr>
            </w:pPr>
            <w:r>
              <w:rPr>
                <w:rFonts w:ascii="Arial" w:cs="Arial" w:eastAsia="Arial" w:hAnsi="Arial"/>
                <w:sz w:val="18"/>
                <w:szCs w:val="18"/>
                <w:color w:val="auto"/>
              </w:rPr>
              <w:t>Mutual Funds</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60" w:type="dxa"/>
            <w:vAlign w:val="bottom"/>
            <w:gridSpan w:val="2"/>
            <w:shd w:val="clear" w:color="auto" w:fill="CCEEFF"/>
          </w:tcPr>
          <w:p>
            <w:pPr>
              <w:jc w:val="right"/>
              <w:ind w:right="370"/>
              <w:spacing w:after="0"/>
              <w:rPr>
                <w:sz w:val="20"/>
                <w:szCs w:val="20"/>
                <w:color w:val="auto"/>
              </w:rPr>
            </w:pPr>
            <w:r>
              <w:rPr>
                <w:rFonts w:ascii="Arial" w:cs="Arial" w:eastAsia="Arial" w:hAnsi="Arial"/>
                <w:sz w:val="17"/>
                <w:szCs w:val="17"/>
                <w:color w:val="auto"/>
              </w:rPr>
              <w:t>64</w:t>
            </w:r>
          </w:p>
        </w:tc>
        <w:tc>
          <w:tcPr>
            <w:tcW w:w="240" w:type="dxa"/>
            <w:vAlign w:val="bottom"/>
            <w:shd w:val="clear" w:color="auto" w:fill="CCEEFF"/>
          </w:tcPr>
          <w:p>
            <w:pPr>
              <w:spacing w:after="0"/>
              <w:rPr>
                <w:sz w:val="19"/>
                <w:szCs w:val="19"/>
                <w:color w:val="auto"/>
              </w:rPr>
            </w:pPr>
          </w:p>
        </w:tc>
      </w:tr>
      <w:tr>
        <w:trPr>
          <w:trHeight w:val="218"/>
        </w:trPr>
        <w:tc>
          <w:tcPr>
            <w:tcW w:w="6060" w:type="dxa"/>
            <w:vAlign w:val="bottom"/>
          </w:tcPr>
          <w:p>
            <w:pPr>
              <w:ind w:left="50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9"/>
                <w:szCs w:val="9"/>
                <w:b w:val="1"/>
                <w:bCs w:val="1"/>
                <w:color w:val="auto"/>
              </w:rPr>
              <w:t>(4)</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w:t>
            </w:r>
          </w:p>
        </w:tc>
        <w:tc>
          <w:tcPr>
            <w:tcW w:w="1460" w:type="dxa"/>
            <w:vAlign w:val="bottom"/>
            <w:gridSpan w:val="2"/>
          </w:tcPr>
          <w:p>
            <w:pPr>
              <w:jc w:val="right"/>
              <w:ind w:right="370"/>
              <w:spacing w:after="0"/>
              <w:rPr>
                <w:sz w:val="20"/>
                <w:szCs w:val="20"/>
                <w:color w:val="auto"/>
              </w:rPr>
            </w:pPr>
            <w:r>
              <w:rPr>
                <w:rFonts w:ascii="Arial" w:cs="Arial" w:eastAsia="Arial" w:hAnsi="Arial"/>
                <w:sz w:val="17"/>
                <w:szCs w:val="17"/>
                <w:color w:val="auto"/>
              </w:rPr>
              <w:t>21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left="320" w:hanging="314"/>
        <w:spacing w:after="0"/>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 The UCITS Fund was liquidated in June 2020.</w:t>
      </w:r>
    </w:p>
    <w:p>
      <w:pPr>
        <w:spacing w:after="0" w:line="1" w:lineRule="exact"/>
        <w:rPr>
          <w:rFonts w:ascii="Arial" w:cs="Arial" w:eastAsia="Arial" w:hAnsi="Arial"/>
          <w:sz w:val="14"/>
          <w:szCs w:val="14"/>
          <w:color w:val="auto"/>
        </w:rPr>
      </w:pPr>
    </w:p>
    <w:p>
      <w:pPr>
        <w:jc w:val="both"/>
        <w:ind w:left="320" w:hanging="314"/>
        <w:spacing w:after="0" w:line="236"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Westwood International Advisors (prior to its closure, effective September 30, 2020) and external unaffiliated subadvisors. For certain assets in this category Westwood Trust currently provides limited custody services for a minimal or no fee, viewing these assets as potentially converting to fee-generating managed assets in the future.</w:t>
      </w:r>
    </w:p>
    <w:p>
      <w:pPr>
        <w:ind w:left="320" w:hanging="314"/>
        <w:spacing w:after="0" w:line="236"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20" w:right="20" w:hanging="314"/>
        <w:spacing w:after="0" w:line="245" w:lineRule="auto"/>
        <w:tabs>
          <w:tab w:leader="none" w:pos="3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$280 million and $222 million of assets under advisement (“AUA”) as of June 30, 2021 and 2020,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7"/>
                <w:szCs w:val="17"/>
                <w:color w:val="auto"/>
              </w:rPr>
            </w:pPr>
          </w:p>
        </w:tc>
        <w:tc>
          <w:tcPr>
            <w:tcW w:w="2520" w:type="dxa"/>
            <w:vAlign w:val="bottom"/>
            <w:gridSpan w:val="4"/>
          </w:tcPr>
          <w:p>
            <w:pPr>
              <w:jc w:val="right"/>
              <w:ind w:right="397"/>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08"/>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2020</w:t>
            </w: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8"/>
                <w:szCs w:val="18"/>
                <w:b w:val="1"/>
                <w:bCs w:val="1"/>
                <w:color w:val="auto"/>
                <w:w w:val="90"/>
              </w:rPr>
              <w:t>Institutional</w:t>
            </w:r>
          </w:p>
        </w:tc>
        <w:tc>
          <w:tcPr>
            <w:tcW w:w="4480" w:type="dxa"/>
            <w:vAlign w:val="bottom"/>
            <w:tcBorders>
              <w:bottom w:val="single" w:sz="8" w:color="CCEEFF"/>
            </w:tcBorders>
            <w:gridSpan w:val="3"/>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7,569</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6,335</w:t>
            </w:r>
          </w:p>
        </w:tc>
        <w:tc>
          <w:tcPr>
            <w:tcW w:w="18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6,567</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8,739</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1"/>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(1,899)</w:t>
            </w:r>
          </w:p>
        </w:tc>
      </w:tr>
      <w:tr>
        <w:trPr>
          <w:trHeight w:val="204"/>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w:t>
            </w:r>
          </w:p>
        </w:tc>
      </w:tr>
      <w:tr>
        <w:trPr>
          <w:trHeight w:val="211"/>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w:t>
            </w:r>
          </w:p>
        </w:tc>
      </w:tr>
      <w:tr>
        <w:trPr>
          <w:trHeight w:val="204"/>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w:t>
            </w:r>
          </w:p>
        </w:tc>
      </w:tr>
      <w:tr>
        <w:trPr>
          <w:trHeight w:val="204"/>
        </w:trPr>
        <w:tc>
          <w:tcPr>
            <w:tcW w:w="20" w:type="dxa"/>
            <w:vAlign w:val="bottom"/>
          </w:tcPr>
          <w:p>
            <w:pPr>
              <w:spacing w:after="0"/>
              <w:rPr>
                <w:sz w:val="17"/>
                <w:szCs w:val="17"/>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6,183</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580" w:type="dxa"/>
            <w:vAlign w:val="bottom"/>
            <w:tcBorders>
              <w:bottom w:val="single" w:sz="8" w:color="auto"/>
            </w:tcBorders>
            <w:gridSpan w:val="4"/>
          </w:tcPr>
          <w:p>
            <w:pPr>
              <w:spacing w:after="0" w:line="185" w:lineRule="exact"/>
              <w:rPr>
                <w:sz w:val="20"/>
                <w:szCs w:val="20"/>
                <w:color w:val="auto"/>
              </w:rPr>
            </w:pPr>
            <w:r>
              <w:rPr>
                <w:rFonts w:ascii="Arial" w:cs="Arial" w:eastAsia="Arial" w:hAnsi="Arial"/>
                <w:sz w:val="18"/>
                <w:szCs w:val="18"/>
                <w:b w:val="1"/>
                <w:bCs w:val="1"/>
                <w:color w:val="auto"/>
                <w:w w:val="89"/>
              </w:rPr>
              <w:t>Wealth Management</w:t>
            </w: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1"/>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4,438</w:t>
            </w:r>
          </w:p>
        </w:tc>
      </w:tr>
      <w:tr>
        <w:trPr>
          <w:trHeight w:val="211"/>
        </w:trPr>
        <w:tc>
          <w:tcPr>
            <w:tcW w:w="20" w:type="dxa"/>
            <w:vAlign w:val="bottom"/>
          </w:tcPr>
          <w:p>
            <w:pPr>
              <w:spacing w:after="0"/>
              <w:rPr>
                <w:sz w:val="18"/>
                <w:szCs w:val="18"/>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w:t>
            </w:r>
          </w:p>
        </w:tc>
      </w:tr>
      <w:tr>
        <w:trPr>
          <w:trHeight w:val="204"/>
        </w:trPr>
        <w:tc>
          <w:tcPr>
            <w:tcW w:w="20" w:type="dxa"/>
            <w:vAlign w:val="bottom"/>
          </w:tcPr>
          <w:p>
            <w:pPr>
              <w:spacing w:after="0"/>
              <w:rPr>
                <w:sz w:val="17"/>
                <w:szCs w:val="17"/>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04"/>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3,985</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w w:val="90"/>
              </w:rPr>
              <w:t>Mutual Funds</w:t>
            </w:r>
          </w:p>
        </w:tc>
        <w:tc>
          <w:tcPr>
            <w:tcW w:w="434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2,564</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1,500</w:t>
            </w:r>
          </w:p>
        </w:tc>
        <w:tc>
          <w:tcPr>
            <w:tcW w:w="18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2,143</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2,058</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1"/>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r>
      <w:tr>
        <w:trPr>
          <w:trHeight w:val="204"/>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1"/>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04"/>
        </w:trPr>
        <w:tc>
          <w:tcPr>
            <w:tcW w:w="20" w:type="dxa"/>
            <w:vAlign w:val="bottom"/>
            <w:shd w:val="clear" w:color="auto" w:fill="CCEEFF"/>
          </w:tcPr>
          <w:p>
            <w:pPr>
              <w:spacing w:after="0"/>
              <w:rPr>
                <w:sz w:val="17"/>
                <w:szCs w:val="17"/>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4"/>
        </w:trPr>
        <w:tc>
          <w:tcPr>
            <w:tcW w:w="20" w:type="dxa"/>
            <w:vAlign w:val="bottom"/>
          </w:tcPr>
          <w:p>
            <w:pPr>
              <w:spacing w:after="0"/>
              <w:rPr>
                <w:sz w:val="17"/>
                <w:szCs w:val="17"/>
                <w:color w:val="auto"/>
              </w:rPr>
            </w:pPr>
          </w:p>
        </w:tc>
        <w:tc>
          <w:tcPr>
            <w:tcW w:w="542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b w:val="1"/>
                <w:bCs w:val="1"/>
                <w:color w:val="auto"/>
                <w:w w:val="94"/>
              </w:rPr>
              <w:t>Total AUM</w:t>
            </w:r>
          </w:p>
        </w:tc>
        <w:tc>
          <w:tcPr>
            <w:tcW w:w="45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1"/>
        </w:trPr>
        <w:tc>
          <w:tcPr>
            <w:tcW w:w="20" w:type="dxa"/>
            <w:vAlign w:val="bottom"/>
            <w:shd w:val="clear" w:color="auto" w:fill="CCEEFF"/>
          </w:tcPr>
          <w:p>
            <w:pPr>
              <w:spacing w:after="0"/>
              <w:rPr>
                <w:sz w:val="19"/>
                <w:szCs w:val="19"/>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15,235</w:t>
            </w:r>
          </w:p>
        </w:tc>
      </w:tr>
      <w:tr>
        <w:trPr>
          <w:trHeight w:val="211"/>
        </w:trPr>
        <w:tc>
          <w:tcPr>
            <w:tcW w:w="20" w:type="dxa"/>
            <w:vAlign w:val="bottom"/>
          </w:tcPr>
          <w:p>
            <w:pPr>
              <w:spacing w:after="0"/>
              <w:rPr>
                <w:sz w:val="18"/>
                <w:szCs w:val="18"/>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1,045</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(2,809)</w:t>
            </w:r>
          </w:p>
        </w:tc>
      </w:tr>
      <w:tr>
        <w:trPr>
          <w:trHeight w:val="204"/>
        </w:trPr>
        <w:tc>
          <w:tcPr>
            <w:tcW w:w="20" w:type="dxa"/>
            <w:vAlign w:val="bottom"/>
          </w:tcPr>
          <w:p>
            <w:pPr>
              <w:spacing w:after="0"/>
              <w:rPr>
                <w:sz w:val="17"/>
                <w:szCs w:val="17"/>
                <w:color w:val="auto"/>
              </w:rPr>
            </w:pPr>
          </w:p>
        </w:tc>
        <w:tc>
          <w:tcPr>
            <w:tcW w:w="542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(1,764)</w:t>
            </w:r>
          </w:p>
        </w:tc>
      </w:tr>
      <w:tr>
        <w:trPr>
          <w:trHeight w:val="211"/>
        </w:trPr>
        <w:tc>
          <w:tcPr>
            <w:tcW w:w="20" w:type="dxa"/>
            <w:vAlign w:val="bottom"/>
            <w:shd w:val="clear" w:color="auto" w:fill="CCEEFF"/>
          </w:tcPr>
          <w:p>
            <w:pPr>
              <w:spacing w:after="0"/>
              <w:rPr>
                <w:sz w:val="18"/>
                <w:szCs w:val="18"/>
                <w:color w:val="auto"/>
              </w:rPr>
            </w:pPr>
          </w:p>
        </w:tc>
        <w:tc>
          <w:tcPr>
            <w:tcW w:w="5420" w:type="dxa"/>
            <w:vAlign w:val="bottom"/>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w:t>
            </w:r>
          </w:p>
        </w:tc>
      </w:tr>
      <w:tr>
        <w:trPr>
          <w:trHeight w:val="204"/>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(3,327)</w:t>
            </w: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$0.1 billion decrease in AUM for the three months ended June 30, 2021 was due to net outflows of $0.7 billion offset by market appreciation of</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$0.6 billion. Net outflows were primarily related to to the outflow of $1.6 billion from the closure of two Global Convertibles accounts. In the fourth quarter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2020, we made the decision to exit the stand-alone convertibles business and our Global Convertibles team transitioned back to Aviva Investors, the firm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which they previously joined Westwood. As a result, $1.6 billion in two sub-advised Global Convertibles mandates returned to Aviva as of April 1,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These outflows were partially offset by net inflows to our SmallCap Value strategy.</w:t>
      </w:r>
    </w:p>
    <w:p>
      <w:pPr>
        <w:spacing w:after="0" w:line="98" w:lineRule="exact"/>
        <w:rPr>
          <w:sz w:val="20"/>
          <w:szCs w:val="20"/>
          <w:color w:val="auto"/>
        </w:rPr>
      </w:pPr>
    </w:p>
    <w:p>
      <w:pPr>
        <w:ind w:firstLine="475"/>
        <w:spacing w:after="0" w:line="263" w:lineRule="auto"/>
        <w:rPr>
          <w:sz w:val="20"/>
          <w:szCs w:val="20"/>
          <w:color w:val="auto"/>
        </w:rPr>
      </w:pPr>
      <w:r>
        <w:rPr>
          <w:rFonts w:ascii="Arial" w:cs="Arial" w:eastAsia="Arial" w:hAnsi="Arial"/>
          <w:sz w:val="18"/>
          <w:szCs w:val="18"/>
          <w:color w:val="auto"/>
        </w:rPr>
        <w:t>The $0.3 billion increase in AUM for the three months ended June 30, 2020 was due to market appreciation of $1.5 billion offset by net outflows of $1.2 billion. Net outflows were primarily related to our closed Emerging Markets strategy.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2" w:name="page23"/>
    <w:bookmarkEnd w:id="22"/>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10" w:lineRule="exact"/>
        <w:rPr>
          <w:sz w:val="20"/>
          <w:szCs w:val="20"/>
          <w:color w:val="auto"/>
        </w:rPr>
      </w:pPr>
    </w:p>
    <w:p>
      <w:pPr>
        <w:ind w:right="160" w:firstLine="475"/>
        <w:spacing w:after="0" w:line="263" w:lineRule="auto"/>
        <w:rPr>
          <w:sz w:val="20"/>
          <w:szCs w:val="20"/>
          <w:color w:val="auto"/>
        </w:rPr>
      </w:pPr>
      <w:r>
        <w:rPr>
          <w:rFonts w:ascii="Arial" w:cs="Arial" w:eastAsia="Arial" w:hAnsi="Arial"/>
          <w:sz w:val="18"/>
          <w:szCs w:val="18"/>
          <w:color w:val="auto"/>
        </w:rPr>
        <w:t>The $1.4 billion increase in AUM for the six months ended June 30, 2021 was due to market appreciation of $1.5 billion offset by net outflows of $0.1 billion.</w:t>
      </w:r>
    </w:p>
    <w:p>
      <w:pPr>
        <w:spacing w:after="0" w:line="75" w:lineRule="exact"/>
        <w:rPr>
          <w:sz w:val="20"/>
          <w:szCs w:val="20"/>
          <w:color w:val="auto"/>
        </w:rPr>
      </w:pPr>
    </w:p>
    <w:p>
      <w:pPr>
        <w:ind w:right="20" w:firstLine="475"/>
        <w:spacing w:after="0" w:line="254" w:lineRule="auto"/>
        <w:rPr>
          <w:sz w:val="20"/>
          <w:szCs w:val="20"/>
          <w:color w:val="auto"/>
        </w:rPr>
      </w:pPr>
      <w:r>
        <w:rPr>
          <w:rFonts w:ascii="Arial" w:cs="Arial" w:eastAsia="Arial" w:hAnsi="Arial"/>
          <w:sz w:val="18"/>
          <w:szCs w:val="18"/>
          <w:color w:val="auto"/>
        </w:rPr>
        <w:t>The $3.3 billion decrease in AUM for the six months ended June 30, 2020 was due to net outflows of $1.8 billion and market depreciation of $1.6 billion. Net outflows were primarily related to our LargeCap Value, Income Opportunity and Emerging Markets strategies, partially offset by net inflows to our SmallCap Value strategy.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6" w:lineRule="exact"/>
        <w:rPr>
          <w:sz w:val="20"/>
          <w:szCs w:val="20"/>
          <w:color w:val="auto"/>
        </w:rPr>
      </w:pPr>
    </w:p>
    <w:p>
      <w:pPr>
        <w:jc w:val="both"/>
        <w:ind w:right="340" w:firstLine="475"/>
        <w:spacing w:after="0" w:line="25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60" w:type="dxa"/>
            <w:vAlign w:val="bottom"/>
            <w:gridSpan w:val="4"/>
          </w:tcPr>
          <w:p>
            <w:pPr>
              <w:jc w:val="right"/>
              <w:ind w:right="601"/>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Six Months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w w:val="86"/>
              </w:rPr>
              <w:t>June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5"/>
                <w:szCs w:val="15"/>
                <w:b w:val="1"/>
                <w:bCs w:val="1"/>
                <w:color w:val="auto"/>
                <w:w w:val="86"/>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ind w:right="30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8"/>
                <w:szCs w:val="18"/>
                <w:color w:val="auto"/>
              </w:rPr>
            </w:pPr>
          </w:p>
        </w:tc>
        <w:tc>
          <w:tcPr>
            <w:tcW w:w="1580" w:type="dxa"/>
            <w:vAlign w:val="bottom"/>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jc w:val="right"/>
              <w:ind w:right="301"/>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Change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Revenues:</w:t>
            </w:r>
          </w:p>
        </w:tc>
        <w:tc>
          <w:tcPr>
            <w:tcW w:w="7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rPr>
              <w:t>Advisory</w:t>
            </w: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11,385</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9,328</w:t>
            </w:r>
          </w:p>
        </w:tc>
        <w:tc>
          <w:tcPr>
            <w:tcW w:w="1120" w:type="dxa"/>
            <w:vAlign w:val="bottom"/>
            <w:gridSpan w:val="2"/>
            <w:vMerge w:val="restart"/>
          </w:tcPr>
          <w:p>
            <w:pPr>
              <w:jc w:val="right"/>
              <w:ind w:right="132"/>
              <w:spacing w:after="0"/>
              <w:rPr>
                <w:sz w:val="20"/>
                <w:szCs w:val="20"/>
                <w:color w:val="auto"/>
              </w:rPr>
            </w:pPr>
            <w:r>
              <w:rPr>
                <w:rFonts w:ascii="Arial" w:cs="Arial" w:eastAsia="Arial" w:hAnsi="Arial"/>
                <w:sz w:val="16"/>
                <w:szCs w:val="16"/>
                <w:color w:val="auto"/>
              </w:rPr>
              <w:t>22</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21,835</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20,430</w:t>
            </w:r>
          </w:p>
        </w:tc>
        <w:tc>
          <w:tcPr>
            <w:tcW w:w="1380" w:type="dxa"/>
            <w:vAlign w:val="bottom"/>
            <w:gridSpan w:val="2"/>
            <w:vMerge w:val="restart"/>
          </w:tcPr>
          <w:p>
            <w:pPr>
              <w:jc w:val="right"/>
              <w:ind w:right="305"/>
              <w:spacing w:after="0"/>
              <w:rPr>
                <w:sz w:val="20"/>
                <w:szCs w:val="20"/>
                <w:color w:val="auto"/>
              </w:rPr>
            </w:pPr>
            <w:r>
              <w:rPr>
                <w:rFonts w:ascii="Arial" w:cs="Arial" w:eastAsia="Arial" w:hAnsi="Arial"/>
                <w:sz w:val="16"/>
                <w:szCs w:val="16"/>
                <w:color w:val="auto"/>
              </w:rPr>
              <w:t>7</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fees: asset-based</w:t>
            </w:r>
          </w:p>
        </w:tc>
        <w:tc>
          <w:tcPr>
            <w:tcW w:w="7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Advisory</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5"/>
              </w:rPr>
              <w:t>fees: performance-</w:t>
            </w:r>
          </w:p>
        </w:tc>
        <w:tc>
          <w:tcPr>
            <w:tcW w:w="7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695</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1,959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380" w:type="dxa"/>
            <w:vAlign w:val="bottom"/>
            <w:gridSpan w:val="2"/>
            <w:vMerge w:val="restart"/>
            <w:shd w:val="clear" w:color="auto" w:fill="CCEEFF"/>
          </w:tcPr>
          <w:p>
            <w:pPr>
              <w:jc w:val="right"/>
              <w:ind w:right="305"/>
              <w:spacing w:after="0"/>
              <w:rPr>
                <w:sz w:val="20"/>
                <w:szCs w:val="20"/>
                <w:color w:val="auto"/>
              </w:rPr>
            </w:pPr>
            <w:r>
              <w:rPr>
                <w:rFonts w:ascii="Arial" w:cs="Arial" w:eastAsia="Arial" w:hAnsi="Arial"/>
                <w:sz w:val="16"/>
                <w:szCs w:val="16"/>
                <w:color w:val="auto"/>
              </w:rPr>
              <w:t>182</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based</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rPr>
              <w:t>Trust fees:</w:t>
            </w:r>
          </w:p>
        </w:tc>
        <w:tc>
          <w:tcPr>
            <w:tcW w:w="7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6,216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5,657</w:t>
            </w:r>
          </w:p>
        </w:tc>
        <w:tc>
          <w:tcPr>
            <w:tcW w:w="1120" w:type="dxa"/>
            <w:vAlign w:val="bottom"/>
            <w:gridSpan w:val="2"/>
            <w:vMerge w:val="restart"/>
          </w:tcPr>
          <w:p>
            <w:pPr>
              <w:jc w:val="right"/>
              <w:ind w:right="132"/>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12,281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11,608</w:t>
            </w:r>
          </w:p>
        </w:tc>
        <w:tc>
          <w:tcPr>
            <w:tcW w:w="1380" w:type="dxa"/>
            <w:vAlign w:val="bottom"/>
            <w:gridSpan w:val="2"/>
            <w:vMerge w:val="restart"/>
          </w:tcPr>
          <w:p>
            <w:pPr>
              <w:jc w:val="right"/>
              <w:ind w:right="305"/>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asset-based</w:t>
            </w: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Trust fees:</w:t>
            </w:r>
          </w:p>
        </w:tc>
        <w:tc>
          <w:tcPr>
            <w:tcW w:w="7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380" w:type="dxa"/>
            <w:vAlign w:val="bottom"/>
            <w:gridSpan w:val="2"/>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performance-based</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Other, net</w:t>
            </w: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w:t>
            </w:r>
          </w:p>
        </w:tc>
        <w:tc>
          <w:tcPr>
            <w:tcW w:w="1120" w:type="dxa"/>
            <w:vAlign w:val="bottom"/>
            <w:tcBorders>
              <w:bottom w:val="single" w:sz="8" w:color="CCEEFF"/>
            </w:tcBorders>
            <w:gridSpan w:val="2"/>
          </w:tcPr>
          <w:p>
            <w:pPr>
              <w:jc w:val="right"/>
              <w:ind w:right="92"/>
              <w:spacing w:after="0"/>
              <w:rPr>
                <w:sz w:val="20"/>
                <w:szCs w:val="20"/>
                <w:color w:val="auto"/>
              </w:rPr>
            </w:pPr>
            <w:r>
              <w:rPr>
                <w:rFonts w:ascii="Arial" w:cs="Arial" w:eastAsia="Arial" w:hAnsi="Arial"/>
                <w:sz w:val="16"/>
                <w:szCs w:val="16"/>
                <w:color w:val="auto"/>
              </w:rPr>
              <w:t>(175)</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380" w:type="dxa"/>
            <w:vAlign w:val="bottom"/>
            <w:tcBorders>
              <w:bottom w:val="single" w:sz="8" w:color="CCEEFF"/>
            </w:tcBorders>
            <w:gridSpan w:val="2"/>
          </w:tcPr>
          <w:p>
            <w:pPr>
              <w:jc w:val="right"/>
              <w:ind w:right="305"/>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520" w:type="dxa"/>
            <w:vAlign w:val="bottom"/>
            <w:shd w:val="clear" w:color="auto" w:fill="CCEEFF"/>
          </w:tcPr>
          <w:p>
            <w:pPr>
              <w:ind w:left="940"/>
              <w:spacing w:after="0" w:line="145" w:lineRule="exact"/>
              <w:rPr>
                <w:sz w:val="20"/>
                <w:szCs w:val="20"/>
                <w:color w:val="auto"/>
              </w:rPr>
            </w:pPr>
            <w:r>
              <w:rPr>
                <w:rFonts w:ascii="Arial" w:cs="Arial" w:eastAsia="Arial" w:hAnsi="Arial"/>
                <w:sz w:val="16"/>
                <w:szCs w:val="16"/>
                <w:color w:val="auto"/>
              </w:rPr>
              <w:t>Total</w:t>
            </w:r>
          </w:p>
        </w:tc>
        <w:tc>
          <w:tcPr>
            <w:tcW w:w="7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15,875</w:t>
            </w:r>
          </w:p>
        </w:tc>
        <w:tc>
          <w:tcPr>
            <w:tcW w:w="112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35,803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32,544</w:t>
            </w:r>
          </w:p>
        </w:tc>
        <w:tc>
          <w:tcPr>
            <w:tcW w:w="1380" w:type="dxa"/>
            <w:vAlign w:val="bottom"/>
            <w:gridSpan w:val="2"/>
            <w:vMerge w:val="restart"/>
            <w:shd w:val="clear" w:color="auto" w:fill="CCEEFF"/>
          </w:tcPr>
          <w:p>
            <w:pPr>
              <w:jc w:val="right"/>
              <w:ind w:right="305"/>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revenues</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20" w:type="dxa"/>
            <w:vAlign w:val="bottom"/>
          </w:tcPr>
          <w:p>
            <w:pPr>
              <w:ind w:left="500"/>
              <w:spacing w:after="0"/>
              <w:rPr>
                <w:sz w:val="20"/>
                <w:szCs w:val="20"/>
                <w:color w:val="auto"/>
              </w:rPr>
            </w:pPr>
            <w:r>
              <w:rPr>
                <w:rFonts w:ascii="Arial" w:cs="Arial" w:eastAsia="Arial" w:hAnsi="Arial"/>
                <w:sz w:val="16"/>
                <w:szCs w:val="16"/>
                <w:b w:val="1"/>
                <w:bCs w:val="1"/>
                <w:color w:val="auto"/>
              </w:rPr>
              <w:t>Expenses: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Employee</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7"/>
              </w:rPr>
              <w:t>compensation and</w:t>
            </w:r>
          </w:p>
        </w:tc>
        <w:tc>
          <w:tcPr>
            <w:tcW w:w="7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10,237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10,787</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(5)</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21,785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23,455</w:t>
            </w:r>
          </w:p>
        </w:tc>
        <w:tc>
          <w:tcPr>
            <w:tcW w:w="1380" w:type="dxa"/>
            <w:vAlign w:val="bottom"/>
            <w:gridSpan w:val="2"/>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benefits</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rPr>
              <w:t>Sales and</w:t>
            </w:r>
          </w:p>
        </w:tc>
        <w:tc>
          <w:tcPr>
            <w:tcW w:w="7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253</w:t>
            </w:r>
          </w:p>
        </w:tc>
        <w:tc>
          <w:tcPr>
            <w:tcW w:w="1120" w:type="dxa"/>
            <w:vAlign w:val="bottom"/>
            <w:gridSpan w:val="2"/>
            <w:vMerge w:val="restart"/>
          </w:tcPr>
          <w:p>
            <w:pPr>
              <w:jc w:val="right"/>
              <w:ind w:right="132"/>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731</w:t>
            </w:r>
          </w:p>
        </w:tc>
        <w:tc>
          <w:tcPr>
            <w:tcW w:w="1380" w:type="dxa"/>
            <w:vAlign w:val="bottom"/>
            <w:gridSpan w:val="2"/>
            <w:vMerge w:val="restart"/>
          </w:tcPr>
          <w:p>
            <w:pPr>
              <w:jc w:val="right"/>
              <w:ind w:right="265"/>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marketing</w:t>
            </w: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Westwood</w:t>
            </w:r>
          </w:p>
        </w:tc>
        <w:tc>
          <w:tcPr>
            <w:tcW w:w="7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434</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(15)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380" w:type="dxa"/>
            <w:vAlign w:val="bottom"/>
            <w:gridSpan w:val="2"/>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mutual funds</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w w:val="99"/>
              </w:rPr>
              <w:t>Information</w:t>
            </w:r>
          </w:p>
        </w:tc>
        <w:tc>
          <w:tcPr>
            <w:tcW w:w="7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2,261</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2,030</w:t>
            </w:r>
          </w:p>
        </w:tc>
        <w:tc>
          <w:tcPr>
            <w:tcW w:w="1120" w:type="dxa"/>
            <w:vAlign w:val="bottom"/>
            <w:gridSpan w:val="2"/>
            <w:vMerge w:val="restart"/>
          </w:tcPr>
          <w:p>
            <w:pPr>
              <w:jc w:val="right"/>
              <w:ind w:right="132"/>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4,253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4,061</w:t>
            </w:r>
          </w:p>
        </w:tc>
        <w:tc>
          <w:tcPr>
            <w:tcW w:w="1380" w:type="dxa"/>
            <w:vAlign w:val="bottom"/>
            <w:gridSpan w:val="2"/>
            <w:vMerge w:val="restart"/>
          </w:tcPr>
          <w:p>
            <w:pPr>
              <w:jc w:val="right"/>
              <w:ind w:right="305"/>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w w:val="90"/>
              </w:rPr>
              <w:t>Professional</w:t>
            </w:r>
          </w:p>
        </w:tc>
        <w:tc>
          <w:tcPr>
            <w:tcW w:w="7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991</w:t>
            </w:r>
          </w:p>
        </w:tc>
        <w:tc>
          <w:tcPr>
            <w:tcW w:w="112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6"/>
                <w:szCs w:val="16"/>
                <w:color w:val="auto"/>
              </w:rPr>
              <w:t>44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2,745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380" w:type="dxa"/>
            <w:vAlign w:val="bottom"/>
            <w:gridSpan w:val="2"/>
            <w:vMerge w:val="restart"/>
            <w:shd w:val="clear" w:color="auto" w:fill="CCEEFF"/>
          </w:tcPr>
          <w:p>
            <w:pPr>
              <w:jc w:val="right"/>
              <w:ind w:right="305"/>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w w:val="90"/>
              </w:rPr>
              <w:t>General and</w:t>
            </w:r>
          </w:p>
        </w:tc>
        <w:tc>
          <w:tcPr>
            <w:tcW w:w="7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2,042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2,191</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4,114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4,497</w:t>
            </w:r>
          </w:p>
        </w:tc>
        <w:tc>
          <w:tcPr>
            <w:tcW w:w="1380" w:type="dxa"/>
            <w:vAlign w:val="bottom"/>
            <w:gridSpan w:val="2"/>
            <w:vMerge w:val="restart"/>
          </w:tcPr>
          <w:p>
            <w:pPr>
              <w:jc w:val="right"/>
              <w:ind w:right="265"/>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administrative</w:t>
            </w: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(Gain) loss</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3"/>
              </w:rPr>
              <w:t>on foreign currency</w:t>
            </w:r>
          </w:p>
        </w:tc>
        <w:tc>
          <w:tcPr>
            <w:tcW w:w="7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1,323</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380" w:type="dxa"/>
            <w:vAlign w:val="bottom"/>
            <w:gridSpan w:val="2"/>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transactions</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20" w:type="dxa"/>
            <w:vAlign w:val="bottom"/>
          </w:tcPr>
          <w:p>
            <w:pPr>
              <w:ind w:left="940"/>
              <w:spacing w:after="0" w:line="142" w:lineRule="exact"/>
              <w:rPr>
                <w:sz w:val="20"/>
                <w:szCs w:val="20"/>
                <w:color w:val="auto"/>
              </w:rPr>
            </w:pPr>
            <w:r>
              <w:rPr>
                <w:rFonts w:ascii="Arial" w:cs="Arial" w:eastAsia="Arial" w:hAnsi="Arial"/>
                <w:sz w:val="16"/>
                <w:szCs w:val="16"/>
                <w:color w:val="auto"/>
              </w:rPr>
              <w:t>Total</w:t>
            </w:r>
          </w:p>
        </w:tc>
        <w:tc>
          <w:tcPr>
            <w:tcW w:w="7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16,706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18,009</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34,256</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34,262</w:t>
            </w:r>
          </w:p>
        </w:tc>
        <w:tc>
          <w:tcPr>
            <w:tcW w:w="1380" w:type="dxa"/>
            <w:vAlign w:val="bottom"/>
            <w:gridSpan w:val="2"/>
            <w:vMerge w:val="restart"/>
          </w:tcPr>
          <w:p>
            <w:pPr>
              <w:jc w:val="right"/>
              <w:ind w:right="305"/>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expenses</w:t>
            </w: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CCEEFF"/>
            </w:tcBorders>
            <w:gridSpan w:val="2"/>
            <w:vMerge w:val="continue"/>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CCEEFF"/>
            </w:tcBorders>
            <w:gridSpan w:val="2"/>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ind w:left="500"/>
              <w:spacing w:after="0" w:line="142" w:lineRule="exact"/>
              <w:rPr>
                <w:sz w:val="20"/>
                <w:szCs w:val="20"/>
                <w:color w:val="auto"/>
              </w:rPr>
            </w:pPr>
            <w:r>
              <w:rPr>
                <w:rFonts w:ascii="Arial" w:cs="Arial" w:eastAsia="Arial" w:hAnsi="Arial"/>
                <w:sz w:val="16"/>
                <w:szCs w:val="16"/>
                <w:b w:val="1"/>
                <w:bCs w:val="1"/>
                <w:color w:val="auto"/>
                <w:w w:val="96"/>
              </w:rPr>
              <w:t>Net operating</w:t>
            </w:r>
          </w:p>
        </w:tc>
        <w:tc>
          <w:tcPr>
            <w:tcW w:w="7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1,547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20" w:type="dxa"/>
            <w:vAlign w:val="bottom"/>
          </w:tcPr>
          <w:p>
            <w:pPr>
              <w:ind w:left="700"/>
              <w:spacing w:after="0" w:line="142" w:lineRule="exact"/>
              <w:rPr>
                <w:sz w:val="20"/>
                <w:szCs w:val="20"/>
                <w:color w:val="auto"/>
              </w:rPr>
            </w:pPr>
            <w:r>
              <w:rPr>
                <w:rFonts w:ascii="Arial" w:cs="Arial" w:eastAsia="Arial" w:hAnsi="Arial"/>
                <w:sz w:val="16"/>
                <w:szCs w:val="16"/>
                <w:color w:val="auto"/>
              </w:rPr>
              <w:t>Realized</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20" w:type="dxa"/>
            <w:vAlign w:val="bottom"/>
          </w:tcPr>
          <w:p>
            <w:pPr>
              <w:ind w:left="220"/>
              <w:spacing w:after="0" w:line="158" w:lineRule="exact"/>
              <w:rPr>
                <w:sz w:val="20"/>
                <w:szCs w:val="20"/>
                <w:color w:val="auto"/>
              </w:rPr>
            </w:pPr>
            <w:r>
              <w:rPr>
                <w:rFonts w:ascii="Arial" w:cs="Arial" w:eastAsia="Arial" w:hAnsi="Arial"/>
                <w:sz w:val="16"/>
                <w:szCs w:val="16"/>
                <w:color w:val="auto"/>
              </w:rPr>
              <w:t>gains on private</w:t>
            </w:r>
          </w:p>
        </w:tc>
        <w:tc>
          <w:tcPr>
            <w:tcW w:w="7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NM</w:t>
            </w:r>
          </w:p>
        </w:tc>
        <w:tc>
          <w:tcPr>
            <w:tcW w:w="720" w:type="dxa"/>
            <w:vAlign w:val="bottom"/>
          </w:tcPr>
          <w:p>
            <w:pPr>
              <w:spacing w:after="0"/>
              <w:rPr>
                <w:sz w:val="13"/>
                <w:szCs w:val="13"/>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8,371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2"/>
              </w:rPr>
              <w:t>NM</w:t>
            </w:r>
          </w:p>
        </w:tc>
        <w:tc>
          <w:tcPr>
            <w:tcW w:w="0" w:type="dxa"/>
            <w:vAlign w:val="bottom"/>
          </w:tcPr>
          <w:p>
            <w:pPr>
              <w:spacing w:after="0"/>
              <w:rPr>
                <w:sz w:val="1"/>
                <w:szCs w:val="1"/>
                <w:color w:val="auto"/>
              </w:rPr>
            </w:pPr>
          </w:p>
        </w:tc>
      </w:tr>
      <w:tr>
        <w:trPr>
          <w:trHeight w:val="208"/>
        </w:trPr>
        <w:tc>
          <w:tcPr>
            <w:tcW w:w="152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7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700"/>
              <w:spacing w:after="0" w:line="162" w:lineRule="exact"/>
              <w:rPr>
                <w:sz w:val="20"/>
                <w:szCs w:val="20"/>
                <w:color w:val="auto"/>
              </w:rPr>
            </w:pPr>
            <w:r>
              <w:rPr>
                <w:rFonts w:ascii="Arial" w:cs="Arial" w:eastAsia="Arial" w:hAnsi="Arial"/>
                <w:sz w:val="16"/>
                <w:szCs w:val="16"/>
                <w:color w:val="auto"/>
                <w:w w:val="97"/>
              </w:rPr>
              <w:t>Net change</w:t>
            </w: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in unrealized</w:t>
            </w: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appreciation</w:t>
            </w: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(depreciation) on</w:t>
            </w:r>
          </w:p>
        </w:tc>
        <w:tc>
          <w:tcPr>
            <w:tcW w:w="7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159</w:t>
            </w:r>
          </w:p>
        </w:tc>
        <w:tc>
          <w:tcPr>
            <w:tcW w:w="112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6"/>
                <w:szCs w:val="16"/>
                <w:color w:val="auto"/>
              </w:rPr>
              <w:t>35</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380" w:type="dxa"/>
            <w:vAlign w:val="bottom"/>
            <w:gridSpan w:val="2"/>
            <w:vMerge w:val="restart"/>
            <w:shd w:val="clear" w:color="auto" w:fill="CCEEFF"/>
          </w:tcPr>
          <w:p>
            <w:pPr>
              <w:jc w:val="right"/>
              <w:ind w:right="305"/>
              <w:spacing w:after="0"/>
              <w:rPr>
                <w:sz w:val="20"/>
                <w:szCs w:val="20"/>
                <w:color w:val="auto"/>
              </w:rPr>
            </w:pPr>
            <w:r>
              <w:rPr>
                <w:rFonts w:ascii="Arial" w:cs="Arial" w:eastAsia="Arial" w:hAnsi="Arial"/>
                <w:sz w:val="16"/>
                <w:szCs w:val="16"/>
                <w:color w:val="auto"/>
              </w:rPr>
              <w:t>153</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private investments</w:t>
            </w:r>
          </w:p>
        </w:tc>
        <w:tc>
          <w:tcPr>
            <w:tcW w:w="7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700"/>
              <w:spacing w:after="0" w:line="161" w:lineRule="exact"/>
              <w:rPr>
                <w:sz w:val="20"/>
                <w:szCs w:val="20"/>
                <w:color w:val="auto"/>
              </w:rPr>
            </w:pPr>
            <w:r>
              <w:rPr>
                <w:rFonts w:ascii="Arial" w:cs="Arial" w:eastAsia="Arial" w:hAnsi="Arial"/>
                <w:sz w:val="16"/>
                <w:szCs w:val="16"/>
                <w:color w:val="auto"/>
              </w:rPr>
              <w:t>Investment</w:t>
            </w:r>
          </w:p>
        </w:tc>
        <w:tc>
          <w:tcPr>
            <w:tcW w:w="7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124</w:t>
            </w:r>
          </w:p>
        </w:tc>
        <w:tc>
          <w:tcPr>
            <w:tcW w:w="1120" w:type="dxa"/>
            <w:vAlign w:val="bottom"/>
            <w:gridSpan w:val="2"/>
            <w:vMerge w:val="restart"/>
          </w:tcPr>
          <w:p>
            <w:pPr>
              <w:jc w:val="right"/>
              <w:ind w:right="132"/>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1380" w:type="dxa"/>
            <w:vAlign w:val="bottom"/>
            <w:gridSpan w:val="2"/>
            <w:vMerge w:val="restart"/>
          </w:tcPr>
          <w:p>
            <w:pPr>
              <w:jc w:val="right"/>
              <w:ind w:right="265"/>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520" w:type="dxa"/>
            <w:vAlign w:val="bottom"/>
          </w:tcPr>
          <w:p>
            <w:pPr>
              <w:ind w:left="220"/>
              <w:spacing w:after="0"/>
              <w:rPr>
                <w:sz w:val="20"/>
                <w:szCs w:val="20"/>
                <w:color w:val="auto"/>
              </w:rPr>
            </w:pPr>
            <w:r>
              <w:rPr>
                <w:rFonts w:ascii="Arial" w:cs="Arial" w:eastAsia="Arial" w:hAnsi="Arial"/>
                <w:sz w:val="16"/>
                <w:szCs w:val="16"/>
                <w:color w:val="auto"/>
              </w:rPr>
              <w:t>income</w:t>
            </w: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700"/>
              <w:spacing w:after="0" w:line="165" w:lineRule="exact"/>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12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6"/>
                <w:szCs w:val="16"/>
                <w:color w:val="auto"/>
              </w:rPr>
              <w:t>318</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380" w:type="dxa"/>
            <w:vAlign w:val="bottom"/>
            <w:gridSpan w:val="2"/>
            <w:vMerge w:val="restart"/>
            <w:shd w:val="clear" w:color="auto" w:fill="CCEEFF"/>
          </w:tcPr>
          <w:p>
            <w:pPr>
              <w:jc w:val="right"/>
              <w:ind w:right="305"/>
              <w:spacing w:after="0"/>
              <w:rPr>
                <w:sz w:val="20"/>
                <w:szCs w:val="20"/>
                <w:color w:val="auto"/>
              </w:rPr>
            </w:pPr>
            <w:r>
              <w:rPr>
                <w:rFonts w:ascii="Arial" w:cs="Arial" w:eastAsia="Arial" w:hAnsi="Arial"/>
                <w:sz w:val="16"/>
                <w:szCs w:val="16"/>
                <w:color w:val="auto"/>
              </w:rPr>
              <w:t>182</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520" w:type="dxa"/>
            <w:vAlign w:val="bottom"/>
          </w:tcPr>
          <w:p>
            <w:pPr>
              <w:ind w:left="500"/>
              <w:spacing w:after="0" w:line="138" w:lineRule="exact"/>
              <w:rPr>
                <w:sz w:val="20"/>
                <w:szCs w:val="20"/>
                <w:color w:val="auto"/>
              </w:rPr>
            </w:pPr>
            <w:r>
              <w:rPr>
                <w:rFonts w:ascii="Arial" w:cs="Arial" w:eastAsia="Arial" w:hAnsi="Arial"/>
                <w:sz w:val="16"/>
                <w:szCs w:val="16"/>
                <w:b w:val="1"/>
                <w:bCs w:val="1"/>
                <w:color w:val="auto"/>
                <w:w w:val="96"/>
              </w:rPr>
              <w:t>Income (loss)</w:t>
            </w:r>
          </w:p>
        </w:tc>
        <w:tc>
          <w:tcPr>
            <w:tcW w:w="7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1,416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(1,817)</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8,430</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5"/>
              </w:rPr>
              <w:t>before income taxes</w:t>
            </w: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520" w:type="dxa"/>
            <w:vAlign w:val="bottom"/>
            <w:shd w:val="clear" w:color="auto" w:fill="CCEEFF"/>
          </w:tcPr>
          <w:p>
            <w:pPr>
              <w:ind w:left="500"/>
              <w:spacing w:after="0" w:line="145" w:lineRule="exact"/>
              <w:rPr>
                <w:sz w:val="20"/>
                <w:szCs w:val="20"/>
                <w:color w:val="auto"/>
              </w:rPr>
            </w:pPr>
            <w:r>
              <w:rPr>
                <w:rFonts w:ascii="Arial" w:cs="Arial" w:eastAsia="Arial" w:hAnsi="Arial"/>
                <w:sz w:val="16"/>
                <w:szCs w:val="16"/>
                <w:color w:val="auto"/>
              </w:rPr>
              <w:t>Income tax</w:t>
            </w:r>
          </w:p>
        </w:tc>
        <w:tc>
          <w:tcPr>
            <w:tcW w:w="7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758</w:t>
            </w:r>
          </w:p>
        </w:tc>
        <w:tc>
          <w:tcPr>
            <w:tcW w:w="112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6"/>
                <w:szCs w:val="16"/>
                <w:color w:val="auto"/>
              </w:rPr>
              <w:t>(41)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3,359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380" w:type="dxa"/>
            <w:vAlign w:val="bottom"/>
            <w:gridSpan w:val="2"/>
            <w:vMerge w:val="restart"/>
            <w:shd w:val="clear" w:color="auto" w:fill="CCEEFF"/>
          </w:tcPr>
          <w:p>
            <w:pPr>
              <w:jc w:val="right"/>
              <w:ind w:right="245"/>
              <w:spacing w:after="0"/>
              <w:rPr>
                <w:sz w:val="20"/>
                <w:szCs w:val="20"/>
                <w:color w:val="auto"/>
              </w:rPr>
            </w:pPr>
            <w:r>
              <w:rPr>
                <w:rFonts w:ascii="Arial" w:cs="Arial" w:eastAsia="Arial" w:hAnsi="Arial"/>
                <w:sz w:val="16"/>
                <w:szCs w:val="16"/>
                <w:color w:val="auto"/>
              </w:rPr>
              <w:t>(1,074)</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(benefit)</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520" w:type="dxa"/>
            <w:vAlign w:val="bottom"/>
          </w:tcPr>
          <w:p>
            <w:pPr>
              <w:ind w:left="500"/>
              <w:spacing w:after="0" w:line="138" w:lineRule="exact"/>
              <w:rPr>
                <w:sz w:val="20"/>
                <w:szCs w:val="20"/>
                <w:color w:val="auto"/>
              </w:rPr>
            </w:pPr>
            <w:r>
              <w:rPr>
                <w:rFonts w:ascii="Arial" w:cs="Arial" w:eastAsia="Arial" w:hAnsi="Arial"/>
                <w:sz w:val="16"/>
                <w:szCs w:val="16"/>
                <w:b w:val="1"/>
                <w:bCs w:val="1"/>
                <w:color w:val="auto"/>
              </w:rPr>
              <w:t>Net income</w:t>
            </w: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970</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(2,575)</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6"/>
                <w:szCs w:val="16"/>
                <w:color w:val="auto"/>
              </w:rPr>
              <w:t>(138)</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5,071</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(1,473)</w:t>
            </w:r>
          </w:p>
        </w:tc>
        <w:tc>
          <w:tcPr>
            <w:tcW w:w="1380" w:type="dxa"/>
            <w:vAlign w:val="bottom"/>
            <w:gridSpan w:val="2"/>
            <w:vMerge w:val="restart"/>
          </w:tcPr>
          <w:p>
            <w:pPr>
              <w:jc w:val="right"/>
              <w:ind w:right="265"/>
              <w:spacing w:after="0"/>
              <w:rPr>
                <w:sz w:val="20"/>
                <w:szCs w:val="20"/>
                <w:color w:val="auto"/>
              </w:rPr>
            </w:pPr>
            <w:r>
              <w:rPr>
                <w:rFonts w:ascii="Arial" w:cs="Arial" w:eastAsia="Arial" w:hAnsi="Arial"/>
                <w:sz w:val="16"/>
                <w:szCs w:val="16"/>
                <w:color w:val="auto"/>
              </w:rPr>
              <w:t>(444)</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(loss)</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0"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10" w:lineRule="exact"/>
        <w:rPr>
          <w:sz w:val="20"/>
          <w:szCs w:val="20"/>
          <w:color w:val="auto"/>
        </w:rPr>
      </w:pPr>
    </w:p>
    <w:p>
      <w:pPr>
        <w:ind w:right="140" w:firstLine="475"/>
        <w:spacing w:after="0" w:line="328" w:lineRule="auto"/>
        <w:rPr>
          <w:sz w:val="20"/>
          <w:szCs w:val="20"/>
          <w:color w:val="auto"/>
        </w:rPr>
      </w:pPr>
      <w:r>
        <w:rPr>
          <w:rFonts w:ascii="Arial" w:cs="Arial" w:eastAsia="Arial" w:hAnsi="Arial"/>
          <w:sz w:val="15"/>
          <w:szCs w:val="15"/>
          <w:i w:val="1"/>
          <w:iCs w:val="1"/>
          <w:color w:val="auto"/>
        </w:rPr>
        <w:t>Total revenues</w:t>
      </w:r>
      <w:r>
        <w:rPr>
          <w:rFonts w:ascii="Arial" w:cs="Arial" w:eastAsia="Arial" w:hAnsi="Arial"/>
          <w:sz w:val="15"/>
          <w:szCs w:val="15"/>
          <w:color w:val="auto"/>
        </w:rPr>
        <w:t>. Total revenues increased $1.6 million, or 10%, to $17.5 million for the three months ended June 30, 2021 compared with $15.9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three months ended June 30, 2020. Asset-based advisory fees increased $2.1 million, or 22%, and Trust fees increased $0.5 million, or 10%. Performance-based advisory fees decreased $0.7 million due to lower realization of performance fees in the three months ended June 30, 2021.</w:t>
      </w:r>
    </w:p>
    <w:p>
      <w:pPr>
        <w:sectPr>
          <w:pgSz w:w="11900" w:h="16847" w:orient="portrait"/>
          <w:cols w:equalWidth="0" w:num="1">
            <w:col w:w="11240"/>
          </w:cols>
          <w:pgMar w:left="320" w:top="123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47" w:orient="portrait"/>
          <w:cols w:equalWidth="0" w:num="1">
            <w:col w:w="11240"/>
          </w:cols>
          <w:pgMar w:left="320" w:top="1236" w:right="339" w:bottom="0" w:gutter="0" w:footer="0" w:header="0"/>
          <w:type w:val="continuous"/>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89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ind w:right="80" w:firstLine="475"/>
        <w:spacing w:after="0" w:line="254"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$0.6 million, or 5%, to $10.2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with $10.8 million for the three months ended June 30, 2020. The decrease was primarily due to reductions in headcount and stock-based compensation expense.</w:t>
      </w:r>
    </w:p>
    <w:p>
      <w:pPr>
        <w:spacing w:after="0" w:line="135" w:lineRule="exact"/>
        <w:rPr>
          <w:sz w:val="20"/>
          <w:szCs w:val="20"/>
          <w:color w:val="auto"/>
        </w:rPr>
      </w:pPr>
    </w:p>
    <w:p>
      <w:pPr>
        <w:ind w:right="260" w:firstLine="475"/>
        <w:spacing w:after="0" w:line="263"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increased $0.4 million, or 44%, to $1.4 million for the three months ended June 30, 2021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 for the three months ended June 30, 2020. The increase was primarily due to legal expenses.</w:t>
      </w:r>
    </w:p>
    <w:p>
      <w:pPr>
        <w:spacing w:after="0" w:line="127" w:lineRule="exact"/>
        <w:rPr>
          <w:sz w:val="20"/>
          <w:szCs w:val="20"/>
          <w:color w:val="auto"/>
        </w:rPr>
      </w:pPr>
    </w:p>
    <w:p>
      <w:pPr>
        <w:ind w:right="100" w:firstLine="475"/>
        <w:spacing w:after="0" w:line="263"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foreign currency gains and losses as a result of fluctuations in the Canadian dollar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 prior to closing Westwood International Advisors in 2020.</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 xml:space="preserve">Other Income. </w:t>
      </w:r>
      <w:r>
        <w:rPr>
          <w:rFonts w:ascii="Arial" w:cs="Arial" w:eastAsia="Arial" w:hAnsi="Arial"/>
          <w:sz w:val="15"/>
          <w:szCs w:val="15"/>
          <w:color w:val="auto"/>
        </w:rPr>
        <w:t>Other income increased to $0.1 million for the three months ended June 30, 2021. The increase was primarily due to sublease income.</w:t>
      </w:r>
    </w:p>
    <w:p>
      <w:pPr>
        <w:spacing w:after="0" w:line="197" w:lineRule="exact"/>
        <w:rPr>
          <w:sz w:val="20"/>
          <w:szCs w:val="20"/>
          <w:color w:val="auto"/>
        </w:rPr>
      </w:pPr>
    </w:p>
    <w:p>
      <w:pPr>
        <w:ind w:right="280" w:firstLine="475"/>
        <w:spacing w:after="0" w:line="267"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Our effective tax rate of 31.5% differed from the 21% statutory rate for the second quarter of 2021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permanent differences between book and tax restricted stock expense based on a decrease in our stock price between the restricted stock grant and vesting dates. Our income tax rate differed from the 21% statutory rate for the second quarter of 2020 primarily due to the impact of certain deferred tax assets that offset the discrete benefit adjustment related to the remeasurement of certain deferred taxes following the enactment of the Coronavirus Aid, Relief, and Economic Security Act ("CARES Act") recorded in the first quarter of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63" w:lineRule="exact"/>
        <w:rPr>
          <w:sz w:val="20"/>
          <w:szCs w:val="20"/>
          <w:color w:val="auto"/>
        </w:rPr>
      </w:pPr>
    </w:p>
    <w:p>
      <w:pPr>
        <w:ind w:firstLine="475"/>
        <w:spacing w:after="0" w:line="251"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increased $3.3 million, or 10%, to $35.8 million for the six months ended June 30, 2021 compared with $32.5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Asset-based advisory fees increased $1.4 million, or 7% and Trust fees increased $0.7 million, or 6%, both primarily due to higher average AUM. Performance-based advisory fees increased $1.3 million, or 182%, primarily due to higher realization of performance fees in the six months ended June 30, 2021.</w:t>
      </w:r>
    </w:p>
    <w:p>
      <w:pPr>
        <w:spacing w:after="0" w:line="138" w:lineRule="exact"/>
        <w:rPr>
          <w:sz w:val="20"/>
          <w:szCs w:val="20"/>
          <w:color w:val="auto"/>
        </w:rPr>
      </w:pPr>
    </w:p>
    <w:p>
      <w:pPr>
        <w:jc w:val="both"/>
        <w:ind w:right="300" w:firstLine="475"/>
        <w:spacing w:after="0" w:line="254"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$1.7 million, or 7%, to $21.8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compared with $23.5 million for the six months ended June 30, 2020. The decrease was primarily due to reductions in headcount and stock-based compensation expense.</w:t>
      </w:r>
    </w:p>
    <w:p>
      <w:pPr>
        <w:spacing w:after="0" w:line="135" w:lineRule="exact"/>
        <w:rPr>
          <w:sz w:val="20"/>
          <w:szCs w:val="20"/>
          <w:color w:val="auto"/>
        </w:rPr>
      </w:pPr>
    </w:p>
    <w:p>
      <w:pPr>
        <w:ind w:right="60" w:firstLine="475"/>
        <w:spacing w:after="0" w:line="263"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increased $0.5 million, or 26%, to $2.7 million for the six months ended June 30, 2021 compared with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2020. The increase was primarily due to legal expenses.</w:t>
      </w:r>
    </w:p>
    <w:p>
      <w:pPr>
        <w:spacing w:after="0" w:line="127" w:lineRule="exact"/>
        <w:rPr>
          <w:sz w:val="20"/>
          <w:szCs w:val="20"/>
          <w:color w:val="auto"/>
        </w:rPr>
      </w:pPr>
    </w:p>
    <w:p>
      <w:pPr>
        <w:ind w:right="100" w:firstLine="475"/>
        <w:spacing w:after="0" w:line="263"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foreign currency gains and losses as a result of fluctuations in the Canadian dollar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 prior to closing Westwood International Advisors in 2020.</w:t>
      </w:r>
    </w:p>
    <w:p>
      <w:pPr>
        <w:spacing w:after="0" w:line="127" w:lineRule="exact"/>
        <w:rPr>
          <w:sz w:val="20"/>
          <w:szCs w:val="20"/>
          <w:color w:val="auto"/>
        </w:rPr>
      </w:pPr>
    </w:p>
    <w:p>
      <w:pPr>
        <w:ind w:right="1000" w:firstLine="475"/>
        <w:spacing w:after="0" w:line="263" w:lineRule="auto"/>
        <w:rPr>
          <w:sz w:val="20"/>
          <w:szCs w:val="20"/>
          <w:color w:val="auto"/>
        </w:rPr>
      </w:pPr>
      <w:r>
        <w:rPr>
          <w:rFonts w:ascii="Arial" w:cs="Arial" w:eastAsia="Arial" w:hAnsi="Arial"/>
          <w:sz w:val="18"/>
          <w:szCs w:val="18"/>
          <w:i w:val="1"/>
          <w:iCs w:val="1"/>
          <w:color w:val="auto"/>
        </w:rPr>
        <w:t xml:space="preserve">Realized gains on private investments. </w:t>
      </w:r>
      <w:r>
        <w:rPr>
          <w:rFonts w:ascii="Arial" w:cs="Arial" w:eastAsia="Arial" w:hAnsi="Arial"/>
          <w:sz w:val="18"/>
          <w:szCs w:val="18"/>
          <w:color w:val="auto"/>
        </w:rPr>
        <w:t>Following InvestCloud's recapitalization in the first quarter of 2021, we recorded a realized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$8.3 million.</w:t>
      </w:r>
    </w:p>
    <w:p>
      <w:pPr>
        <w:spacing w:after="0" w:line="127" w:lineRule="exact"/>
        <w:rPr>
          <w:sz w:val="20"/>
          <w:szCs w:val="20"/>
          <w:color w:val="auto"/>
        </w:rPr>
      </w:pPr>
    </w:p>
    <w:p>
      <w:pPr>
        <w:ind w:right="60" w:firstLine="475"/>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increased $0.1 million to $0.2 million for the six months ended June 30, 2021. The increase was primarily due to sublease</w:t>
      </w:r>
      <w:r>
        <w:rPr>
          <w:rFonts w:ascii="Arial" w:cs="Arial" w:eastAsia="Arial" w:hAnsi="Arial"/>
          <w:sz w:val="18"/>
          <w:szCs w:val="18"/>
          <w:i w:val="1"/>
          <w:iCs w:val="1"/>
          <w:color w:val="auto"/>
        </w:rPr>
        <w:t xml:space="preserve"> </w:t>
      </w:r>
      <w:r>
        <w:rPr>
          <w:rFonts w:ascii="Arial" w:cs="Arial" w:eastAsia="Arial" w:hAnsi="Arial"/>
          <w:sz w:val="18"/>
          <w:szCs w:val="18"/>
          <w:color w:val="auto"/>
        </w:rPr>
        <w:t>income.</w:t>
      </w:r>
    </w:p>
    <w:p>
      <w:pPr>
        <w:spacing w:after="0" w:line="127" w:lineRule="exact"/>
        <w:rPr>
          <w:sz w:val="20"/>
          <w:szCs w:val="20"/>
          <w:color w:val="auto"/>
        </w:rPr>
      </w:pPr>
    </w:p>
    <w:p>
      <w:pPr>
        <w:ind w:right="20" w:firstLine="475"/>
        <w:spacing w:after="0" w:line="248"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effective tax rate was 39.8% for the six months ended June 30, 2021, compared to 19.0%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Our income tax rate differed from the 21% statutory rate for 2021 primarily due to permanent differences between book and tax restricted stock expense based on a decrease in our stock price between the restricted stock grant and vesting dates. The effective tax rate decreased to 19.0% for the six months ended June 30, 2020. The effective tax rate for the six months ended June 30, 2020 was primarily due to a discrete benefit adjustment related to the remeasurement of certain deferred taxes following the enactment of the CARES Act recorded in the first quarter of 2020, offset by the remeasurement of current deferred taxes on a nondiscrete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16" w:lineRule="exact"/>
        <w:rPr>
          <w:sz w:val="20"/>
          <w:szCs w:val="20"/>
          <w:color w:val="auto"/>
        </w:rPr>
      </w:pPr>
    </w:p>
    <w:p>
      <w:pPr>
        <w:ind w:right="460" w:firstLine="475"/>
        <w:spacing w:after="0" w:line="254" w:lineRule="auto"/>
        <w:rPr>
          <w:sz w:val="20"/>
          <w:szCs w:val="20"/>
          <w:color w:val="auto"/>
        </w:rPr>
      </w:pPr>
      <w:r>
        <w:rPr>
          <w:rFonts w:ascii="Arial" w:cs="Arial" w:eastAsia="Arial" w:hAnsi="Arial"/>
          <w:sz w:val="18"/>
          <w:szCs w:val="18"/>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36" w:right="379" w:bottom="1440" w:gutter="0" w:footer="0" w:header="0"/>
        </w:sectPr>
      </w:pPr>
    </w:p>
    <w:bookmarkStart w:id="25" w:name="page26"/>
    <w:bookmarkEnd w:id="25"/>
    <w:p>
      <w:pPr>
        <w:ind w:right="340"/>
        <w:spacing w:after="0" w:line="251" w:lineRule="auto"/>
        <w:rPr>
          <w:sz w:val="20"/>
          <w:szCs w:val="20"/>
          <w:color w:val="auto"/>
        </w:rPr>
      </w:pPr>
      <w:r>
        <w:rPr>
          <w:rFonts w:ascii="Arial" w:cs="Arial" w:eastAsia="Arial" w:hAnsi="Arial"/>
          <w:sz w:val="18"/>
          <w:szCs w:val="18"/>
          <w:color w:val="auto"/>
        </w:rPr>
        <w:t>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5" w:lineRule="exact"/>
        <w:rPr>
          <w:sz w:val="20"/>
          <w:szCs w:val="20"/>
          <w:color w:val="auto"/>
        </w:rPr>
      </w:pPr>
    </w:p>
    <w:p>
      <w:pPr>
        <w:ind w:right="340" w:firstLine="475"/>
        <w:spacing w:after="0" w:line="267" w:lineRule="auto"/>
        <w:rPr>
          <w:sz w:val="20"/>
          <w:szCs w:val="20"/>
          <w:color w:val="auto"/>
        </w:rPr>
      </w:pPr>
      <w:r>
        <w:rPr>
          <w:rFonts w:ascii="Arial" w:cs="Arial" w:eastAsia="Arial" w:hAnsi="Arial"/>
          <w:sz w:val="17"/>
          <w:szCs w:val="17"/>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75" w:lineRule="exact"/>
        <w:rPr>
          <w:sz w:val="20"/>
          <w:szCs w:val="20"/>
          <w:color w:val="auto"/>
        </w:rPr>
      </w:pPr>
    </w:p>
    <w:p>
      <w:pPr>
        <w:ind w:right="100" w:firstLine="475"/>
        <w:spacing w:after="0" w:line="263" w:lineRule="auto"/>
        <w:rPr>
          <w:sz w:val="20"/>
          <w:szCs w:val="20"/>
          <w:color w:val="auto"/>
        </w:rPr>
      </w:pPr>
      <w:r>
        <w:rPr>
          <w:rFonts w:ascii="Arial" w:cs="Arial" w:eastAsia="Arial" w:hAnsi="Arial"/>
          <w:sz w:val="18"/>
          <w:szCs w:val="18"/>
          <w:color w:val="auto"/>
        </w:rPr>
        <w:t>The following tables provide a reconciliation of net income (loss) to Economic Earnings and Economic Earnings by segment (in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6"/>
                <w:szCs w:val="16"/>
                <w:b w:val="1"/>
                <w:bCs w:val="1"/>
                <w:color w:val="auto"/>
                <w:w w:val="95"/>
              </w:rPr>
              <w:t>Three Months Ended June 30,</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6"/>
                <w:szCs w:val="16"/>
                <w:b w:val="1"/>
                <w:bCs w:val="1"/>
                <w:color w:val="auto"/>
              </w:rPr>
              <w:t>Six Months Ended June 30,</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CCEEFF"/>
          </w:tcPr>
          <w:p>
            <w:pPr>
              <w:ind w:left="500"/>
              <w:spacing w:after="0" w:line="155" w:lineRule="exact"/>
              <w:rPr>
                <w:sz w:val="20"/>
                <w:szCs w:val="20"/>
                <w:color w:val="auto"/>
              </w:rPr>
            </w:pPr>
            <w:r>
              <w:rPr>
                <w:rFonts w:ascii="Arial" w:cs="Arial" w:eastAsia="Arial" w:hAnsi="Arial"/>
                <w:sz w:val="17"/>
                <w:szCs w:val="17"/>
                <w:b w:val="1"/>
                <w:bCs w:val="1"/>
                <w:color w:val="auto"/>
              </w:rPr>
              <w:t>Net income</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420" w:type="dxa"/>
            <w:vAlign w:val="bottom"/>
            <w:gridSpan w:val="2"/>
            <w:vMerge w:val="restart"/>
            <w:shd w:val="clear" w:color="auto" w:fill="CCEEFF"/>
          </w:tcPr>
          <w:p>
            <w:pPr>
              <w:jc w:val="right"/>
              <w:ind w:right="336"/>
              <w:spacing w:after="0"/>
              <w:rPr>
                <w:sz w:val="20"/>
                <w:szCs w:val="20"/>
                <w:color w:val="auto"/>
              </w:rPr>
            </w:pPr>
            <w:r>
              <w:rPr>
                <w:rFonts w:ascii="Arial" w:cs="Arial" w:eastAsia="Arial" w:hAnsi="Arial"/>
                <w:sz w:val="18"/>
                <w:szCs w:val="18"/>
                <w:color w:val="auto"/>
              </w:rPr>
              <w:t>(138)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380" w:type="dxa"/>
            <w:vAlign w:val="bottom"/>
            <w:gridSpan w:val="2"/>
            <w:vMerge w:val="restart"/>
            <w:shd w:val="clear" w:color="auto" w:fill="CCEEFF"/>
          </w:tcPr>
          <w:p>
            <w:pPr>
              <w:jc w:val="right"/>
              <w:ind w:right="356"/>
              <w:spacing w:after="0"/>
              <w:rPr>
                <w:sz w:val="20"/>
                <w:szCs w:val="20"/>
                <w:color w:val="auto"/>
              </w:rPr>
            </w:pPr>
            <w:r>
              <w:rPr>
                <w:rFonts w:ascii="Arial" w:cs="Arial" w:eastAsia="Arial" w:hAnsi="Arial"/>
                <w:sz w:val="18"/>
                <w:szCs w:val="18"/>
                <w:color w:val="auto"/>
              </w:rPr>
              <w:t>(444)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6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500"/>
              <w:spacing w:after="0" w:line="172" w:lineRule="exact"/>
              <w:rPr>
                <w:sz w:val="20"/>
                <w:szCs w:val="20"/>
                <w:color w:val="auto"/>
              </w:rPr>
            </w:pPr>
            <w:r>
              <w:rPr>
                <w:rFonts w:ascii="Arial" w:cs="Arial" w:eastAsia="Arial" w:hAnsi="Arial"/>
                <w:sz w:val="18"/>
                <w:szCs w:val="18"/>
                <w:color w:val="auto"/>
              </w:rPr>
              <w:t>Add: Stock-</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20"/>
              <w:spacing w:after="0" w:line="172" w:lineRule="exact"/>
              <w:rPr>
                <w:sz w:val="20"/>
                <w:szCs w:val="20"/>
                <w:color w:val="auto"/>
              </w:rPr>
            </w:pPr>
            <w:r>
              <w:rPr>
                <w:rFonts w:ascii="Arial" w:cs="Arial" w:eastAsia="Arial" w:hAnsi="Arial"/>
                <w:sz w:val="18"/>
                <w:szCs w:val="18"/>
                <w:color w:val="auto"/>
                <w:w w:val="89"/>
              </w:rPr>
              <w:t>based compensation</w:t>
            </w:r>
          </w:p>
        </w:tc>
        <w:tc>
          <w:tcPr>
            <w:tcW w:w="6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2,305</w:t>
            </w:r>
          </w:p>
        </w:tc>
        <w:tc>
          <w:tcPr>
            <w:tcW w:w="1420" w:type="dxa"/>
            <w:vAlign w:val="bottom"/>
            <w:gridSpan w:val="2"/>
            <w:vMerge w:val="restart"/>
          </w:tcPr>
          <w:p>
            <w:pPr>
              <w:jc w:val="right"/>
              <w:ind w:right="336"/>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3,097</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4,921</w:t>
            </w:r>
          </w:p>
        </w:tc>
        <w:tc>
          <w:tcPr>
            <w:tcW w:w="1380" w:type="dxa"/>
            <w:vAlign w:val="bottom"/>
            <w:gridSpan w:val="2"/>
            <w:vMerge w:val="restart"/>
          </w:tcPr>
          <w:p>
            <w:pPr>
              <w:jc w:val="right"/>
              <w:ind w:right="356"/>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expense</w:t>
            </w:r>
          </w:p>
        </w:tc>
        <w:tc>
          <w:tcPr>
            <w:tcW w:w="6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Add:</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5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Intangible</w:t>
            </w:r>
          </w:p>
        </w:tc>
        <w:tc>
          <w:tcPr>
            <w:tcW w:w="6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20" w:type="dxa"/>
            <w:vAlign w:val="bottom"/>
            <w:gridSpan w:val="2"/>
            <w:vMerge w:val="restart"/>
            <w:shd w:val="clear" w:color="auto" w:fill="CCEEFF"/>
          </w:tcPr>
          <w:p>
            <w:pPr>
              <w:jc w:val="right"/>
              <w:ind w:right="336"/>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380" w:type="dxa"/>
            <w:vAlign w:val="bottom"/>
            <w:gridSpan w:val="2"/>
            <w:vMerge w:val="restart"/>
            <w:shd w:val="clear" w:color="auto" w:fill="CCEEFF"/>
          </w:tcPr>
          <w:p>
            <w:pPr>
              <w:jc w:val="right"/>
              <w:ind w:right="356"/>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6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500"/>
              <w:spacing w:after="0" w:line="172" w:lineRule="exact"/>
              <w:rPr>
                <w:sz w:val="20"/>
                <w:szCs w:val="20"/>
                <w:color w:val="auto"/>
              </w:rPr>
            </w:pPr>
            <w:r>
              <w:rPr>
                <w:rFonts w:ascii="Arial" w:cs="Arial" w:eastAsia="Arial" w:hAnsi="Arial"/>
                <w:sz w:val="18"/>
                <w:szCs w:val="18"/>
                <w:color w:val="auto"/>
              </w:rPr>
              <w:t>Add: Tax</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20"/>
              <w:spacing w:after="0" w:line="172" w:lineRule="exact"/>
              <w:rPr>
                <w:sz w:val="20"/>
                <w:szCs w:val="20"/>
                <w:color w:val="auto"/>
              </w:rPr>
            </w:pPr>
            <w:r>
              <w:rPr>
                <w:rFonts w:ascii="Arial" w:cs="Arial" w:eastAsia="Arial" w:hAnsi="Arial"/>
                <w:sz w:val="18"/>
                <w:szCs w:val="18"/>
                <w:color w:val="auto"/>
              </w:rPr>
              <w:t>benefit from</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20"/>
              <w:spacing w:after="0" w:line="172" w:lineRule="exact"/>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4"/>
                <w:szCs w:val="14"/>
                <w:color w:val="auto"/>
              </w:rPr>
            </w:pPr>
          </w:p>
        </w:tc>
        <w:tc>
          <w:tcPr>
            <w:tcW w:w="1340" w:type="dxa"/>
            <w:vAlign w:val="bottom"/>
            <w:vMerge w:val="restart"/>
          </w:tcPr>
          <w:p>
            <w:pPr>
              <w:jc w:val="right"/>
              <w:ind w:right="37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4"/>
                <w:szCs w:val="14"/>
                <w:color w:val="auto"/>
              </w:rPr>
            </w:pPr>
          </w:p>
        </w:tc>
        <w:tc>
          <w:tcPr>
            <w:tcW w:w="1320" w:type="dxa"/>
            <w:vAlign w:val="bottom"/>
            <w:vMerge w:val="restart"/>
          </w:tcPr>
          <w:p>
            <w:pPr>
              <w:jc w:val="right"/>
              <w:ind w:right="39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520" w:type="dxa"/>
            <w:vAlign w:val="bottom"/>
            <w:shd w:val="clear" w:color="auto" w:fill="CCEEFF"/>
          </w:tcPr>
          <w:p>
            <w:pPr>
              <w:ind w:left="500"/>
              <w:spacing w:after="0" w:line="152" w:lineRule="exact"/>
              <w:rPr>
                <w:sz w:val="20"/>
                <w:szCs w:val="20"/>
                <w:color w:val="auto"/>
              </w:rPr>
            </w:pPr>
            <w:r>
              <w:rPr>
                <w:rFonts w:ascii="Arial" w:cs="Arial" w:eastAsia="Arial" w:hAnsi="Arial"/>
                <w:sz w:val="17"/>
                <w:szCs w:val="17"/>
                <w:b w:val="1"/>
                <w:bCs w:val="1"/>
                <w:color w:val="auto"/>
              </w:rPr>
              <w:t>Economic</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20" w:type="dxa"/>
            <w:vAlign w:val="bottom"/>
            <w:gridSpan w:val="2"/>
            <w:vMerge w:val="restart"/>
            <w:shd w:val="clear" w:color="auto" w:fill="CCEEFF"/>
          </w:tcPr>
          <w:p>
            <w:pPr>
              <w:jc w:val="right"/>
              <w:ind w:right="376"/>
              <w:spacing w:after="0"/>
              <w:rPr>
                <w:sz w:val="20"/>
                <w:szCs w:val="20"/>
                <w:color w:val="auto"/>
              </w:rPr>
            </w:pPr>
            <w:r>
              <w:rPr>
                <w:rFonts w:ascii="Arial" w:cs="Arial" w:eastAsia="Arial" w:hAnsi="Arial"/>
                <w:sz w:val="18"/>
                <w:szCs w:val="18"/>
                <w:color w:val="auto"/>
              </w:rPr>
              <w:t>1,154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380" w:type="dxa"/>
            <w:vAlign w:val="bottom"/>
            <w:gridSpan w:val="2"/>
            <w:vMerge w:val="restart"/>
            <w:shd w:val="clear" w:color="auto" w:fill="CCEEFF"/>
          </w:tcPr>
          <w:p>
            <w:pPr>
              <w:jc w:val="right"/>
              <w:ind w:right="396"/>
              <w:spacing w:after="0"/>
              <w:rPr>
                <w:sz w:val="20"/>
                <w:szCs w:val="20"/>
                <w:color w:val="auto"/>
              </w:rPr>
            </w:pPr>
            <w:r>
              <w:rPr>
                <w:rFonts w:ascii="Arial" w:cs="Arial" w:eastAsia="Arial" w:hAnsi="Arial"/>
                <w:sz w:val="18"/>
                <w:szCs w:val="18"/>
                <w:color w:val="auto"/>
              </w:rPr>
              <w:t>106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5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Earnings</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20" w:type="dxa"/>
            <w:vAlign w:val="bottom"/>
            <w:shd w:val="clear" w:color="auto" w:fill="CCEEFF"/>
          </w:tcPr>
          <w:p>
            <w:pPr>
              <w:ind w:left="500"/>
              <w:spacing w:after="0" w:line="172" w:lineRule="exact"/>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weighted average</w:t>
            </w:r>
          </w:p>
        </w:tc>
        <w:tc>
          <w:tcPr>
            <w:tcW w:w="6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7,928,106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7,879,698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7,922,742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8,147,045</w:t>
            </w:r>
          </w:p>
        </w:tc>
        <w:tc>
          <w:tcPr>
            <w:tcW w:w="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shares outstanding</w:t>
            </w:r>
          </w:p>
        </w:tc>
        <w:tc>
          <w:tcPr>
            <w:tcW w:w="6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500"/>
              <w:spacing w:after="0" w:line="172" w:lineRule="exact"/>
              <w:rPr>
                <w:sz w:val="20"/>
                <w:szCs w:val="20"/>
                <w:color w:val="auto"/>
              </w:rPr>
            </w:pPr>
            <w:r>
              <w:rPr>
                <w:rFonts w:ascii="Arial" w:cs="Arial" w:eastAsia="Arial" w:hAnsi="Arial"/>
                <w:sz w:val="18"/>
                <w:szCs w:val="18"/>
                <w:b w:val="1"/>
                <w:bCs w:val="1"/>
                <w:color w:val="auto"/>
              </w:rPr>
              <w:t>Economic</w:t>
            </w: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4"/>
                <w:szCs w:val="14"/>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4"/>
                <w:szCs w:val="14"/>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w w:val="90"/>
              </w:rPr>
              <w:t>Earnings per share</w:t>
            </w:r>
          </w:p>
        </w:tc>
        <w:tc>
          <w:tcPr>
            <w:tcW w:w="6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5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500"/>
              <w:spacing w:after="0" w:line="172" w:lineRule="exact"/>
              <w:rPr>
                <w:sz w:val="20"/>
                <w:szCs w:val="20"/>
                <w:color w:val="auto"/>
              </w:rPr>
            </w:pPr>
            <w:r>
              <w:rPr>
                <w:rFonts w:ascii="Arial" w:cs="Arial" w:eastAsia="Arial" w:hAnsi="Arial"/>
                <w:sz w:val="18"/>
                <w:szCs w:val="18"/>
                <w:b w:val="1"/>
                <w:bCs w:val="1"/>
                <w:color w:val="auto"/>
              </w:rPr>
              <w:t>Economic</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Pr>
          <w:p>
            <w:pPr>
              <w:ind w:left="20"/>
              <w:spacing w:after="0" w:line="172" w:lineRule="exact"/>
              <w:rPr>
                <w:sz w:val="20"/>
                <w:szCs w:val="20"/>
                <w:color w:val="auto"/>
              </w:rPr>
            </w:pPr>
            <w:r>
              <w:rPr>
                <w:rFonts w:ascii="Arial" w:cs="Arial" w:eastAsia="Arial" w:hAnsi="Arial"/>
                <w:sz w:val="18"/>
                <w:szCs w:val="18"/>
                <w:b w:val="1"/>
                <w:bCs w:val="1"/>
                <w:color w:val="auto"/>
              </w:rPr>
              <w:t>Earnings by</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Advisory</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2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380" w:type="dxa"/>
            <w:vAlign w:val="bottom"/>
            <w:gridSpan w:val="2"/>
            <w:shd w:val="clear" w:color="auto" w:fill="CCEEFF"/>
          </w:tcPr>
          <w:p>
            <w:pPr>
              <w:jc w:val="right"/>
              <w:ind w:right="396"/>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520" w:type="dxa"/>
            <w:vAlign w:val="bottom"/>
          </w:tcPr>
          <w:p>
            <w:pPr>
              <w:ind w:left="500"/>
              <w:spacing w:after="0"/>
              <w:rPr>
                <w:sz w:val="20"/>
                <w:szCs w:val="20"/>
                <w:color w:val="auto"/>
              </w:rPr>
            </w:pPr>
            <w:r>
              <w:rPr>
                <w:rFonts w:ascii="Arial" w:cs="Arial" w:eastAsia="Arial" w:hAnsi="Arial"/>
                <w:sz w:val="18"/>
                <w:szCs w:val="18"/>
                <w:color w:val="auto"/>
              </w:rPr>
              <w:t>Trust</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w:t>
            </w:r>
          </w:p>
        </w:tc>
        <w:tc>
          <w:tcPr>
            <w:tcW w:w="1420" w:type="dxa"/>
            <w:vAlign w:val="bottom"/>
            <w:gridSpan w:val="2"/>
          </w:tcPr>
          <w:p>
            <w:pPr>
              <w:jc w:val="right"/>
              <w:ind w:right="37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2,325</w:t>
            </w:r>
          </w:p>
        </w:tc>
        <w:tc>
          <w:tcPr>
            <w:tcW w:w="1380" w:type="dxa"/>
            <w:vAlign w:val="bottom"/>
            <w:gridSpan w:val="2"/>
          </w:tcPr>
          <w:p>
            <w:pPr>
              <w:jc w:val="right"/>
              <w:ind w:right="396"/>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CCEEFF"/>
          </w:tcPr>
          <w:p>
            <w:pPr>
              <w:ind w:left="500"/>
              <w:spacing w:after="0" w:line="173" w:lineRule="exact"/>
              <w:rPr>
                <w:sz w:val="20"/>
                <w:szCs w:val="20"/>
                <w:color w:val="auto"/>
              </w:rPr>
            </w:pPr>
            <w:r>
              <w:rPr>
                <w:rFonts w:ascii="Arial" w:cs="Arial" w:eastAsia="Arial" w:hAnsi="Arial"/>
                <w:sz w:val="18"/>
                <w:szCs w:val="18"/>
                <w:color w:val="auto"/>
              </w:rPr>
              <w:t>Westwood</w:t>
            </w:r>
          </w:p>
        </w:tc>
        <w:tc>
          <w:tcPr>
            <w:tcW w:w="6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20" w:type="dxa"/>
            <w:vAlign w:val="bottom"/>
            <w:gridSpan w:val="2"/>
            <w:vMerge w:val="restart"/>
            <w:shd w:val="clear" w:color="auto" w:fill="CCEEFF"/>
          </w:tcPr>
          <w:p>
            <w:pPr>
              <w:jc w:val="right"/>
              <w:ind w:right="376"/>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380" w:type="dxa"/>
            <w:vAlign w:val="bottom"/>
            <w:gridSpan w:val="2"/>
            <w:vMerge w:val="restart"/>
            <w:shd w:val="clear" w:color="auto" w:fill="CCEEFF"/>
          </w:tcPr>
          <w:p>
            <w:pPr>
              <w:jc w:val="right"/>
              <w:ind w:right="396"/>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Holdings</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520" w:type="dxa"/>
            <w:vAlign w:val="bottom"/>
          </w:tcPr>
          <w:p>
            <w:pPr>
              <w:ind w:left="500"/>
              <w:spacing w:after="0"/>
              <w:rPr>
                <w:sz w:val="20"/>
                <w:szCs w:val="20"/>
                <w:color w:val="auto"/>
              </w:rPr>
            </w:pPr>
            <w:r>
              <w:rPr>
                <w:rFonts w:ascii="Arial" w:cs="Arial" w:eastAsia="Arial" w:hAnsi="Arial"/>
                <w:sz w:val="18"/>
                <w:szCs w:val="18"/>
                <w:b w:val="1"/>
                <w:bCs w:val="1"/>
                <w:color w:val="auto"/>
                <w:w w:val="87"/>
              </w:rPr>
              <w:t>Consolidated</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20" w:type="dxa"/>
            <w:vAlign w:val="bottom"/>
            <w:gridSpan w:val="2"/>
          </w:tcPr>
          <w:p>
            <w:pPr>
              <w:jc w:val="right"/>
              <w:ind w:right="376"/>
              <w:spacing w:after="0"/>
              <w:rPr>
                <w:sz w:val="20"/>
                <w:szCs w:val="20"/>
                <w:color w:val="auto"/>
              </w:rPr>
            </w:pPr>
            <w:r>
              <w:rPr>
                <w:rFonts w:ascii="Arial" w:cs="Arial" w:eastAsia="Arial" w:hAnsi="Arial"/>
                <w:sz w:val="18"/>
                <w:szCs w:val="18"/>
                <w:color w:val="auto"/>
              </w:rPr>
              <w:t>1,154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1380" w:type="dxa"/>
            <w:vAlign w:val="bottom"/>
            <w:gridSpan w:val="2"/>
          </w:tcPr>
          <w:p>
            <w:pPr>
              <w:jc w:val="right"/>
              <w:ind w:right="396"/>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9" w:lineRule="exact"/>
        <w:rPr>
          <w:sz w:val="20"/>
          <w:szCs w:val="20"/>
          <w:color w:val="auto"/>
        </w:rPr>
      </w:pPr>
    </w:p>
    <w:p>
      <w:pPr>
        <w:ind w:right="200" w:firstLine="475"/>
        <w:spacing w:after="0" w:line="266" w:lineRule="auto"/>
        <w:rPr>
          <w:sz w:val="20"/>
          <w:szCs w:val="20"/>
          <w:color w:val="auto"/>
        </w:rPr>
      </w:pPr>
      <w:r>
        <w:rPr>
          <w:rFonts w:ascii="Arial" w:cs="Arial" w:eastAsia="Arial" w:hAnsi="Arial"/>
          <w:sz w:val="17"/>
          <w:szCs w:val="17"/>
          <w:color w:val="auto"/>
        </w:rPr>
        <w:t>We fund our operations and cash requirements with cash generated from operating activities. We may also use cash from operations to pay dividends to our stockholders. We reinstated our dividend in 2021, following a suspension in the second quarter of 2020 as we preserved capital and provided additional financial flexibility amid the uncertainties created by COVID-19. As of June 30, 2021 and December 31, 2020,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3" w:lineRule="exact"/>
        <w:rPr>
          <w:sz w:val="20"/>
          <w:szCs w:val="20"/>
          <w:color w:val="auto"/>
        </w:rPr>
      </w:pPr>
    </w:p>
    <w:p>
      <w:pPr>
        <w:ind w:right="240" w:firstLine="475"/>
        <w:spacing w:after="0" w:line="267" w:lineRule="auto"/>
        <w:rPr>
          <w:sz w:val="20"/>
          <w:szCs w:val="20"/>
          <w:color w:val="auto"/>
        </w:rPr>
      </w:pPr>
      <w:r>
        <w:rPr>
          <w:rFonts w:ascii="Arial" w:cs="Arial" w:eastAsia="Arial" w:hAnsi="Arial"/>
          <w:sz w:val="17"/>
          <w:szCs w:val="17"/>
          <w:color w:val="auto"/>
        </w:rPr>
        <w:t>During the six months ended June 30, 2021, cash flow used in operating activities was $1.2 million, which included net purchases of $5.6 million of current investments, a reduction in compensation and benefits payable of $2.9 million, a $0.4 million change in accounts receivable and adjustments to net income, partially offset by income taxes payable, accounts payable and accrued liabilities. During the six months ended June 30, 2020, cash flow provided by operating activities was $21.8 million, which included liquidation of $20.0 million of current investments and accounts receivable collections of $2.4 million, partially offset by an $5.8 million decrease in compensation and benefits payable.</w:t>
      </w:r>
    </w:p>
    <w:p>
      <w:pPr>
        <w:spacing w:after="0" w:line="75" w:lineRule="exact"/>
        <w:rPr>
          <w:sz w:val="20"/>
          <w:szCs w:val="20"/>
          <w:color w:val="auto"/>
        </w:rPr>
      </w:pPr>
    </w:p>
    <w:p>
      <w:pPr>
        <w:ind w:right="260" w:firstLine="475"/>
        <w:spacing w:after="0" w:line="263" w:lineRule="auto"/>
        <w:rPr>
          <w:sz w:val="20"/>
          <w:szCs w:val="20"/>
          <w:color w:val="auto"/>
        </w:rPr>
      </w:pPr>
      <w:r>
        <w:rPr>
          <w:rFonts w:ascii="Arial" w:cs="Arial" w:eastAsia="Arial" w:hAnsi="Arial"/>
          <w:sz w:val="18"/>
          <w:szCs w:val="18"/>
          <w:color w:val="auto"/>
        </w:rPr>
        <w:t>Cash flow provided by investing activities during the six months ended June 30, 2021 was related to realized gains on private investments and the sale of property and equipment following the sublease of a portion of our Dallas, Texas corporate</w:t>
      </w:r>
    </w:p>
    <w:p>
      <w:pPr>
        <w:sectPr>
          <w:pgSz w:w="11900" w:h="16838" w:orient="portrait"/>
          <w:cols w:equalWidth="0" w:num="1">
            <w:col w:w="11340"/>
          </w:cols>
          <w:pgMar w:left="320" w:top="11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3"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color w:val="auto"/>
        </w:rPr>
        <w:t>office space. Cash flow used in investing activities during the six months ended June 30, 2020 was related to purchases of property and equipment.</w:t>
      </w:r>
    </w:p>
    <w:p>
      <w:pPr>
        <w:spacing w:after="0" w:line="121" w:lineRule="exact"/>
        <w:rPr>
          <w:sz w:val="20"/>
          <w:szCs w:val="20"/>
          <w:color w:val="auto"/>
        </w:rPr>
      </w:pPr>
    </w:p>
    <w:p>
      <w:pPr>
        <w:ind w:right="20" w:firstLine="475"/>
        <w:spacing w:after="0" w:line="251" w:lineRule="auto"/>
        <w:rPr>
          <w:sz w:val="20"/>
          <w:szCs w:val="20"/>
          <w:color w:val="auto"/>
        </w:rPr>
      </w:pPr>
      <w:r>
        <w:rPr>
          <w:rFonts w:ascii="Arial" w:cs="Arial" w:eastAsia="Arial" w:hAnsi="Arial"/>
          <w:sz w:val="18"/>
          <w:szCs w:val="18"/>
          <w:color w:val="auto"/>
        </w:rPr>
        <w:t>Cash flows used in financing activities of $4.2 million for the six months ended June 30, 2021 reflected treasury stock repurchases, the payment of dividends and restricted stock returned for the payment of taxes. Cash flow used in financing activities of $25.8 million for the six months ended June 30, 2020 reflected treasury stock repurchases, the payment of dividends, restricted stock returned for payment of taxes and purchases of treasury stock under employee stock plans.</w:t>
      </w:r>
    </w:p>
    <w:p>
      <w:pPr>
        <w:spacing w:after="0" w:line="85" w:lineRule="exact"/>
        <w:rPr>
          <w:sz w:val="20"/>
          <w:szCs w:val="20"/>
          <w:color w:val="auto"/>
        </w:rPr>
      </w:pPr>
    </w:p>
    <w:p>
      <w:pPr>
        <w:ind w:right="640" w:firstLine="475"/>
        <w:spacing w:after="0" w:line="263" w:lineRule="auto"/>
        <w:rPr>
          <w:sz w:val="20"/>
          <w:szCs w:val="20"/>
          <w:color w:val="auto"/>
        </w:rPr>
      </w:pPr>
      <w:r>
        <w:rPr>
          <w:rFonts w:ascii="Arial" w:cs="Arial" w:eastAsia="Arial" w:hAnsi="Arial"/>
          <w:sz w:val="18"/>
          <w:szCs w:val="18"/>
          <w:color w:val="auto"/>
        </w:rPr>
        <w:t>We had cash and short-term investments of $92.3 million as of June 30, 2021 and $82.6 million as of December 31, 2020. At June 30, 2021 and December 31, 2020, working capital aggregated $92.8 million and $84.5 million, respectively.</w:t>
      </w:r>
    </w:p>
    <w:p>
      <w:pPr>
        <w:spacing w:after="0" w:line="75" w:lineRule="exact"/>
        <w:rPr>
          <w:sz w:val="20"/>
          <w:szCs w:val="20"/>
          <w:color w:val="auto"/>
        </w:rPr>
      </w:pPr>
    </w:p>
    <w:p>
      <w:pPr>
        <w:ind w:right="60" w:firstLine="475"/>
        <w:spacing w:after="0" w:line="254" w:lineRule="auto"/>
        <w:rPr>
          <w:sz w:val="20"/>
          <w:szCs w:val="20"/>
          <w:color w:val="auto"/>
        </w:rPr>
      </w:pPr>
      <w:r>
        <w:rPr>
          <w:rFonts w:ascii="Arial" w:cs="Arial" w:eastAsia="Arial" w:hAnsi="Arial"/>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June 30, 2021, Westwood Trust had approximately $17.6 million in excess of its minimum capital requirement.</w:t>
      </w:r>
    </w:p>
    <w:p>
      <w:pPr>
        <w:spacing w:after="0" w:line="82" w:lineRule="exact"/>
        <w:rPr>
          <w:sz w:val="20"/>
          <w:szCs w:val="20"/>
          <w:color w:val="auto"/>
        </w:rPr>
      </w:pPr>
    </w:p>
    <w:p>
      <w:pPr>
        <w:ind w:right="260" w:firstLine="475"/>
        <w:spacing w:after="0" w:line="307" w:lineRule="auto"/>
        <w:rPr>
          <w:sz w:val="20"/>
          <w:szCs w:val="20"/>
          <w:color w:val="auto"/>
        </w:rPr>
      </w:pPr>
      <w:r>
        <w:rPr>
          <w:rFonts w:ascii="Arial" w:cs="Arial" w:eastAsia="Arial" w:hAnsi="Arial"/>
          <w:sz w:val="15"/>
          <w:szCs w:val="15"/>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2020,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49" w:lineRule="exact"/>
        <w:rPr>
          <w:sz w:val="20"/>
          <w:szCs w:val="20"/>
          <w:color w:val="auto"/>
        </w:rPr>
      </w:pPr>
    </w:p>
    <w:p>
      <w:pPr>
        <w:ind w:firstLine="475"/>
        <w:spacing w:after="0" w:line="249" w:lineRule="auto"/>
        <w:rPr>
          <w:sz w:val="20"/>
          <w:szCs w:val="20"/>
          <w:color w:val="auto"/>
        </w:rPr>
      </w:pPr>
      <w:r>
        <w:rPr>
          <w:rFonts w:ascii="Arial" w:cs="Arial" w:eastAsia="Arial" w:hAnsi="Arial"/>
          <w:sz w:val="18"/>
          <w:szCs w:val="18"/>
          <w:color w:val="auto"/>
        </w:rPr>
        <w:t>The United States Department of Labor released its regulatory agenda in the Spring of 2021, which confirmed that a fiduciary rule rewrite is in progress. This rewrite is expected to address the definition of fiduciary. At this time, we cannot predict the content or form of any such rule or its impact on our business, results of operations and financial condition. Our business is highly regulated, and changes in regulation and in supervisory and enforcement policies may materially impact our capitalization or cash flows, reduce our profitability and limit our growth. We will continue to monitor the potential impact of this development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69" w:lineRule="exact"/>
        <w:rPr>
          <w:sz w:val="20"/>
          <w:szCs w:val="20"/>
          <w:color w:val="auto"/>
        </w:rPr>
      </w:pPr>
    </w:p>
    <w:p>
      <w:pPr>
        <w:jc w:val="both"/>
        <w:ind w:right="180" w:firstLine="475"/>
        <w:spacing w:after="0" w:line="328" w:lineRule="auto"/>
        <w:rPr>
          <w:sz w:val="20"/>
          <w:szCs w:val="20"/>
          <w:color w:val="auto"/>
        </w:rPr>
      </w:pPr>
      <w:r>
        <w:rPr>
          <w:rFonts w:ascii="Arial" w:cs="Arial" w:eastAsia="Arial" w:hAnsi="Arial"/>
          <w:sz w:val="15"/>
          <w:szCs w:val="15"/>
          <w:color w:val="auto"/>
        </w:rPr>
        <w:t>As of June 30, 2021, there have been no material changes outside of the ordinary course of business to our contractual obligations since December 31, 2020. For information regarding our contractual obligations, refer to “Contractual Obligations” in Part II, Item 7. “Management's Discussion and Analysis of Financial Condition and Results of Operations” in our Annual Report on Form 10-K for the fiscal year ended December 31,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16" w:lineRule="exact"/>
        <w:rPr>
          <w:sz w:val="20"/>
          <w:szCs w:val="20"/>
          <w:color w:val="auto"/>
        </w:rPr>
      </w:pPr>
    </w:p>
    <w:p>
      <w:pPr>
        <w:ind w:right="120" w:firstLine="475"/>
        <w:spacing w:after="0" w:line="317" w:lineRule="auto"/>
        <w:rPr>
          <w:sz w:val="20"/>
          <w:szCs w:val="20"/>
          <w:color w:val="auto"/>
        </w:rPr>
      </w:pPr>
      <w:r>
        <w:rPr>
          <w:rFonts w:ascii="Arial" w:cs="Arial" w:eastAsia="Arial" w:hAnsi="Arial"/>
          <w:sz w:val="15"/>
          <w:szCs w:val="15"/>
          <w:color w:val="auto"/>
        </w:rPr>
        <w:t>There have been no significant changes in our critical or significant accounting policies and estimates since December 31, 2020.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6" w:lineRule="exact"/>
        <w:rPr>
          <w:sz w:val="20"/>
          <w:szCs w:val="20"/>
          <w:color w:val="auto"/>
        </w:rPr>
      </w:pPr>
    </w:p>
    <w:p>
      <w:pPr>
        <w:ind w:right="20" w:firstLine="475"/>
        <w:spacing w:after="0" w:line="263"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2020.</w:t>
      </w:r>
    </w:p>
    <w:p>
      <w:pPr>
        <w:spacing w:after="0" w:line="2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6" w:lineRule="exact"/>
        <w:rPr>
          <w:sz w:val="20"/>
          <w:szCs w:val="20"/>
          <w:color w:val="auto"/>
        </w:rPr>
      </w:pPr>
    </w:p>
    <w:p>
      <w:pPr>
        <w:ind w:firstLine="475"/>
        <w:spacing w:after="0" w:line="301" w:lineRule="auto"/>
        <w:rPr>
          <w:sz w:val="20"/>
          <w:szCs w:val="20"/>
          <w:color w:val="auto"/>
        </w:rPr>
      </w:pPr>
      <w:r>
        <w:rPr>
          <w:rFonts w:ascii="Arial" w:cs="Arial" w:eastAsia="Arial" w:hAnsi="Arial"/>
          <w:sz w:val="15"/>
          <w:szCs w:val="15"/>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6" w:lineRule="exact"/>
        <w:rPr>
          <w:sz w:val="20"/>
          <w:szCs w:val="20"/>
          <w:color w:val="auto"/>
        </w:rPr>
      </w:pPr>
    </w:p>
    <w:p>
      <w:pPr>
        <w:ind w:right="100" w:firstLine="475"/>
        <w:spacing w:after="0" w:line="251" w:lineRule="auto"/>
        <w:rPr>
          <w:sz w:val="20"/>
          <w:szCs w:val="20"/>
          <w:color w:val="auto"/>
        </w:rPr>
      </w:pPr>
      <w:r>
        <w:rPr>
          <w:rFonts w:ascii="Arial" w:cs="Arial" w:eastAsia="Arial" w:hAnsi="Arial"/>
          <w:sz w:val="18"/>
          <w:szCs w:val="18"/>
          <w:color w:val="auto"/>
        </w:rPr>
        <w:t>During the quarter ended June 30, 2021,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workforce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83"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6" w:lineRule="exact"/>
        <w:rPr>
          <w:sz w:val="20"/>
          <w:szCs w:val="20"/>
          <w:color w:val="auto"/>
        </w:rPr>
      </w:pPr>
    </w:p>
    <w:p>
      <w:pPr>
        <w:ind w:right="200" w:firstLine="475"/>
        <w:spacing w:after="0" w:line="251"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2020 and the risks set forth below.</w:t>
      </w:r>
    </w:p>
    <w:p>
      <w:pPr>
        <w:spacing w:after="0" w:line="85" w:lineRule="exact"/>
        <w:rPr>
          <w:sz w:val="20"/>
          <w:szCs w:val="20"/>
          <w:color w:val="auto"/>
        </w:rPr>
      </w:pPr>
    </w:p>
    <w:p>
      <w:pPr>
        <w:ind w:firstLine="475"/>
        <w:spacing w:after="0" w:line="249" w:lineRule="auto"/>
        <w:rPr>
          <w:sz w:val="20"/>
          <w:szCs w:val="20"/>
          <w:color w:val="auto"/>
        </w:rPr>
      </w:pPr>
      <w:r>
        <w:rPr>
          <w:rFonts w:ascii="Arial" w:cs="Arial" w:eastAsia="Arial" w:hAnsi="Arial"/>
          <w:sz w:val="18"/>
          <w:szCs w:val="18"/>
          <w:color w:val="auto"/>
        </w:rPr>
        <w:t>Except as discussed below, 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Risks Related to Ownership of Stock and Corporate Governance</w:t>
      </w:r>
    </w:p>
    <w:p>
      <w:pPr>
        <w:spacing w:after="0" w:line="110" w:lineRule="exact"/>
        <w:rPr>
          <w:sz w:val="20"/>
          <w:szCs w:val="20"/>
          <w:color w:val="auto"/>
        </w:rPr>
      </w:pPr>
    </w:p>
    <w:p>
      <w:pPr>
        <w:ind w:right="340" w:firstLine="475"/>
        <w:spacing w:after="0" w:line="270" w:lineRule="auto"/>
        <w:rPr>
          <w:sz w:val="20"/>
          <w:szCs w:val="20"/>
          <w:color w:val="auto"/>
        </w:rPr>
      </w:pPr>
      <w:r>
        <w:rPr>
          <w:rFonts w:ascii="Arial" w:cs="Arial" w:eastAsia="Arial" w:hAnsi="Arial"/>
          <w:sz w:val="18"/>
          <w:szCs w:val="18"/>
          <w:b w:val="1"/>
          <w:bCs w:val="1"/>
          <w:color w:val="auto"/>
        </w:rPr>
        <w:t>Our stockholder rights agreement (“</w:t>
      </w:r>
      <w:r>
        <w:rPr>
          <w:rFonts w:ascii="Arial" w:cs="Arial" w:eastAsia="Arial" w:hAnsi="Arial"/>
          <w:sz w:val="18"/>
          <w:szCs w:val="18"/>
          <w:b w:val="1"/>
          <w:bCs w:val="1"/>
          <w:u w:val="single" w:color="auto"/>
          <w:color w:val="auto"/>
        </w:rPr>
        <w:t>Rights Agreement</w:t>
      </w:r>
      <w:r>
        <w:rPr>
          <w:rFonts w:ascii="Arial" w:cs="Arial" w:eastAsia="Arial" w:hAnsi="Arial"/>
          <w:sz w:val="18"/>
          <w:szCs w:val="18"/>
          <w:b w:val="1"/>
          <w:bCs w:val="1"/>
          <w:color w:val="auto"/>
        </w:rPr>
        <w:t>”) may make it more difficult for others to obtain control over us, even if it would be beneficial to our stockholders.</w:t>
      </w:r>
    </w:p>
    <w:p>
      <w:pPr>
        <w:spacing w:after="0" w:line="68" w:lineRule="exact"/>
        <w:rPr>
          <w:sz w:val="20"/>
          <w:szCs w:val="20"/>
          <w:color w:val="auto"/>
        </w:rPr>
      </w:pPr>
    </w:p>
    <w:p>
      <w:pPr>
        <w:ind w:right="220" w:firstLine="475"/>
        <w:spacing w:after="0" w:line="311" w:lineRule="auto"/>
        <w:rPr>
          <w:sz w:val="20"/>
          <w:szCs w:val="20"/>
          <w:color w:val="auto"/>
        </w:rPr>
      </w:pPr>
      <w:r>
        <w:rPr>
          <w:rFonts w:ascii="Arial" w:cs="Arial" w:eastAsia="Arial" w:hAnsi="Arial"/>
          <w:sz w:val="15"/>
          <w:szCs w:val="15"/>
          <w:color w:val="auto"/>
        </w:rPr>
        <w:t>In May of 2021, our Board of Directors adopted a stockholder rights agreement. Pursuant to its terms, we have distributed a dividend of one right for each outstanding share of common stock of the Company to stockholders of record at the close of business on May 12, 2021. These rights would cause substantial dilution to the ownership of any person or group that attempts to acquire us on terms not approved by our Board of Directors and may have the effect of deterring hostile takeover attempts. These provisions could discourage a future takeover attempt which individual stockholders might deem to be in their best interests or in which stockholders could receive a premium for their shares over current prices.</w:t>
      </w:r>
    </w:p>
    <w:p>
      <w:pPr>
        <w:spacing w:after="0" w:line="44" w:lineRule="exact"/>
        <w:rPr>
          <w:sz w:val="20"/>
          <w:szCs w:val="20"/>
          <w:color w:val="auto"/>
        </w:rPr>
      </w:pPr>
    </w:p>
    <w:p>
      <w:pPr>
        <w:ind w:right="20" w:firstLine="475"/>
        <w:spacing w:after="0" w:line="317" w:lineRule="auto"/>
        <w:rPr>
          <w:sz w:val="20"/>
          <w:szCs w:val="20"/>
          <w:color w:val="auto"/>
        </w:rPr>
      </w:pPr>
      <w:r>
        <w:rPr>
          <w:rFonts w:ascii="Arial" w:cs="Arial" w:eastAsia="Arial" w:hAnsi="Arial"/>
          <w:sz w:val="15"/>
          <w:szCs w:val="15"/>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33" w:lineRule="exact"/>
        <w:rPr>
          <w:sz w:val="20"/>
          <w:szCs w:val="20"/>
          <w:color w:val="auto"/>
        </w:rPr>
      </w:pPr>
    </w:p>
    <w:p>
      <w:pPr>
        <w:ind w:right="160" w:firstLine="475"/>
        <w:spacing w:after="0" w:line="270" w:lineRule="auto"/>
        <w:rPr>
          <w:sz w:val="20"/>
          <w:szCs w:val="20"/>
          <w:color w:val="auto"/>
        </w:rPr>
      </w:pPr>
      <w:r>
        <w:rPr>
          <w:rFonts w:ascii="Arial" w:cs="Arial" w:eastAsia="Arial" w:hAnsi="Arial"/>
          <w:sz w:val="18"/>
          <w:szCs w:val="18"/>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68" w:lineRule="exact"/>
        <w:rPr>
          <w:sz w:val="20"/>
          <w:szCs w:val="20"/>
          <w:color w:val="auto"/>
        </w:rPr>
      </w:pPr>
    </w:p>
    <w:p>
      <w:pPr>
        <w:ind w:firstLine="475"/>
        <w:spacing w:after="0" w:line="264" w:lineRule="auto"/>
        <w:rPr>
          <w:sz w:val="20"/>
          <w:szCs w:val="20"/>
          <w:color w:val="auto"/>
        </w:rPr>
      </w:pPr>
      <w:r>
        <w:rPr>
          <w:rFonts w:ascii="Arial" w:cs="Arial" w:eastAsia="Arial" w:hAnsi="Arial"/>
          <w:sz w:val="17"/>
          <w:szCs w:val="17"/>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70" w:lineRule="exact"/>
        <w:rPr>
          <w:sz w:val="20"/>
          <w:szCs w:val="20"/>
          <w:color w:val="auto"/>
        </w:rPr>
      </w:pPr>
    </w:p>
    <w:p>
      <w:pPr>
        <w:ind w:right="80" w:firstLine="475"/>
        <w:spacing w:after="0" w:line="270" w:lineRule="auto"/>
        <w:rPr>
          <w:sz w:val="20"/>
          <w:szCs w:val="20"/>
          <w:color w:val="auto"/>
        </w:rPr>
      </w:pPr>
      <w:r>
        <w:rPr>
          <w:rFonts w:ascii="Arial" w:cs="Arial" w:eastAsia="Arial" w:hAnsi="Arial"/>
          <w:sz w:val="18"/>
          <w:szCs w:val="18"/>
          <w:b w:val="1"/>
          <w:bCs w:val="1"/>
          <w:color w:val="auto"/>
        </w:rPr>
        <w:t>In addition to our Rights Agreement, our organizational documents contain provisions that may prevent or deter another group from paying a premium over the market price to our stockholders to acquire our stock.</w:t>
      </w:r>
    </w:p>
    <w:p>
      <w:pPr>
        <w:spacing w:after="0" w:line="6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organizational documents currently contain provisions that establish that stockholders cannot act by written consent, and that authorize our Board of Directors to issue, without shareholder approval, blank check preferred stock. In addition, as a Delaware corporation, we are subject to Section 203 of the Delaware General Corporation Law relating to business combinations. These provisions could delay, deter or prevent a merger, consolidation, tender offer or other business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29" w:name="page30"/>
    <w:bookmarkEnd w:id="29"/>
    <w:p>
      <w:pPr>
        <w:ind w:right="620"/>
        <w:spacing w:after="0" w:line="263" w:lineRule="auto"/>
        <w:rPr>
          <w:sz w:val="20"/>
          <w:szCs w:val="20"/>
          <w:color w:val="auto"/>
        </w:rPr>
      </w:pPr>
      <w:r>
        <w:rPr>
          <w:rFonts w:ascii="Arial" w:cs="Arial" w:eastAsia="Arial" w:hAnsi="Arial"/>
          <w:sz w:val="18"/>
          <w:szCs w:val="18"/>
          <w:color w:val="auto"/>
        </w:rPr>
        <w:t>combination or change of control involving us that could include a premium over the market price of our common stock that some or a majority of our stockholders might consider to be in their best interests.</w:t>
      </w: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6" w:lineRule="exact"/>
        <w:rPr>
          <w:sz w:val="20"/>
          <w:szCs w:val="20"/>
          <w:color w:val="auto"/>
        </w:rPr>
      </w:pPr>
    </w:p>
    <w:p>
      <w:pPr>
        <w:ind w:right="120" w:firstLine="475"/>
        <w:spacing w:after="0" w:line="251" w:lineRule="auto"/>
        <w:rPr>
          <w:sz w:val="20"/>
          <w:szCs w:val="20"/>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Westwood's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8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June 30,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4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540"/>
              <w:spacing w:after="0"/>
              <w:rPr>
                <w:sz w:val="20"/>
                <w:szCs w:val="20"/>
                <w:color w:val="auto"/>
              </w:rPr>
            </w:pPr>
            <w:r>
              <w:rPr>
                <w:rFonts w:ascii="Arial" w:cs="Arial" w:eastAsia="Arial" w:hAnsi="Arial"/>
                <w:sz w:val="16"/>
                <w:szCs w:val="16"/>
                <w:b w:val="1"/>
                <w:bCs w:val="1"/>
                <w:color w:val="auto"/>
              </w:rPr>
              <w:t>Total number</w:t>
            </w:r>
          </w:p>
        </w:tc>
        <w:tc>
          <w:tcPr>
            <w:tcW w:w="580" w:type="dxa"/>
            <w:vAlign w:val="bottom"/>
          </w:tcPr>
          <w:p>
            <w:pPr>
              <w:spacing w:after="0"/>
              <w:rPr>
                <w:sz w:val="16"/>
                <w:szCs w:val="16"/>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740" w:type="dxa"/>
            <w:vAlign w:val="bottom"/>
            <w:gridSpan w:val="3"/>
            <w:vMerge w:val="restart"/>
          </w:tcPr>
          <w:p>
            <w:pPr>
              <w:ind w:left="780"/>
              <w:spacing w:after="0"/>
              <w:rPr>
                <w:sz w:val="20"/>
                <w:szCs w:val="20"/>
                <w:color w:val="auto"/>
              </w:rPr>
            </w:pPr>
            <w:r>
              <w:rPr>
                <w:rFonts w:ascii="Arial" w:cs="Arial" w:eastAsia="Arial" w:hAnsi="Arial"/>
                <w:sz w:val="16"/>
                <w:szCs w:val="16"/>
                <w:b w:val="1"/>
                <w:bCs w:val="1"/>
                <w:color w:val="auto"/>
              </w:rPr>
              <w:t>Average</w:t>
            </w: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5"/>
              </w:rPr>
              <w:t>of shares purchased</w:t>
            </w:r>
          </w:p>
        </w:tc>
        <w:tc>
          <w:tcPr>
            <w:tcW w:w="26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approximate dollar value)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number of</w:t>
            </w:r>
          </w:p>
        </w:tc>
        <w:tc>
          <w:tcPr>
            <w:tcW w:w="1740" w:type="dxa"/>
            <w:vAlign w:val="bottom"/>
            <w:gridSpan w:val="3"/>
            <w:vMerge w:val="continue"/>
          </w:tcPr>
          <w:p>
            <w:pPr>
              <w:spacing w:after="0"/>
              <w:rPr>
                <w:sz w:val="13"/>
                <w:szCs w:val="13"/>
                <w:color w:val="auto"/>
              </w:rPr>
            </w:pPr>
          </w:p>
        </w:tc>
        <w:tc>
          <w:tcPr>
            <w:tcW w:w="16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as part of publicly</w:t>
            </w:r>
          </w:p>
        </w:tc>
        <w:tc>
          <w:tcPr>
            <w:tcW w:w="26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87"/>
              </w:rPr>
              <w:t>of shares that may yet be</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2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1"/>
              </w:rPr>
              <w:t>shares</w:t>
            </w:r>
          </w:p>
        </w:tc>
        <w:tc>
          <w:tcPr>
            <w:tcW w:w="1160" w:type="dxa"/>
            <w:vAlign w:val="bottom"/>
          </w:tcPr>
          <w:p>
            <w:pPr>
              <w:ind w:left="480"/>
              <w:spacing w:after="0" w:line="158" w:lineRule="exact"/>
              <w:rPr>
                <w:sz w:val="20"/>
                <w:szCs w:val="20"/>
                <w:color w:val="auto"/>
              </w:rPr>
            </w:pPr>
            <w:r>
              <w:rPr>
                <w:rFonts w:ascii="Arial" w:cs="Arial" w:eastAsia="Arial" w:hAnsi="Arial"/>
                <w:sz w:val="16"/>
                <w:szCs w:val="16"/>
                <w:b w:val="1"/>
                <w:bCs w:val="1"/>
                <w:color w:val="auto"/>
                <w:w w:val="87"/>
              </w:rPr>
              <w:t>price paid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6"/>
              </w:rPr>
              <w:t>announced plans or</w:t>
            </w:r>
          </w:p>
        </w:tc>
        <w:tc>
          <w:tcPr>
            <w:tcW w:w="580" w:type="dxa"/>
            <w:vAlign w:val="bottom"/>
          </w:tcPr>
          <w:p>
            <w:pPr>
              <w:spacing w:after="0"/>
              <w:rPr>
                <w:sz w:val="13"/>
                <w:szCs w:val="13"/>
                <w:color w:val="auto"/>
              </w:rPr>
            </w:pPr>
          </w:p>
        </w:tc>
        <w:tc>
          <w:tcPr>
            <w:tcW w:w="2060" w:type="dxa"/>
            <w:vAlign w:val="bottom"/>
          </w:tcPr>
          <w:p>
            <w:pPr>
              <w:jc w:val="center"/>
              <w:ind w:right="499"/>
              <w:spacing w:after="0" w:line="158" w:lineRule="exact"/>
              <w:rPr>
                <w:sz w:val="20"/>
                <w:szCs w:val="20"/>
                <w:color w:val="auto"/>
              </w:rPr>
            </w:pPr>
            <w:r>
              <w:rPr>
                <w:rFonts w:ascii="Arial" w:cs="Arial" w:eastAsia="Arial" w:hAnsi="Arial"/>
                <w:sz w:val="16"/>
                <w:szCs w:val="16"/>
                <w:b w:val="1"/>
                <w:bCs w:val="1"/>
                <w:color w:val="auto"/>
                <w:w w:val="88"/>
              </w:rPr>
              <w:t>purchased under the</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w:t>
            </w:r>
          </w:p>
        </w:tc>
        <w:tc>
          <w:tcPr>
            <w:tcW w:w="1160" w:type="dxa"/>
            <w:vAlign w:val="bottom"/>
          </w:tcPr>
          <w:p>
            <w:pPr>
              <w:ind w:left="500"/>
              <w:spacing w:after="0"/>
              <w:rPr>
                <w:sz w:val="20"/>
                <w:szCs w:val="20"/>
                <w:color w:val="auto"/>
              </w:rPr>
            </w:pPr>
            <w:r>
              <w:rPr>
                <w:rFonts w:ascii="Arial" w:cs="Arial" w:eastAsia="Arial" w:hAnsi="Arial"/>
                <w:sz w:val="16"/>
                <w:szCs w:val="16"/>
                <w:b w:val="1"/>
                <w:bCs w:val="1"/>
                <w:color w:val="auto"/>
                <w:w w:val="88"/>
              </w:rPr>
              <w:t>per share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programs</w:t>
            </w:r>
          </w:p>
        </w:tc>
        <w:tc>
          <w:tcPr>
            <w:tcW w:w="580" w:type="dxa"/>
            <w:vAlign w:val="bottom"/>
          </w:tcPr>
          <w:p>
            <w:pPr>
              <w:spacing w:after="0"/>
              <w:rPr>
                <w:sz w:val="18"/>
                <w:szCs w:val="18"/>
                <w:color w:val="auto"/>
              </w:rPr>
            </w:pPr>
          </w:p>
        </w:tc>
        <w:tc>
          <w:tcPr>
            <w:tcW w:w="2060" w:type="dxa"/>
            <w:vAlign w:val="bottom"/>
          </w:tcPr>
          <w:p>
            <w:pPr>
              <w:jc w:val="center"/>
              <w:ind w:right="499"/>
              <w:spacing w:after="0"/>
              <w:rPr>
                <w:sz w:val="20"/>
                <w:szCs w:val="20"/>
                <w:color w:val="auto"/>
              </w:rPr>
            </w:pPr>
            <w:r>
              <w:rPr>
                <w:rFonts w:ascii="Arial" w:cs="Arial" w:eastAsia="Arial" w:hAnsi="Arial"/>
                <w:sz w:val="16"/>
                <w:szCs w:val="16"/>
                <w:b w:val="1"/>
                <w:bCs w:val="1"/>
                <w:color w:val="auto"/>
                <w:w w:val="89"/>
              </w:rPr>
              <w:t>plans or programs (1)</w:t>
            </w:r>
          </w:p>
        </w:tc>
        <w:tc>
          <w:tcPr>
            <w:tcW w:w="0" w:type="dxa"/>
            <w:vAlign w:val="bottom"/>
          </w:tcPr>
          <w:p>
            <w:pPr>
              <w:spacing w:after="0"/>
              <w:rPr>
                <w:sz w:val="1"/>
                <w:szCs w:val="1"/>
                <w:color w:val="auto"/>
              </w:rPr>
            </w:pPr>
          </w:p>
        </w:tc>
      </w:tr>
      <w:tr>
        <w:trPr>
          <w:trHeight w:val="221"/>
        </w:trPr>
        <w:tc>
          <w:tcPr>
            <w:tcW w:w="4000" w:type="dxa"/>
            <w:vAlign w:val="bottom"/>
            <w:tcBorders>
              <w:top w:val="single" w:sz="8" w:color="CCEEFF"/>
            </w:tcBorders>
            <w:shd w:val="clear" w:color="auto" w:fill="CCEEFF"/>
          </w:tcPr>
          <w:p>
            <w:pPr>
              <w:ind w:left="500"/>
              <w:spacing w:after="0" w:line="221"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2"/>
                <w:szCs w:val="22"/>
                <w:color w:val="auto"/>
                <w:vertAlign w:val="superscript"/>
              </w:rPr>
              <w:t>(1)</w:t>
            </w: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8,300,000</w:t>
            </w:r>
          </w:p>
        </w:tc>
        <w:tc>
          <w:tcPr>
            <w:tcW w:w="0" w:type="dxa"/>
            <w:vAlign w:val="bottom"/>
          </w:tcPr>
          <w:p>
            <w:pPr>
              <w:spacing w:after="0"/>
              <w:rPr>
                <w:sz w:val="1"/>
                <w:szCs w:val="1"/>
                <w:color w:val="auto"/>
              </w:rPr>
            </w:pPr>
          </w:p>
        </w:tc>
      </w:tr>
      <w:tr>
        <w:trPr>
          <w:trHeight w:val="224"/>
        </w:trPr>
        <w:tc>
          <w:tcPr>
            <w:tcW w:w="4000" w:type="dxa"/>
            <w:vAlign w:val="bottom"/>
          </w:tcPr>
          <w:p>
            <w:pPr>
              <w:ind w:left="820"/>
              <w:spacing w:after="0"/>
              <w:rPr>
                <w:sz w:val="20"/>
                <w:szCs w:val="20"/>
                <w:color w:val="auto"/>
              </w:rPr>
            </w:pPr>
            <w:r>
              <w:rPr>
                <w:rFonts w:ascii="Arial" w:cs="Arial" w:eastAsia="Arial" w:hAnsi="Arial"/>
                <w:sz w:val="18"/>
                <w:szCs w:val="18"/>
                <w:color w:val="auto"/>
              </w:rPr>
              <w:t>April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19"/>
                <w:szCs w:val="19"/>
                <w:color w:val="auto"/>
              </w:rPr>
            </w:pP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15.63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880" w:hanging="874"/>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These purchases relate to the share repurchase program and were authorized in April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0" w:name="page31"/>
    <w:bookmarkEnd w:id="30"/>
    <w:p>
      <w:pPr>
        <w:ind w:left="100"/>
        <w:spacing w:after="0"/>
        <w:tabs>
          <w:tab w:leader="none" w:pos="900" w:val="left"/>
        </w:tabs>
        <w:rPr>
          <w:sz w:val="20"/>
          <w:szCs w:val="20"/>
          <w:color w:val="auto"/>
        </w:rPr>
      </w:pPr>
      <w:r>
        <w:rPr>
          <w:rFonts w:ascii="Arial" w:cs="Arial" w:eastAsia="Arial" w:hAnsi="Arial"/>
          <w:sz w:val="18"/>
          <w:szCs w:val="18"/>
          <w:b w:val="1"/>
          <w:bCs w:val="1"/>
          <w:color w:val="auto"/>
        </w:rPr>
        <w:t>ITEM 6.</w:t>
        <w:tab/>
        <w:t>EXHIBITS</w:t>
      </w:r>
    </w:p>
    <w:p>
      <w:pPr>
        <w:spacing w:after="0" w:line="261" w:lineRule="exact"/>
        <w:rPr>
          <w:sz w:val="20"/>
          <w:szCs w:val="20"/>
          <w:color w:val="auto"/>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ification of Chief Executive Officer Pursuant to Securities Exchange Act Rule 13a-14(a)</w:t>
        </w:r>
      </w:hyperlink>
    </w:p>
    <w:p>
      <w:pPr>
        <w:spacing w:after="0" w:line="229"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ification of Chief Financial Officer Pursuant to Securities Exchange Act Rule 13a-14(a)</w:t>
        </w:r>
      </w:hyperlink>
    </w:p>
    <w:p>
      <w:pPr>
        <w:spacing w:after="0" w:line="229" w:lineRule="exact"/>
        <w:rPr>
          <w:sz w:val="20"/>
          <w:szCs w:val="20"/>
          <w:color w:val="auto"/>
        </w:rPr>
      </w:pPr>
    </w:p>
    <w:p>
      <w:pPr>
        <w:ind w:left="1340" w:right="679" w:hanging="1337"/>
        <w:spacing w:after="0" w:line="228"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ification of Chief Executive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of 2002</w:t>
        </w:r>
      </w:hyperlink>
    </w:p>
    <w:p>
      <w:pPr>
        <w:spacing w:after="0" w:line="214" w:lineRule="exact"/>
        <w:rPr>
          <w:sz w:val="20"/>
          <w:szCs w:val="20"/>
          <w:color w:val="auto"/>
        </w:rPr>
      </w:pPr>
    </w:p>
    <w:p>
      <w:pPr>
        <w:ind w:left="1340" w:right="739" w:hanging="1337"/>
        <w:spacing w:after="0" w:line="228" w:lineRule="auto"/>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ification of Chief Financial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of 2002</w:t>
        </w:r>
      </w:hyperlink>
    </w:p>
    <w:p>
      <w:pPr>
        <w:spacing w:after="0" w:line="214" w:lineRule="exact"/>
        <w:rPr>
          <w:sz w:val="20"/>
          <w:szCs w:val="20"/>
          <w:color w:val="auto"/>
        </w:rPr>
      </w:pPr>
    </w:p>
    <w:p>
      <w:pPr>
        <w:ind w:left="1340" w:right="719" w:hanging="1337"/>
        <w:spacing w:after="0" w:line="252" w:lineRule="auto"/>
        <w:rPr>
          <w:sz w:val="20"/>
          <w:szCs w:val="20"/>
          <w:color w:val="auto"/>
        </w:rPr>
      </w:pPr>
      <w:r>
        <w:rPr>
          <w:rFonts w:ascii="Arial" w:cs="Arial" w:eastAsia="Arial" w:hAnsi="Arial"/>
          <w:sz w:val="15"/>
          <w:szCs w:val="15"/>
          <w:color w:val="auto"/>
        </w:rPr>
        <w:t>following financial information from Westwood Holdings Group, Inc.'s Quarterly Report on Form 10-Q for the period ended June 30, 2021, formatted in Inline eXtensible Business Reporting Language (iXBRL): (i) Condensed Consolidated Balance Sheets as of June 30, 2021 and December 31, 2020; (ii) Condensed Consolidated Statements of Comprehensive Income (Loss) for the three and six months ended June 30, 2021 and 2020; (iii) Condensed Consolidated Statements of Stockholders' Equity; (iv) Condensed Consolidated Statements of Cash Flows for the six months ended June 30, 2021 and 2020; and (v) 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er Page Interactive Data File (formatted as iXBRL and contained in Exhibit 101)</w:t>
      </w:r>
    </w:p>
    <w:p>
      <w:pPr>
        <w:spacing w:after="0" w:line="308" w:lineRule="exact"/>
        <w:rPr>
          <w:sz w:val="20"/>
          <w:szCs w:val="20"/>
          <w:color w:val="auto"/>
        </w:rPr>
      </w:pPr>
    </w:p>
    <w:p>
      <w:pPr>
        <w:ind w:left="10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Filed herewith.</w:t>
      </w:r>
    </w:p>
    <w:p>
      <w:pPr>
        <w:spacing w:after="0" w:line="16"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239"/>
          </w:cols>
          <w:pgMar w:left="220" w:top="1072" w:right="1440" w:bottom="1440" w:gutter="0" w:footer="0" w:header="0"/>
        </w:sectPr>
      </w:pPr>
    </w:p>
    <w:bookmarkStart w:id="31" w:name="page32"/>
    <w:bookmarkEnd w:id="31"/>
    <w:p>
      <w:pPr>
        <w:jc w:val="center"/>
        <w:ind w:right="-719"/>
        <w:spacing w:after="0"/>
        <w:rPr>
          <w:sz w:val="20"/>
          <w:szCs w:val="20"/>
          <w:color w:val="auto"/>
        </w:rPr>
      </w:pPr>
      <w:r>
        <w:rPr>
          <w:rFonts w:ascii="Arial" w:cs="Arial" w:eastAsia="Arial" w:hAnsi="Arial"/>
          <w:sz w:val="18"/>
          <w:szCs w:val="18"/>
          <w:color w:val="auto"/>
        </w:rPr>
        <w:t>SIGNATURES</w:t>
      </w:r>
    </w:p>
    <w:p>
      <w:pPr>
        <w:spacing w:after="0" w:line="216" w:lineRule="exact"/>
        <w:rPr>
          <w:sz w:val="20"/>
          <w:szCs w:val="20"/>
          <w:color w:val="auto"/>
        </w:rPr>
      </w:pPr>
    </w:p>
    <w:p>
      <w:pPr>
        <w:ind w:firstLine="475"/>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Dated:   July 27, 2021</w:t>
            </w:r>
          </w:p>
        </w:tc>
        <w:tc>
          <w:tcPr>
            <w:tcW w:w="6080" w:type="dxa"/>
            <w:vAlign w:val="bottom"/>
            <w:gridSpan w:val="2"/>
          </w:tcPr>
          <w:p>
            <w:pPr>
              <w:ind w:left="1640"/>
              <w:spacing w:after="0"/>
              <w:rPr>
                <w:sz w:val="20"/>
                <w:szCs w:val="20"/>
                <w:color w:val="auto"/>
              </w:rPr>
            </w:pPr>
            <w:r>
              <w:rPr>
                <w:rFonts w:ascii="Arial" w:cs="Arial" w:eastAsia="Arial" w:hAnsi="Arial"/>
                <w:sz w:val="18"/>
                <w:szCs w:val="18"/>
                <w:color w:val="auto"/>
              </w:rPr>
              <w:t>WESTWOOD HOLDINGS GROUP, INC.</w:t>
            </w:r>
          </w:p>
        </w:tc>
      </w:tr>
      <w:tr>
        <w:trPr>
          <w:trHeight w:val="476"/>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17"/>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24"/>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36"/>
        </w:trPr>
        <w:tc>
          <w:tcPr>
            <w:tcW w:w="3320" w:type="dxa"/>
            <w:vAlign w:val="bottom"/>
          </w:tcPr>
          <w:p>
            <w:pPr>
              <w:spacing w:after="0"/>
              <w:rPr>
                <w:sz w:val="24"/>
                <w:szCs w:val="24"/>
                <w:color w:val="auto"/>
              </w:rPr>
            </w:pP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Murray Forbes III</w:t>
            </w:r>
          </w:p>
        </w:tc>
      </w:tr>
      <w:tr>
        <w:trPr>
          <w:trHeight w:val="217"/>
        </w:trPr>
        <w:tc>
          <w:tcPr>
            <w:tcW w:w="3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24"/>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320" w:top="1078" w:right="1059" w:bottom="1440" w:gutter="0" w:footer="0" w:header="0"/>
        </w:sectPr>
      </w:pPr>
    </w:p>
    <w:bookmarkStart w:id="32" w:name="page33"/>
    <w:bookmarkEnd w:id="32"/>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200" w:lineRule="exact"/>
        <w:rPr>
          <w:sz w:val="20"/>
          <w:szCs w:val="20"/>
          <w:color w:val="auto"/>
        </w:rPr>
      </w:pPr>
    </w:p>
    <w:p>
      <w:pPr>
        <w:spacing w:after="0" w:line="250" w:lineRule="exact"/>
        <w:rPr>
          <w:sz w:val="20"/>
          <w:szCs w:val="20"/>
          <w:color w:val="auto"/>
        </w:rPr>
      </w:pPr>
    </w:p>
    <w:p>
      <w:pPr>
        <w:ind w:left="640" w:hanging="317"/>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06" w:lineRule="exact"/>
        <w:rPr>
          <w:rFonts w:ascii="Arial" w:cs="Arial" w:eastAsia="Arial" w:hAnsi="Arial"/>
          <w:sz w:val="16"/>
          <w:szCs w:val="16"/>
          <w:color w:val="auto"/>
        </w:rPr>
      </w:pPr>
    </w:p>
    <w:p>
      <w:pPr>
        <w:ind w:left="640" w:right="80" w:hanging="317"/>
        <w:spacing w:after="0" w:line="297"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640" w:right="80" w:hanging="317"/>
        <w:spacing w:after="0" w:line="26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6"/>
          <w:szCs w:val="16"/>
          <w:color w:val="auto"/>
        </w:rPr>
      </w:pPr>
    </w:p>
    <w:p>
      <w:pPr>
        <w:ind w:left="640" w:hanging="317"/>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280" w:right="20" w:hanging="324"/>
        <w:spacing w:after="0" w:line="252" w:lineRule="auto"/>
        <w:tabs>
          <w:tab w:leader="none" w:pos="12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6"/>
          <w:szCs w:val="16"/>
          <w:color w:val="auto"/>
        </w:rPr>
      </w:pPr>
    </w:p>
    <w:p>
      <w:pPr>
        <w:ind w:left="1280" w:right="160" w:hanging="324"/>
        <w:spacing w:after="0" w:line="252"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6"/>
          <w:szCs w:val="16"/>
          <w:color w:val="auto"/>
        </w:rPr>
      </w:pPr>
    </w:p>
    <w:p>
      <w:pPr>
        <w:ind w:left="1280" w:right="160" w:hanging="324"/>
        <w:spacing w:after="0" w:line="263" w:lineRule="auto"/>
        <w:tabs>
          <w:tab w:leader="none" w:pos="12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6"/>
          <w:szCs w:val="16"/>
          <w:color w:val="auto"/>
        </w:rPr>
      </w:pPr>
    </w:p>
    <w:p>
      <w:pPr>
        <w:ind w:left="1280" w:right="100" w:hanging="324"/>
        <w:spacing w:after="0" w:line="252" w:lineRule="auto"/>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6"/>
          <w:szCs w:val="16"/>
          <w:color w:val="auto"/>
        </w:rPr>
      </w:pPr>
    </w:p>
    <w:p>
      <w:pPr>
        <w:ind w:left="640" w:right="380" w:hanging="317"/>
        <w:spacing w:after="0" w:line="26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6"/>
          <w:szCs w:val="16"/>
          <w:color w:val="auto"/>
        </w:rPr>
      </w:pPr>
    </w:p>
    <w:p>
      <w:pPr>
        <w:ind w:left="1280" w:right="380" w:hanging="324"/>
        <w:spacing w:after="0" w:line="263" w:lineRule="auto"/>
        <w:tabs>
          <w:tab w:leader="none" w:pos="122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6"/>
          <w:szCs w:val="16"/>
          <w:color w:val="auto"/>
        </w:rPr>
      </w:pPr>
    </w:p>
    <w:p>
      <w:pPr>
        <w:ind w:left="1280" w:right="580" w:hanging="324"/>
        <w:spacing w:after="0" w:line="263" w:lineRule="auto"/>
        <w:tabs>
          <w:tab w:leader="none" w:pos="123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July 27, 2021</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0518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O. Casey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440" w:right="339" w:bottom="1440" w:gutter="0" w:footer="0" w:header="0"/>
        </w:sectPr>
      </w:pPr>
    </w:p>
    <w:bookmarkStart w:id="33" w:name="page34"/>
    <w:bookmarkEnd w:id="33"/>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200" w:lineRule="exact"/>
        <w:rPr>
          <w:sz w:val="20"/>
          <w:szCs w:val="20"/>
          <w:color w:val="auto"/>
        </w:rPr>
      </w:pPr>
    </w:p>
    <w:p>
      <w:pPr>
        <w:spacing w:after="0" w:line="250" w:lineRule="exact"/>
        <w:rPr>
          <w:sz w:val="20"/>
          <w:szCs w:val="20"/>
          <w:color w:val="auto"/>
        </w:rPr>
      </w:pPr>
    </w:p>
    <w:p>
      <w:pPr>
        <w:ind w:left="640" w:hanging="317"/>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06" w:lineRule="exact"/>
        <w:rPr>
          <w:rFonts w:ascii="Arial" w:cs="Arial" w:eastAsia="Arial" w:hAnsi="Arial"/>
          <w:sz w:val="16"/>
          <w:szCs w:val="16"/>
          <w:color w:val="auto"/>
        </w:rPr>
      </w:pPr>
    </w:p>
    <w:p>
      <w:pPr>
        <w:ind w:left="640" w:right="80" w:hanging="317"/>
        <w:spacing w:after="0" w:line="297" w:lineRule="auto"/>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640" w:right="80" w:hanging="317"/>
        <w:spacing w:after="0" w:line="263"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6"/>
          <w:szCs w:val="16"/>
          <w:color w:val="auto"/>
        </w:rPr>
      </w:pPr>
    </w:p>
    <w:p>
      <w:pPr>
        <w:ind w:left="640" w:hanging="317"/>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4" w:lineRule="exact"/>
        <w:rPr>
          <w:rFonts w:ascii="Arial" w:cs="Arial" w:eastAsia="Arial" w:hAnsi="Arial"/>
          <w:sz w:val="14"/>
          <w:szCs w:val="14"/>
          <w:color w:val="auto"/>
        </w:rPr>
      </w:pPr>
    </w:p>
    <w:p>
      <w:pPr>
        <w:ind w:left="1280" w:right="20" w:hanging="324"/>
        <w:spacing w:after="0" w:line="252" w:lineRule="auto"/>
        <w:tabs>
          <w:tab w:leader="none" w:pos="12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6"/>
          <w:szCs w:val="16"/>
          <w:color w:val="auto"/>
        </w:rPr>
      </w:pPr>
    </w:p>
    <w:p>
      <w:pPr>
        <w:ind w:left="1280" w:right="160" w:hanging="324"/>
        <w:spacing w:after="0" w:line="252" w:lineRule="auto"/>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6"/>
          <w:szCs w:val="16"/>
          <w:color w:val="auto"/>
        </w:rPr>
      </w:pPr>
    </w:p>
    <w:p>
      <w:pPr>
        <w:ind w:left="1280" w:right="160" w:hanging="324"/>
        <w:spacing w:after="0" w:line="263" w:lineRule="auto"/>
        <w:tabs>
          <w:tab w:leader="none" w:pos="12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6"/>
          <w:szCs w:val="16"/>
          <w:color w:val="auto"/>
        </w:rPr>
      </w:pPr>
    </w:p>
    <w:p>
      <w:pPr>
        <w:ind w:left="1280" w:right="100" w:hanging="324"/>
        <w:spacing w:after="0" w:line="252" w:lineRule="auto"/>
        <w:tabs>
          <w:tab w:leader="none" w:pos="1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6"/>
          <w:szCs w:val="16"/>
          <w:color w:val="auto"/>
        </w:rPr>
      </w:pPr>
    </w:p>
    <w:p>
      <w:pPr>
        <w:ind w:left="640" w:right="420" w:hanging="317"/>
        <w:spacing w:after="0" w:line="263" w:lineRule="auto"/>
        <w:tabs>
          <w:tab w:leader="none" w:pos="5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6"/>
          <w:szCs w:val="16"/>
          <w:color w:val="auto"/>
        </w:rPr>
      </w:pPr>
    </w:p>
    <w:p>
      <w:pPr>
        <w:ind w:left="1280" w:right="380" w:hanging="324"/>
        <w:spacing w:after="0" w:line="263" w:lineRule="auto"/>
        <w:tabs>
          <w:tab w:leader="none" w:pos="122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6"/>
          <w:szCs w:val="16"/>
          <w:color w:val="auto"/>
        </w:rPr>
      </w:pPr>
    </w:p>
    <w:p>
      <w:pPr>
        <w:ind w:left="1280" w:right="580" w:hanging="324"/>
        <w:spacing w:after="0" w:line="263" w:lineRule="auto"/>
        <w:tabs>
          <w:tab w:leader="none" w:pos="123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July 27, 2021</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0518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Murray Forbes III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June 30, 2021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81" w:lineRule="exact"/>
        <w:rPr>
          <w:sz w:val="20"/>
          <w:szCs w:val="20"/>
          <w:color w:val="auto"/>
        </w:rPr>
      </w:pPr>
    </w:p>
    <w:p>
      <w:pPr>
        <w:ind w:left="700" w:hanging="219"/>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06" w:lineRule="exact"/>
        <w:rPr>
          <w:rFonts w:ascii="Arial" w:cs="Arial" w:eastAsia="Arial" w:hAnsi="Arial"/>
          <w:sz w:val="16"/>
          <w:szCs w:val="16"/>
          <w:color w:val="auto"/>
        </w:rPr>
      </w:pPr>
    </w:p>
    <w:p>
      <w:pPr>
        <w:ind w:left="60" w:right="1340" w:firstLine="421"/>
        <w:spacing w:after="0" w:line="315" w:lineRule="auto"/>
        <w:tabs>
          <w:tab w:leader="none" w:pos="7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July 27, 2021</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30518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Brian O. Casey</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&amp; Chief Executive Officer</w:t>
      </w:r>
    </w:p>
    <w:p>
      <w:pPr>
        <w:spacing w:after="0" w:line="318" w:lineRule="exact"/>
        <w:rPr>
          <w:sz w:val="20"/>
          <w:szCs w:val="20"/>
          <w:color w:val="auto"/>
        </w:rPr>
      </w:pPr>
    </w:p>
    <w:p>
      <w:pPr>
        <w:ind w:right="260" w:firstLine="475"/>
        <w:spacing w:after="0" w:line="25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9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June 30, 2021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81" w:lineRule="exact"/>
        <w:rPr>
          <w:sz w:val="20"/>
          <w:szCs w:val="20"/>
          <w:color w:val="auto"/>
        </w:rPr>
      </w:pPr>
    </w:p>
    <w:p>
      <w:pPr>
        <w:ind w:left="700" w:hanging="219"/>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06" w:lineRule="exact"/>
        <w:rPr>
          <w:rFonts w:ascii="Arial" w:cs="Arial" w:eastAsia="Arial" w:hAnsi="Arial"/>
          <w:sz w:val="16"/>
          <w:szCs w:val="16"/>
          <w:color w:val="auto"/>
        </w:rPr>
      </w:pPr>
    </w:p>
    <w:p>
      <w:pPr>
        <w:ind w:left="60" w:right="1340" w:firstLine="421"/>
        <w:spacing w:after="0" w:line="315" w:lineRule="auto"/>
        <w:tabs>
          <w:tab w:leader="none" w:pos="7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July 27, 2021</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15240</wp:posOffset>
            </wp:positionV>
            <wp:extent cx="30518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Murray Forbes III</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Treasurer</w:t>
      </w:r>
    </w:p>
    <w:p>
      <w:pPr>
        <w:spacing w:after="0" w:line="318" w:lineRule="exact"/>
        <w:rPr>
          <w:sz w:val="20"/>
          <w:szCs w:val="20"/>
          <w:color w:val="auto"/>
        </w:rPr>
      </w:pPr>
    </w:p>
    <w:p>
      <w:pPr>
        <w:ind w:right="260" w:firstLine="475"/>
        <w:spacing w:after="0" w:line="25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2021-07-27T16:18:18Z</dcterms:created>
  <dcterms:modified xsi:type="dcterms:W3CDTF">2021-07-27T16:18:18Z</dcterms:modified>
</cp:coreProperties>
</file>