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GOLDMAN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191 MASON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GREENWICH, CT, 06830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914-921-5000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443,800.00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443,800.00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443,800.00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79,206.00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79,206.00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4,080.00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4,080.00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FOUNDATION,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GGCP,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MARIO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200 CRESCENT COURT, 200 CRESCENT COURT, DALLAS, TEXAS , 75201.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6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one or more of the following persons: GGCP, Inc. (GGCP), GGCP Holdings LLC (GGCP Holdings), GAMCO Investors, Inc. (GBL), Associated Capital Group, Inc. (AC), Gabelli Funds, LLC (Gabelli Funds), GAMCO Asset Management Inc. (GAMCO), Teton Advisors, LLC (Teton Advisors), Keeley-Teton</w:t>
      </w:r>
    </w:p>
    <w:p>
      <w:pPr>
        <w:spacing w:after="0" w:line="1" w:lineRule="exact"/>
        <w:rPr>
          <w:sz w:val="20"/>
          <w:szCs w:val="20"/>
          <w:color w:val="auto"/>
        </w:rPr>
      </w:pPr>
    </w:p>
    <w:p>
      <w:pPr>
        <w:ind w:left="940" w:right="80" w:hanging="932"/>
        <w:spacing w:after="0" w:line="23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p>
      <w:pPr>
        <w:spacing w:after="0" w:line="15" w:lineRule="exact"/>
        <w:rPr>
          <w:rFonts w:ascii="Times New Roman" w:cs="Times New Roman" w:eastAsia="Times New Roman" w:hAnsi="Times New Roman"/>
          <w:sz w:val="22"/>
          <w:szCs w:val="22"/>
          <w:color w:val="auto"/>
        </w:rPr>
      </w:pPr>
    </w:p>
    <w:p>
      <w:pPr>
        <w:ind w:left="940" w:right="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w:t>
      </w:r>
    </w:p>
    <w:p>
      <w:pPr>
        <w:spacing w:after="0" w:line="2" w:lineRule="exact"/>
        <w:rPr>
          <w:rFonts w:ascii="Times New Roman" w:cs="Times New Roman" w:eastAsia="Times New Roman" w:hAnsi="Times New Roman"/>
          <w:sz w:val="22"/>
          <w:szCs w:val="22"/>
          <w:color w:val="auto"/>
        </w:rPr>
      </w:pPr>
    </w:p>
    <w:p>
      <w:pPr>
        <w:ind w:left="940" w:hanging="932"/>
        <w:spacing w:after="0" w:line="207"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business office at One Corporate Center, Rye, New York 10580. Teton Advisors is a Delaware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20" w:lineRule="exact"/>
        <w:rPr>
          <w:rFonts w:ascii="Times New Roman" w:cs="Times New Roman" w:eastAsia="Times New Roman" w:hAnsi="Times New Roman"/>
          <w:sz w:val="43"/>
          <w:szCs w:val="43"/>
          <w:color w:val="auto"/>
          <w:vertAlign w:val="subscript"/>
        </w:rPr>
      </w:pPr>
    </w:p>
    <w:p>
      <w:pPr>
        <w:ind w:left="940" w:right="160" w:hanging="932"/>
        <w:spacing w:after="0" w:line="251"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w:t>
      </w:r>
    </w:p>
    <w:p>
      <w:pPr>
        <w:sectPr>
          <w:pgSz w:w="11900" w:h="16838" w:orient="portrait"/>
          <w:cols w:equalWidth="0" w:num="1">
            <w:col w:w="11120"/>
          </w:cols>
          <w:pgMar w:left="360" w:top="102" w:right="419" w:bottom="0" w:gutter="0" w:footer="0" w:header="0"/>
        </w:sectPr>
      </w:pPr>
    </w:p>
    <w:bookmarkStart w:id="7" w:name="page8"/>
    <w:bookmarkEnd w:id="7"/>
    <w:p>
      <w:pPr>
        <w:ind w:left="940"/>
        <w:spacing w:after="0" w:line="242" w:lineRule="auto"/>
        <w:rPr>
          <w:sz w:val="20"/>
          <w:szCs w:val="20"/>
          <w:color w:val="auto"/>
        </w:rPr>
      </w:pPr>
      <w:r>
        <w:rPr>
          <w:rFonts w:ascii="Times New Roman" w:cs="Times New Roman" w:eastAsia="Times New Roman" w:hAnsi="Times New Roman"/>
          <w:sz w:val="21"/>
          <w:szCs w:val="21"/>
          <w:color w:val="auto"/>
        </w:rPr>
        <w:t>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Rx Trust, The Gabelli Global Small and Mid Cap Value Trust, Gabelli Merger Plus+ Trust Plc, The Gabelli Global Financial Services Fund, The Gabelli Global Mini Mites Fund, The Gabelli Media Mogul Fund, The Gabelli Pet Parents Fund, The Gabelli U.S. Treasury Money Market Fund, Bancroft Fund Ltd. and Ellsworth Growth &amp; Income Fund Ltd., Gabelli Growth Innovators ETF, Gabelli Love Our Planet &amp; People ETF, Gabelli Automation ETF, Gabelli Commercial Aerospace &amp; Defense ETF, Gabelli Financial Services Opportunities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Mitessm Fund, The TETON Convertible Securities Fund, The Teton Westwood Balanced Fund, and The TETON Westwood Equity Fund. The TETON Westwood Mighty Mites Fund and the Teton Convertible Securities Fund are subadvised by Gabelli Funds, and their holdings are included in this filing. Keeley-Teton, an investment adviser registered under the Advisers Act, provides discretionary advisory services to The Teton Westwood Smallcap Equity Fund, The Keeley Small Cap Dividend Value Fund, The Keeley Small-Mid Cap Value Fund, and The Keeley Mid Cap Dividend Value Fund, as well as to institutional and individual clients.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w:t>
      </w:r>
    </w:p>
    <w:p>
      <w:pPr>
        <w:spacing w:after="0" w:line="200" w:lineRule="exact"/>
        <w:rPr>
          <w:sz w:val="20"/>
          <w:szCs w:val="20"/>
          <w:color w:val="auto"/>
        </w:rPr>
      </w:pPr>
    </w:p>
    <w:p>
      <w:pPr>
        <w:spacing w:after="0" w:line="315" w:lineRule="exact"/>
        <w:rPr>
          <w:sz w:val="20"/>
          <w:szCs w:val="20"/>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80"/>
        <w:spacing w:after="0" w:line="253" w:lineRule="auto"/>
        <w:rPr>
          <w:sz w:val="20"/>
          <w:szCs w:val="20"/>
          <w:color w:val="auto"/>
        </w:rPr>
      </w:pPr>
      <w:r>
        <w:rPr>
          <w:rFonts w:ascii="Times New Roman" w:cs="Times New Roman" w:eastAsia="Times New Roman" w:hAnsi="Times New Roman"/>
          <w:sz w:val="21"/>
          <w:szCs w:val="21"/>
          <w:color w:val="auto"/>
        </w:rPr>
        <w:t>The aggregate number of Securities to which this Schedule 13D relates is 541,586 shares, representing 5.77% of the 9,379,680 shares outstanding as reported by the Issuer in its most recently filed Form 10-Q for the quarterly period</w:t>
      </w:r>
    </w:p>
    <w:p>
      <w:pPr>
        <w:spacing w:after="0" w:line="1" w:lineRule="exact"/>
        <w:rPr>
          <w:sz w:val="20"/>
          <w:szCs w:val="20"/>
          <w:color w:val="auto"/>
        </w:rPr>
      </w:pPr>
    </w:p>
    <w:p>
      <w:pPr>
        <w:ind w:left="940" w:right="280" w:hanging="932"/>
        <w:spacing w:after="0" w:line="235"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ended March 31, 2025. The Reporting Persons beneficially own those Securities as follows: GAMCO 4,080 shares 0.04%, Gabelli Funds 79,206 shares 0.84%, AC 11,000 shares 0.12%, Foundation 3,500 shares 0.04% and GBL 443,800 shares 4.73%.</w:t>
      </w:r>
    </w:p>
    <w:p>
      <w:pPr>
        <w:spacing w:after="0" w:line="15" w:lineRule="exact"/>
        <w:rPr>
          <w:rFonts w:ascii="Times New Roman" w:cs="Times New Roman" w:eastAsia="Times New Roman" w:hAnsi="Times New Roman"/>
          <w:sz w:val="22"/>
          <w:szCs w:val="22"/>
          <w:color w:val="auto"/>
        </w:rPr>
      </w:pPr>
    </w:p>
    <w:p>
      <w:pPr>
        <w:ind w:left="940" w:right="300" w:hanging="932"/>
        <w:spacing w:after="0" w:line="255" w:lineRule="auto"/>
        <w:tabs>
          <w:tab w:leader="none" w:pos="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Gabelli Funds has sole dispositive and voting power with respect to the shares of the Issuer held by the Funds so long as the aggregate voting interest of all joint</w:t>
      </w:r>
    </w:p>
    <w:p>
      <w:pPr>
        <w:sectPr>
          <w:pgSz w:w="11900" w:h="16838" w:orient="portrait"/>
          <w:cols w:equalWidth="0" w:num="1">
            <w:col w:w="11160"/>
          </w:cols>
          <w:pgMar w:left="360" w:top="111" w:right="379" w:bottom="0" w:gutter="0" w:footer="0" w:header="0"/>
        </w:sectPr>
      </w:pPr>
    </w:p>
    <w:bookmarkStart w:id="8" w:name="page9"/>
    <w:bookmarkEnd w:id="8"/>
    <w:p>
      <w:pPr>
        <w:ind w:left="932"/>
        <w:spacing w:after="0" w:line="238" w:lineRule="auto"/>
        <w:rPr>
          <w:sz w:val="20"/>
          <w:szCs w:val="20"/>
          <w:color w:val="auto"/>
        </w:rPr>
      </w:pPr>
      <w:r>
        <w:rPr>
          <w:rFonts w:ascii="Times New Roman" w:cs="Times New Roman" w:eastAsia="Times New Roman" w:hAnsi="Times New Roman"/>
          <w:sz w:val="22"/>
          <w:szCs w:val="22"/>
          <w:color w:val="auto"/>
        </w:rPr>
        <w:t>filers does not exceed 25% of their total voting interest in the Issuer and, in that event, the Proxy Voting Committee of each Fund shall respectively vote that Funds shares, (ii) at any time, the Proxy Voting Committee of each such Fund may take and exercise in its sole discretion the entire voting power with respect to the shares held by such fund under special circumstances such as regulatory considerations, and (iII) the power of Mario Gabelli, AC, GBL, and GGCP is indirect with respect to Securities beneficially owned directly by other Reporting Persons.</w:t>
      </w:r>
    </w:p>
    <w:p>
      <w:pPr>
        <w:spacing w:after="0" w:line="15"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22"/>
          <w:szCs w:val="22"/>
          <w:color w:val="auto"/>
        </w:rPr>
        <w:t>Information with respect to all transactions in the Securities which were effected during the past sixty days or since</w:t>
      </w:r>
    </w:p>
    <w:p>
      <w:pPr>
        <w:spacing w:after="0" w:line="14" w:lineRule="exact"/>
        <w:rPr>
          <w:sz w:val="20"/>
          <w:szCs w:val="20"/>
          <w:color w:val="auto"/>
        </w:rPr>
      </w:pPr>
    </w:p>
    <w:p>
      <w:pPr>
        <w:ind w:left="932" w:right="200" w:hanging="932"/>
        <w:spacing w:after="0" w:line="184" w:lineRule="auto"/>
        <w:tabs>
          <w:tab w:leader="none" w:pos="932"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most recent filing on Schedule 13D, whichever is less, by each of the Reporting Persons and Covered Persons is set forth below: DATE SHARES PURCHASED PRICE /SOLD GAMCO INVESTORS, INC. 7/11/2025 -200 16.6645 6/23/2025 -700 16.0886 6/10/2025 -160 15.3918</w:t>
      </w:r>
    </w:p>
    <w:p>
      <w:pPr>
        <w:spacing w:after="0" w:line="18" w:lineRule="exact"/>
        <w:rPr>
          <w:rFonts w:ascii="Times New Roman" w:cs="Times New Roman" w:eastAsia="Times New Roman" w:hAnsi="Times New Roman"/>
          <w:sz w:val="42"/>
          <w:szCs w:val="42"/>
          <w:color w:val="auto"/>
          <w:vertAlign w:val="subscript"/>
        </w:rPr>
      </w:pPr>
    </w:p>
    <w:p>
      <w:pPr>
        <w:jc w:val="both"/>
        <w:ind w:left="932" w:right="1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investment advisory clients of, or partnerships managed by, GAMCO, Gabelli Funds, Teton Advisors and MJG Associates have the sole right to receive and, subject to the notice, withdrawal and/or termination provisions of such</w:t>
      </w:r>
    </w:p>
    <w:p>
      <w:pPr>
        <w:ind w:left="932" w:right="20" w:hanging="932"/>
        <w:spacing w:after="0" w:line="189" w:lineRule="auto"/>
        <w:tabs>
          <w:tab w:leader="none" w:pos="932"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p>
      <w:pPr>
        <w:spacing w:after="0" w:line="14" w:lineRule="exact"/>
        <w:rPr>
          <w:rFonts w:ascii="Times New Roman" w:cs="Times New Roman" w:eastAsia="Times New Roman" w:hAnsi="Times New Roman"/>
          <w:sz w:val="43"/>
          <w:szCs w:val="43"/>
          <w:color w:val="auto"/>
          <w:vertAlign w:val="subscript"/>
        </w:rPr>
      </w:pPr>
    </w:p>
    <w:p>
      <w:pPr>
        <w:ind w:left="932" w:hanging="932"/>
        <w:spacing w:after="0"/>
        <w:tabs>
          <w:tab w:leader="none" w:pos="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152"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47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07/14/2025</w:t>
      </w:r>
    </w:p>
    <w:p>
      <w:pPr>
        <w:spacing w:after="0" w:line="152"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152"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33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07/14/2025</w:t>
      </w:r>
    </w:p>
    <w:p>
      <w:pPr>
        <w:spacing w:after="0" w:line="152"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152"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DOUGLAS R. JAMIESON</w:t>
      </w:r>
    </w:p>
    <w:p>
      <w:pPr>
        <w:spacing w:after="0" w:line="44" w:lineRule="exact"/>
        <w:rPr>
          <w:sz w:val="20"/>
          <w:szCs w:val="20"/>
          <w:color w:val="auto"/>
        </w:rPr>
      </w:pPr>
    </w:p>
    <w:p>
      <w:pPr>
        <w:ind w:left="3692"/>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07/14/2025</w:t>
      </w:r>
    </w:p>
    <w:p>
      <w:pPr>
        <w:spacing w:after="0" w:line="152"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22"/>
          <w:szCs w:val="22"/>
          <w:color w:val="auto"/>
        </w:rPr>
        <w:t>GABELLI FOUNDATION, INC.</w:t>
      </w:r>
    </w:p>
    <w:p>
      <w:pPr>
        <w:spacing w:after="0" w:line="152"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292"/>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07/14/2025</w:t>
      </w:r>
    </w:p>
    <w:p>
      <w:pPr>
        <w:spacing w:after="0" w:line="152"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2"/>
          <w:szCs w:val="22"/>
          <w:color w:val="auto"/>
        </w:rPr>
        <w:t>GGCP, INC.</w:t>
      </w:r>
    </w:p>
    <w:p>
      <w:pPr>
        <w:spacing w:after="0" w:line="152"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292"/>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07/14/2025</w:t>
      </w:r>
    </w:p>
    <w:p>
      <w:pPr>
        <w:spacing w:after="0" w:line="152" w:lineRule="exact"/>
        <w:rPr>
          <w:sz w:val="20"/>
          <w:szCs w:val="20"/>
          <w:color w:val="auto"/>
        </w:rPr>
      </w:pPr>
    </w:p>
    <w:p>
      <w:pPr>
        <w:ind w:left="2852"/>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152"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612"/>
        <w:spacing w:after="0"/>
        <w:rPr>
          <w:sz w:val="20"/>
          <w:szCs w:val="20"/>
          <w:color w:val="auto"/>
        </w:rPr>
      </w:pPr>
      <w:r>
        <w:rPr>
          <w:rFonts w:ascii="Times New Roman" w:cs="Times New Roman" w:eastAsia="Times New Roman" w:hAnsi="Times New Roman"/>
          <w:sz w:val="22"/>
          <w:szCs w:val="22"/>
          <w:color w:val="auto"/>
        </w:rPr>
        <w:t>Name/Title: CHIEF LEGAL OFFICER</w:t>
      </w:r>
    </w:p>
    <w:p>
      <w:pPr>
        <w:spacing w:after="0" w:line="44"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07/14/2025</w:t>
      </w:r>
    </w:p>
    <w:p>
      <w:pPr>
        <w:spacing w:after="0" w:line="152" w:lineRule="exact"/>
        <w:rPr>
          <w:sz w:val="20"/>
          <w:szCs w:val="20"/>
          <w:color w:val="auto"/>
        </w:rPr>
      </w:pPr>
    </w:p>
    <w:p>
      <w:pPr>
        <w:ind w:left="2012"/>
        <w:spacing w:after="0"/>
        <w:rPr>
          <w:sz w:val="20"/>
          <w:szCs w:val="20"/>
          <w:color w:val="auto"/>
        </w:rPr>
      </w:pPr>
      <w:r>
        <w:rPr>
          <w:rFonts w:ascii="Times New Roman" w:cs="Times New Roman" w:eastAsia="Times New Roman" w:hAnsi="Times New Roman"/>
          <w:sz w:val="22"/>
          <w:szCs w:val="22"/>
          <w:color w:val="auto"/>
        </w:rPr>
        <w:t>GABELLI MARIO J</w:t>
      </w:r>
    </w:p>
    <w:p>
      <w:pPr>
        <w:spacing w:after="0" w:line="152"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292"/>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07/14/2025</w:t>
      </w:r>
    </w:p>
    <w:sectPr>
      <w:pgSz w:w="11900" w:h="16838" w:orient="portrait"/>
      <w:cols w:equalWidth="0" w:num="1">
        <w:col w:w="11152"/>
      </w:cols>
      <w:pgMar w:left="368" w:top="111" w:right="379" w:bottom="9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2025-07-14T15:03:14Z</dcterms:created>
  <dcterms:modified xsi:type="dcterms:W3CDTF">2025-07-14T15:03:14Z</dcterms:modified>
</cp:coreProperties>
</file>