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262"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64"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right"/>
              <w:ind w:right="594"/>
              <w:spacing w:after="0"/>
              <w:rPr>
                <w:sz w:val="20"/>
                <w:szCs w:val="20"/>
                <w:color w:val="auto"/>
              </w:rPr>
            </w:pPr>
            <w:r>
              <w:rPr>
                <w:rFonts w:ascii="Arial" w:cs="Arial" w:eastAsia="Arial" w:hAnsi="Arial"/>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5"/>
              </w:rPr>
              <w:t>(IRS Employer Identification No.)</w:t>
            </w:r>
          </w:p>
        </w:tc>
      </w:tr>
      <w:tr>
        <w:trPr>
          <w:trHeight w:val="568"/>
        </w:trPr>
        <w:tc>
          <w:tcPr>
            <w:tcW w:w="7000" w:type="dxa"/>
            <w:vAlign w:val="bottom"/>
          </w:tcPr>
          <w:p>
            <w:pPr>
              <w:jc w:val="center"/>
              <w:ind w:right="3035"/>
              <w:spacing w:after="0"/>
              <w:rPr>
                <w:sz w:val="20"/>
                <w:szCs w:val="20"/>
                <w:color w:val="auto"/>
              </w:rPr>
            </w:pPr>
            <w:r>
              <w:rPr>
                <w:rFonts w:ascii="Arial" w:cs="Arial" w:eastAsia="Arial" w:hAnsi="Arial"/>
                <w:sz w:val="18"/>
                <w:szCs w:val="18"/>
                <w:b w:val="1"/>
                <w:bCs w:val="1"/>
                <w:color w:val="auto"/>
                <w:w w:val="96"/>
              </w:rPr>
              <w:t>200 CRESCENT COURT, SUITE 1200</w:t>
            </w:r>
          </w:p>
        </w:tc>
        <w:tc>
          <w:tcPr>
            <w:tcW w:w="2440" w:type="dxa"/>
            <w:vAlign w:val="bottom"/>
          </w:tcPr>
          <w:p>
            <w:pPr>
              <w:spacing w:after="0"/>
              <w:rPr>
                <w:sz w:val="24"/>
                <w:szCs w:val="24"/>
                <w:color w:val="auto"/>
              </w:rPr>
            </w:pPr>
          </w:p>
        </w:tc>
      </w:tr>
      <w:tr>
        <w:trPr>
          <w:trHeight w:val="248"/>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Arial" w:cs="Arial" w:eastAsia="Arial" w:hAnsi="Arial"/>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(Address of principal executive office)</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2"/>
              </w:rPr>
              <w:t>(Zip Code)</w:t>
            </w:r>
          </w:p>
        </w:tc>
      </w:tr>
      <w:tr>
        <w:trPr>
          <w:trHeight w:val="361"/>
        </w:trPr>
        <w:tc>
          <w:tcPr>
            <w:tcW w:w="7000" w:type="dxa"/>
            <w:vAlign w:val="bottom"/>
          </w:tcPr>
          <w:p>
            <w:pPr>
              <w:jc w:val="right"/>
              <w:ind w:right="1335"/>
              <w:spacing w:after="0"/>
              <w:rPr>
                <w:sz w:val="20"/>
                <w:szCs w:val="20"/>
                <w:color w:val="auto"/>
              </w:rPr>
            </w:pPr>
            <w:r>
              <w:rPr>
                <w:rFonts w:ascii="Arial" w:cs="Arial" w:eastAsia="Arial" w:hAnsi="Arial"/>
                <w:sz w:val="16"/>
                <w:szCs w:val="16"/>
                <w:b w:val="1"/>
                <w:bCs w:val="1"/>
                <w:color w:val="auto"/>
              </w:rPr>
              <w:t>(214) 756-6900</w:t>
            </w:r>
          </w:p>
        </w:tc>
        <w:tc>
          <w:tcPr>
            <w:tcW w:w="2440" w:type="dxa"/>
            <w:vAlign w:val="bottom"/>
          </w:tcPr>
          <w:p>
            <w:pPr>
              <w:spacing w:after="0"/>
              <w:rPr>
                <w:sz w:val="24"/>
                <w:szCs w:val="24"/>
                <w:color w:val="auto"/>
              </w:rPr>
            </w:pPr>
          </w:p>
        </w:tc>
      </w:tr>
      <w:tr>
        <w:trPr>
          <w:trHeight w:val="201"/>
        </w:trPr>
        <w:tc>
          <w:tcPr>
            <w:tcW w:w="7000" w:type="dxa"/>
            <w:vAlign w:val="bottom"/>
          </w:tcPr>
          <w:p>
            <w:pPr>
              <w:jc w:val="center"/>
              <w:ind w:left="3075"/>
              <w:spacing w:after="0"/>
              <w:rPr>
                <w:sz w:val="20"/>
                <w:szCs w:val="20"/>
                <w:color w:val="auto"/>
              </w:rPr>
            </w:pPr>
            <w:r>
              <w:rPr>
                <w:rFonts w:ascii="Arial" w:cs="Arial" w:eastAsia="Arial" w:hAnsi="Arial"/>
                <w:sz w:val="16"/>
                <w:szCs w:val="16"/>
                <w:color w:val="auto"/>
                <w:w w:val="91"/>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3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7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4"/>
          <w:szCs w:val="24"/>
          <w:color w:val="auto"/>
        </w:rPr>
      </w:pPr>
    </w:p>
    <w:p>
      <w:pPr>
        <w:jc w:val="center"/>
        <w:ind w:right="-17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ind w:right="10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60" w:type="dxa"/>
            <w:vAlign w:val="bottom"/>
          </w:tcPr>
          <w:p>
            <w:pPr>
              <w:ind w:left="180"/>
              <w:spacing w:after="0"/>
              <w:rPr>
                <w:sz w:val="20"/>
                <w:szCs w:val="20"/>
                <w:color w:val="auto"/>
              </w:rPr>
            </w:pPr>
            <w:r>
              <w:rPr>
                <w:rFonts w:ascii="Arial" w:cs="Arial" w:eastAsia="Arial" w:hAnsi="Arial"/>
                <w:sz w:val="16"/>
                <w:szCs w:val="16"/>
                <w:color w:val="auto"/>
              </w:rPr>
              <w:t>Large accelerated filer</w:t>
            </w:r>
          </w:p>
        </w:tc>
        <w:tc>
          <w:tcPr>
            <w:tcW w:w="3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0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2"/>
        </w:trPr>
        <w:tc>
          <w:tcPr>
            <w:tcW w:w="206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0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60" w:type="dxa"/>
            <w:vAlign w:val="bottom"/>
            <w:vMerge w:val="restart"/>
          </w:tcPr>
          <w:p>
            <w:pPr>
              <w:ind w:left="206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660" w:type="dxa"/>
            <w:vAlign w:val="bottom"/>
            <w:gridSpan w:val="3"/>
          </w:tcPr>
          <w:p>
            <w:pPr>
              <w:ind w:left="180"/>
              <w:spacing w:after="0"/>
              <w:rPr>
                <w:sz w:val="20"/>
                <w:szCs w:val="20"/>
                <w:color w:val="auto"/>
              </w:rPr>
            </w:pPr>
            <w:r>
              <w:rPr>
                <w:rFonts w:ascii="Arial" w:cs="Arial" w:eastAsia="Arial" w:hAnsi="Arial"/>
                <w:sz w:val="16"/>
                <w:szCs w:val="16"/>
                <w:color w:val="auto"/>
                <w:w w:val="95"/>
              </w:rPr>
              <w:t>If an emerging growth company, indicate by check mark if the registrant has elected not to use the extended transition period for complying with any new or</w:t>
            </w:r>
          </w:p>
        </w:tc>
        <w:tc>
          <w:tcPr>
            <w:tcW w:w="46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5800" w:type="dxa"/>
            <w:vAlign w:val="bottom"/>
            <w:gridSpan w:val="2"/>
          </w:tcPr>
          <w:p>
            <w:pPr>
              <w:ind w:left="180"/>
              <w:spacing w:after="0"/>
              <w:rPr>
                <w:sz w:val="20"/>
                <w:szCs w:val="20"/>
                <w:color w:val="auto"/>
              </w:rPr>
            </w:pPr>
            <w:r>
              <w:rPr>
                <w:rFonts w:ascii="Arial" w:cs="Arial" w:eastAsia="Arial" w:hAnsi="Arial"/>
                <w:sz w:val="16"/>
                <w:szCs w:val="16"/>
                <w:color w:val="auto"/>
                <w:w w:val="91"/>
              </w:rPr>
              <w:t>revised accounting standards provided pursuant to Section 13(a) of the Exchange Act.</w:t>
            </w:r>
          </w:p>
        </w:tc>
        <w:tc>
          <w:tcPr>
            <w:tcW w:w="48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660" w:type="dxa"/>
            <w:vAlign w:val="bottom"/>
            <w:gridSpan w:val="3"/>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60" w:type="dxa"/>
            <w:vAlign w:val="bottom"/>
          </w:tcPr>
          <w:p>
            <w:pPr>
              <w:spacing w:after="0"/>
              <w:rPr>
                <w:sz w:val="22"/>
                <w:szCs w:val="22"/>
                <w:color w:val="auto"/>
              </w:rPr>
            </w:pPr>
          </w:p>
        </w:tc>
        <w:tc>
          <w:tcPr>
            <w:tcW w:w="3740" w:type="dxa"/>
            <w:vAlign w:val="bottom"/>
          </w:tcPr>
          <w:p>
            <w:pPr>
              <w:ind w:left="3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4860" w:type="dxa"/>
            <w:vAlign w:val="bottom"/>
          </w:tcPr>
          <w:p>
            <w:pPr>
              <w:ind w:left="40"/>
              <w:spacing w:after="0"/>
              <w:rPr>
                <w:sz w:val="20"/>
                <w:szCs w:val="20"/>
                <w:color w:val="auto"/>
              </w:rPr>
            </w:pPr>
            <w:r>
              <w:rPr>
                <w:rFonts w:ascii="Arial" w:cs="Arial" w:eastAsia="Arial" w:hAnsi="Arial"/>
                <w:sz w:val="16"/>
                <w:szCs w:val="16"/>
                <w:color w:val="auto"/>
              </w:rPr>
              <w:t>No x</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par value $0.01 per share, outstanding as of October 19, 2018: 9,018,436.</w:t>
      </w:r>
    </w:p>
    <w:p>
      <w:pPr>
        <w:spacing w:after="0" w:line="1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ectPr>
          <w:pgSz w:w="11900" w:h="16838" w:orient="portrait"/>
          <w:cols w:equalWidth="0" w:num="1">
            <w:col w:w="11240"/>
          </w:cols>
          <w:pgMar w:left="240" w:top="233" w:right="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gridSpan w:val="2"/>
          </w:tcPr>
          <w:p>
            <w:pPr>
              <w:spacing w:after="0"/>
              <w:rPr>
                <w:sz w:val="20"/>
                <w:szCs w:val="20"/>
                <w:color w:val="auto"/>
              </w:rPr>
            </w:pPr>
            <w:r>
              <w:rPr>
                <w:rFonts w:ascii="Arial" w:cs="Arial" w:eastAsia="Arial" w:hAnsi="Arial"/>
                <w:sz w:val="16"/>
                <w:szCs w:val="16"/>
                <w:color w:val="auto"/>
              </w:rPr>
              <w:t>PART I</w:t>
            </w:r>
          </w:p>
        </w:tc>
        <w:tc>
          <w:tcPr>
            <w:tcW w:w="918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PAGE</w:t>
            </w:r>
          </w:p>
        </w:tc>
      </w:tr>
      <w:tr>
        <w:trPr>
          <w:trHeight w:val="43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18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14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Borders>
              <w:bottom w:val="single" w:sz="8" w:color="0000EE"/>
            </w:tcBorders>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Condensed Consolidated Balance Sheets as of September 30, 2018 and December 31, 2017</w:t>
              </w:r>
            </w:hyperlink>
          </w:p>
        </w:tc>
        <w:tc>
          <w:tcPr>
            <w:tcW w:w="3260" w:type="dxa"/>
            <w:vAlign w:val="bottom"/>
            <w:gridSpan w:val="4"/>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Condensed Consolidated Statements of Comprehensive Income for the Three and Nine Months Ended September 30, 2018 and 2017</w:t>
              </w:r>
            </w:hyperlink>
          </w:p>
        </w:tc>
        <w:tc>
          <w:tcPr>
            <w:tcW w:w="114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tcBorders>
              <w:top w:val="single" w:sz="8" w:color="0000EE"/>
            </w:tcBorders>
            <w:gridSpan w:val="1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 of Stockholders’ Equity for the Nine Months Ended September 30, 2018</w:t>
              </w:r>
            </w:hyperlink>
          </w:p>
        </w:tc>
        <w:tc>
          <w:tcPr>
            <w:tcW w:w="58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tcBorders>
              <w:bottom w:val="single" w:sz="8" w:color="0000EE"/>
            </w:tcBorders>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Condensed Consolidated Statements of Cash Flows for the Nine Months Ended September 30, 2018 and 2017</w:t>
              </w:r>
            </w:hyperlink>
          </w:p>
        </w:tc>
        <w:tc>
          <w:tcPr>
            <w:tcW w:w="2040" w:type="dxa"/>
            <w:vAlign w:val="bottom"/>
            <w:gridSpan w:val="2"/>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Notes to Condensed Consolidated Financial Statements</w:t>
              </w:r>
            </w:hyperlink>
          </w:p>
        </w:tc>
        <w:tc>
          <w:tcPr>
            <w:tcW w:w="5580" w:type="dxa"/>
            <w:vAlign w:val="bottom"/>
            <w:gridSpan w:val="8"/>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24">
              <w:r>
                <w:rPr>
                  <w:rFonts w:ascii="Arial" w:cs="Arial" w:eastAsia="Arial" w:hAnsi="Arial"/>
                  <w:sz w:val="16"/>
                  <w:szCs w:val="16"/>
                  <w:color w:val="0000EE"/>
                  <w:w w:val="92"/>
                </w:rPr>
                <w:t>Management’s Discussion and Analysis of Financial Condition and Results of Operations</w:t>
              </w:r>
            </w:hyperlink>
          </w:p>
        </w:tc>
        <w:tc>
          <w:tcPr>
            <w:tcW w:w="3360" w:type="dxa"/>
            <w:vAlign w:val="bottom"/>
            <w:gridSpan w:val="5"/>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EE"/>
            </w:tcBorders>
            <w:gridSpan w:val="8"/>
          </w:tcPr>
          <w:p>
            <w:pPr>
              <w:spacing w:after="0"/>
              <w:rPr>
                <w:rFonts w:ascii="Arial" w:cs="Arial" w:eastAsia="Arial" w:hAnsi="Arial"/>
                <w:sz w:val="16"/>
                <w:szCs w:val="16"/>
                <w:color w:val="0000EE"/>
                <w:w w:val="93"/>
              </w:rPr>
            </w:pPr>
            <w:hyperlink w:anchor="page34">
              <w:r>
                <w:rPr>
                  <w:rFonts w:ascii="Arial" w:cs="Arial" w:eastAsia="Arial" w:hAnsi="Arial"/>
                  <w:sz w:val="16"/>
                  <w:szCs w:val="16"/>
                  <w:color w:val="0000EE"/>
                  <w:w w:val="93"/>
                </w:rPr>
                <w:t>Quantitative and Qualitative Disclosures About Market Risk</w:t>
              </w:r>
            </w:hyperlink>
          </w:p>
        </w:tc>
        <w:tc>
          <w:tcPr>
            <w:tcW w:w="5240" w:type="dxa"/>
            <w:vAlign w:val="bottom"/>
            <w:gridSpan w:val="6"/>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180" w:type="dxa"/>
            <w:vAlign w:val="bottom"/>
            <w:gridSpan w:val="1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Controls and Procedures</w:t>
              </w:r>
            </w:hyperlink>
          </w:p>
        </w:tc>
        <w:tc>
          <w:tcPr>
            <w:tcW w:w="114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5">
              <w:r>
                <w:rPr>
                  <w:rFonts w:ascii="Arial" w:cs="Arial" w:eastAsia="Arial" w:hAnsi="Arial"/>
                  <w:sz w:val="16"/>
                  <w:szCs w:val="16"/>
                  <w:color w:val="0000EE"/>
                  <w:w w:val="97"/>
                </w:rPr>
                <w:t>OTHER INFORMATION</w:t>
              </w:r>
            </w:hyperlink>
          </w:p>
        </w:tc>
        <w:tc>
          <w:tcPr>
            <w:tcW w:w="7480" w:type="dxa"/>
            <w:vAlign w:val="bottom"/>
            <w:gridSpan w:val="9"/>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Legal Proceedings</w:t>
              </w:r>
            </w:hyperlink>
          </w:p>
        </w:tc>
        <w:tc>
          <w:tcPr>
            <w:tcW w:w="7980" w:type="dxa"/>
            <w:vAlign w:val="bottom"/>
            <w:gridSpan w:val="11"/>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180" w:type="dxa"/>
            <w:vAlign w:val="bottom"/>
            <w:gridSpan w:val="1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Risk Factors</w:t>
              </w:r>
            </w:hyperlink>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5">
              <w:r>
                <w:rPr>
                  <w:rFonts w:ascii="Arial" w:cs="Arial" w:eastAsia="Arial" w:hAnsi="Arial"/>
                  <w:sz w:val="16"/>
                  <w:szCs w:val="16"/>
                  <w:color w:val="0000EE"/>
                  <w:w w:val="90"/>
                </w:rPr>
                <w:t>Unregistered Sales of Equity Securities and Use of Proceeds</w:t>
              </w:r>
            </w:hyperlink>
          </w:p>
        </w:tc>
        <w:tc>
          <w:tcPr>
            <w:tcW w:w="5260" w:type="dxa"/>
            <w:vAlign w:val="bottom"/>
            <w:gridSpan w:val="7"/>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180" w:type="dxa"/>
            <w:vAlign w:val="bottom"/>
            <w:gridSpan w:val="14"/>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Exhibits</w:t>
              </w:r>
            </w:hyperlink>
          </w:p>
        </w:tc>
        <w:tc>
          <w:tcPr>
            <w:tcW w:w="114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34</w:t>
              </w:r>
            </w:hyperlink>
          </w:p>
        </w:tc>
      </w:tr>
      <w:tr>
        <w:trPr>
          <w:trHeight w:val="358"/>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37">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35</w:t>
              </w:r>
            </w:hyperlink>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54,249</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19,832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21,660</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51,324</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4,269</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141,818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138,114</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27,144</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19,804</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$6,287 and $5,673</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192,627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192,659</w:t>
            </w:r>
          </w:p>
        </w:tc>
      </w:tr>
      <w:tr>
        <w:trPr>
          <w:trHeight w:val="67"/>
        </w:trPr>
        <w:tc>
          <w:tcPr>
            <w:tcW w:w="83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3,501</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7,357</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Compensation and benefits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19,075</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1,598</w:t>
            </w: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31,531</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1,717</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1,998</w:t>
            </w: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36,263</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w w:val="98"/>
              </w:rPr>
              <w:t>Common stock, $0.01 par value, authorized 25,000,000 shares, issued 10,196,635 and outstanding</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8300" w:type="dxa"/>
            <w:vAlign w:val="bottom"/>
          </w:tcPr>
          <w:p>
            <w:pPr>
              <w:jc w:val="center"/>
              <w:ind w:right="50"/>
              <w:spacing w:after="0"/>
              <w:rPr>
                <w:sz w:val="20"/>
                <w:szCs w:val="20"/>
                <w:color w:val="auto"/>
              </w:rPr>
            </w:pPr>
            <w:r>
              <w:rPr>
                <w:rFonts w:ascii="Arial" w:cs="Arial" w:eastAsia="Arial" w:hAnsi="Arial"/>
                <w:sz w:val="18"/>
                <w:szCs w:val="18"/>
                <w:color w:val="auto"/>
                <w:w w:val="88"/>
              </w:rPr>
              <w:t>9,018,436 shares at September 30, 2018; issued 9,980,827 and outstanding 8,899,587 shares at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00" w:type="dxa"/>
            <w:vAlign w:val="bottom"/>
          </w:tcPr>
          <w:p>
            <w:pPr>
              <w:ind w:left="68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191,062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179,241</w:t>
            </w:r>
          </w:p>
        </w:tc>
      </w:tr>
      <w:tr>
        <w:trPr>
          <w:trHeight w:val="243"/>
        </w:trPr>
        <w:tc>
          <w:tcPr>
            <w:tcW w:w="8300" w:type="dxa"/>
            <w:vAlign w:val="bottom"/>
          </w:tcPr>
          <w:p>
            <w:pPr>
              <w:ind w:left="500"/>
              <w:spacing w:after="0"/>
              <w:rPr>
                <w:sz w:val="20"/>
                <w:szCs w:val="20"/>
                <w:color w:val="auto"/>
              </w:rPr>
            </w:pPr>
            <w:r>
              <w:rPr>
                <w:rFonts w:ascii="Arial" w:cs="Arial" w:eastAsia="Arial" w:hAnsi="Arial"/>
                <w:sz w:val="18"/>
                <w:szCs w:val="18"/>
                <w:color w:val="auto"/>
                <w:w w:val="90"/>
              </w:rPr>
              <w:t>Treasury stock, at cost - 1,178,199 shares at September 30, 2018; 1,081,240 shares at December 31, 2017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(49,788)</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31,549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28,607</w:t>
            </w: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164,672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156,396</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192,627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192,659</w:t>
            </w:r>
          </w:p>
        </w:tc>
      </w:tr>
      <w:tr>
        <w:trPr>
          <w:trHeight w:val="27"/>
        </w:trPr>
        <w:tc>
          <w:tcPr>
            <w:tcW w:w="8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486" w:right="2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140" w:type="dxa"/>
            <w:vAlign w:val="bottom"/>
          </w:tcPr>
          <w:p>
            <w:pPr>
              <w:spacing w:after="0"/>
              <w:rPr>
                <w:sz w:val="17"/>
                <w:szCs w:val="17"/>
                <w:color w:val="auto"/>
              </w:rPr>
            </w:pPr>
          </w:p>
        </w:tc>
        <w:tc>
          <w:tcPr>
            <w:tcW w:w="2480" w:type="dxa"/>
            <w:vAlign w:val="bottom"/>
            <w:gridSpan w:val="4"/>
          </w:tcPr>
          <w:p>
            <w:pPr>
              <w:jc w:val="right"/>
              <w:ind w:right="71"/>
              <w:spacing w:after="0"/>
              <w:rPr>
                <w:sz w:val="20"/>
                <w:szCs w:val="20"/>
                <w:color w:val="auto"/>
              </w:rPr>
            </w:pPr>
            <w:r>
              <w:rPr>
                <w:rFonts w:ascii="Arial" w:cs="Arial" w:eastAsia="Arial" w:hAnsi="Arial"/>
                <w:sz w:val="15"/>
                <w:szCs w:val="15"/>
                <w:b w:val="1"/>
                <w:bCs w:val="1"/>
                <w:color w:val="auto"/>
                <w:w w:val="93"/>
              </w:rPr>
              <w:t>Nine Months Ended September 30,</w:t>
            </w:r>
          </w:p>
        </w:tc>
        <w:tc>
          <w:tcPr>
            <w:tcW w:w="0" w:type="dxa"/>
            <w:vAlign w:val="bottom"/>
          </w:tcPr>
          <w:p>
            <w:pPr>
              <w:spacing w:after="0"/>
              <w:rPr>
                <w:sz w:val="1"/>
                <w:szCs w:val="1"/>
                <w:color w:val="auto"/>
              </w:rPr>
            </w:pPr>
          </w:p>
        </w:tc>
      </w:tr>
      <w:tr>
        <w:trPr>
          <w:trHeight w:val="35"/>
        </w:trPr>
        <w:tc>
          <w:tcPr>
            <w:tcW w:w="5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58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73,619</w:t>
            </w:r>
          </w:p>
        </w:tc>
        <w:tc>
          <w:tcPr>
            <w:tcW w:w="0" w:type="dxa"/>
            <w:vAlign w:val="bottom"/>
          </w:tcPr>
          <w:p>
            <w:pPr>
              <w:spacing w:after="0"/>
              <w:rPr>
                <w:sz w:val="1"/>
                <w:szCs w:val="1"/>
                <w:color w:val="auto"/>
              </w:rPr>
            </w:pPr>
          </w:p>
        </w:tc>
      </w:tr>
      <w:tr>
        <w:trPr>
          <w:trHeight w:val="243"/>
        </w:trPr>
        <w:tc>
          <w:tcPr>
            <w:tcW w:w="58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23,570</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99,871</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Legal settlement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37"/>
        </w:trPr>
        <w:tc>
          <w:tcPr>
            <w:tcW w:w="5840" w:type="dxa"/>
            <w:vAlign w:val="bottom"/>
          </w:tcPr>
          <w:p>
            <w:pPr>
              <w:ind w:left="9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75,766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24,105</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Gain on sale of operations</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24,105</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19,530</w:t>
            </w:r>
          </w:p>
        </w:tc>
        <w:tc>
          <w:tcPr>
            <w:tcW w:w="0" w:type="dxa"/>
            <w:vAlign w:val="bottom"/>
          </w:tcPr>
          <w:p>
            <w:pPr>
              <w:spacing w:after="0"/>
              <w:rPr>
                <w:sz w:val="1"/>
                <w:szCs w:val="1"/>
                <w:color w:val="auto"/>
              </w:rPr>
            </w:pPr>
          </w:p>
        </w:tc>
      </w:tr>
      <w:tr>
        <w:trPr>
          <w:trHeight w:val="67"/>
        </w:trPr>
        <w:tc>
          <w:tcPr>
            <w:tcW w:w="58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58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8,402,697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8,171,809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8,359,088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8,136,350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8,598,230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8,420,749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8,561,918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8,350,926</w:t>
            </w:r>
          </w:p>
        </w:tc>
        <w:tc>
          <w:tcPr>
            <w:tcW w:w="0" w:type="dxa"/>
            <w:vAlign w:val="bottom"/>
          </w:tcPr>
          <w:p>
            <w:pPr>
              <w:spacing w:after="0"/>
              <w:rPr>
                <w:sz w:val="1"/>
                <w:szCs w:val="1"/>
                <w:color w:val="auto"/>
              </w:rPr>
            </w:pPr>
          </w:p>
        </w:tc>
      </w:tr>
      <w:tr>
        <w:trPr>
          <w:trHeight w:val="284"/>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34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 Par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5"/>
                <w:szCs w:val="15"/>
                <w:color w:val="auto"/>
              </w:rPr>
            </w:pPr>
          </w:p>
        </w:tc>
        <w:tc>
          <w:tcPr>
            <w:tcW w:w="96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8,899,587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156,396</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21,338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w w:val="99"/>
              </w:rPr>
              <w:t>Issuance of restricted stock, net of forfeitures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215,808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(18,396)</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11,658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 paid in shares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Restricted stock returned for payment of 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0" w:type="dxa"/>
            <w:vAlign w:val="bottom"/>
          </w:tcPr>
          <w:p>
            <w:pPr>
              <w:spacing w:after="0"/>
              <w:rPr>
                <w:sz w:val="1"/>
                <w:szCs w:val="1"/>
                <w:color w:val="auto"/>
              </w:rPr>
            </w:pPr>
          </w:p>
        </w:tc>
      </w:tr>
      <w:tr>
        <w:trPr>
          <w:trHeight w:val="244"/>
        </w:trPr>
        <w:tc>
          <w:tcPr>
            <w:tcW w:w="3220" w:type="dxa"/>
            <w:vAlign w:val="bottom"/>
          </w:tcPr>
          <w:p>
            <w:pPr>
              <w:ind w:left="40"/>
              <w:spacing w:after="0"/>
              <w:rPr>
                <w:sz w:val="20"/>
                <w:szCs w:val="20"/>
                <w:color w:val="auto"/>
              </w:rPr>
            </w:pPr>
            <w:r>
              <w:rPr>
                <w:rFonts w:ascii="Arial" w:cs="Arial" w:eastAsia="Arial" w:hAnsi="Arial"/>
                <w:sz w:val="16"/>
                <w:szCs w:val="16"/>
                <w:b w:val="1"/>
                <w:bCs w:val="1"/>
                <w:color w:val="auto"/>
              </w:rPr>
              <w:t>BALANCE, September 30, 2018</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9,018,436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191,062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(55,215)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31,549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164,672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43"/>
              <w:spacing w:after="0"/>
              <w:rPr>
                <w:sz w:val="20"/>
                <w:szCs w:val="20"/>
                <w:color w:val="auto"/>
              </w:rPr>
            </w:pPr>
            <w:r>
              <w:rPr>
                <w:rFonts w:ascii="Arial" w:cs="Arial" w:eastAsia="Arial" w:hAnsi="Arial"/>
                <w:sz w:val="16"/>
                <w:szCs w:val="16"/>
                <w:b w:val="1"/>
                <w:bCs w:val="1"/>
                <w:color w:val="auto"/>
              </w:rPr>
              <w:t>Nine Months Ended September 30,</w:t>
            </w:r>
          </w:p>
        </w:tc>
      </w:tr>
      <w:tr>
        <w:trPr>
          <w:trHeight w:val="47"/>
        </w:trPr>
        <w:tc>
          <w:tcPr>
            <w:tcW w:w="8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43"/>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Net income</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21,338</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17,092</w:t>
            </w:r>
          </w:p>
        </w:tc>
      </w:tr>
      <w:tr>
        <w:trPr>
          <w:trHeight w:val="25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Depreciation</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653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722</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intangible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1,449</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Unrealized (gains) losses on trading investments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(539)</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Stock based compensation expense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11,658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12,298</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1,481</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Gain on sale of operations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35"/>
        </w:trPr>
        <w:tc>
          <w:tcPr>
            <w:tcW w:w="8120" w:type="dxa"/>
            <w:vAlign w:val="bottom"/>
          </w:tcPr>
          <w:p>
            <w:pPr>
              <w:ind w:left="380"/>
              <w:spacing w:after="0"/>
              <w:rPr>
                <w:sz w:val="20"/>
                <w:szCs w:val="20"/>
                <w:color w:val="auto"/>
              </w:rPr>
            </w:pPr>
            <w:r>
              <w:rPr>
                <w:rFonts w:ascii="Arial" w:cs="Arial" w:eastAsia="Arial" w:hAnsi="Arial"/>
                <w:sz w:val="15"/>
                <w:szCs w:val="15"/>
                <w:color w:val="auto"/>
              </w:rPr>
              <w:t>Change in operating assets and liabilities: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
        </w:trPr>
        <w:tc>
          <w:tcPr>
            <w:tcW w:w="8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0"/>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sales (purchases) of investments - trading securities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(19,824)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8,931</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Accounts receivable</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1,537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1,686</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current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(3,881)</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Accounts payable and accrued liabilities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178</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Accrued litigation settlement</w:t>
            </w:r>
          </w:p>
        </w:tc>
        <w:tc>
          <w:tcPr>
            <w:tcW w:w="10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8,018</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Compensation and benefits payable</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(2,696)</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Income taxes payable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(5,181)</w:t>
            </w:r>
          </w:p>
        </w:tc>
      </w:tr>
      <w:tr>
        <w:trPr>
          <w:trHeight w:val="266"/>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Other liabilities</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provided by operating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15,070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39,447</w:t>
            </w:r>
          </w:p>
        </w:tc>
      </w:tr>
      <w:tr>
        <w:trPr>
          <w:trHeight w:val="215"/>
        </w:trPr>
        <w:tc>
          <w:tcPr>
            <w:tcW w:w="812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9"/>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property and equipment</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Proceeds from Omaha divestiture</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10,013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investments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46"/>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5"/>
                <w:szCs w:val="15"/>
                <w:color w:val="auto"/>
              </w:rPr>
              <w:t>Net cash provided by (used in) investing activities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3,912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w:t>
            </w:r>
          </w:p>
        </w:tc>
      </w:tr>
      <w:tr>
        <w:trPr>
          <w:trHeight w:val="24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Purchase of treasury stock under employee stock plans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(1,326)</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stock returned for payment of taxes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(5,231)</w:t>
            </w:r>
          </w:p>
        </w:tc>
      </w:tr>
      <w:tr>
        <w:trPr>
          <w:trHeight w:val="266"/>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Cash dividends paid</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(18,825)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(16,787)</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used in financing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(24,252)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(23,344)</w:t>
            </w:r>
          </w:p>
        </w:tc>
      </w:tr>
      <w:tr>
        <w:trPr>
          <w:trHeight w:val="24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currency rate changes on cash</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2,191</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17,757</w:t>
            </w:r>
          </w:p>
        </w:tc>
      </w:tr>
      <w:tr>
        <w:trPr>
          <w:trHeight w:val="24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54,249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33,679</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51,436</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2"/>
        </w:trPr>
        <w:tc>
          <w:tcPr>
            <w:tcW w:w="8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Supplemental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Cash paid during the period for income taxes</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5,634</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10,245</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dividends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8,161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ind w:left="280" w:right="27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ind w:right="340" w:firstLine="500"/>
        <w:spacing w:after="0" w:line="297"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closed on January 12, 2018. We received proceeds of $10.0 million, net of working capital requirements, and recorded a $524,000 gain on the sale, which is included as “Gain on sale of operations” on our Consolidated Statements of Comprehensive Income. The sale reduced goodwill and intangible assets but did not have a material impact on our Condensed Consolidated Balance Sheet. The following table presents cash proceeds received and net assets sold (in thousands):</w:t>
      </w:r>
    </w:p>
    <w:p>
      <w:pPr>
        <w:spacing w:after="0" w:line="250"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Gain on sale of operations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4" w:right="279" w:bottom="1440" w:gutter="0" w:footer="0" w:header="0"/>
        </w:sectPr>
      </w:pPr>
    </w:p>
    <w:bookmarkStart w:id="7" w:name="page8"/>
    <w:bookmarkEnd w:id="7"/>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2017,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which resulted from a joint project by the FASB and the International Accounting Standards Board to clarify the principles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recognizing revenue and to develop a common revenue standard for GAAP and International Financial Reporting Standards (“IFRS”). The ASU is effective for annual reporting periods beginning after December 15, 2017, including interim reporting periods within that reporting period. Retrospective application is required, with the entity either applying the change to each prior reporting period presented or applying the cumulative effect of each prior reporting period presented at the date of initial application. We adopted ASU 2014-09 effective January 1, 2018. See further discussion in Note 9 “Revenue.”</w:t>
      </w:r>
    </w:p>
    <w:p>
      <w:pPr>
        <w:spacing w:after="0" w:line="5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Amendments to SEC Paragraphs Pursuant to SEC Staff Accounting Bulletin No. 118</w:t>
      </w:r>
      <w:r>
        <w:rPr>
          <w:rFonts w:ascii="Arial" w:cs="Arial" w:eastAsia="Arial" w:hAnsi="Arial"/>
          <w:sz w:val="18"/>
          <w:szCs w:val="18"/>
          <w:color w:val="auto"/>
        </w:rPr>
        <w:t>, to address the application of U.S. GAAP in situations when a registrant does not have the necessary information available, prepared or analyzed (including computations) in reasonable detail to complete the accounting for certain income tax effects of the Tax Cuts and Jobs Act (“Tax Reform Act”). See further discussion in Note 11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lessees to recognize a lease</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liability and a right-of-use asset for all leases at the commencement date, excluding short-term leases. Leases will be classified as either financing or operating, with classification impacting the pattern of expense recognition in the income statement. The amendment is effective for fiscal years beginning after December 15, 2018, including interim periods within those fiscal years. We will adopt the standard as of January 1, 2019 under the modified retrospective approach, which allows for recording the cumulative effect of the adoption of the standard as an adjustment to beginning retained earnings. We will elect the package of practical expedients permitted under the transition guidance, which among other things, allows us to carry forward the historical lease classification and elect hindsight to determine certain lease terms for existing leases. We have evaluated our population of contracts subject to balance sheet recognition and estimate adoption will result in recognition of additional lease assets and net lease liabilities of approximately $8 million as of January 1, 2019 primarily related to the future minimum payments required under operating leases as disclosed in Note 13 “Commitments and Contingencies” to our Consolidated Financial Statements included in our Annual Report Form 10-K for the fiscal year ended December 31, 2017. The insignificant difference in the additional lease assets and net lease liabilities will be recorded as an adjustment to beginning retained earnings. We do not believe the standard will materially impact our Consolidated Statements of Comprehensive Income or Consolidated Statements of Cash Flows. Beginning with our Quarterly Report on Form 10-Q for the quarter ended March 31, 2019, we will add disclosures surrounding our leases, including lease cost disaggregation, weighted average remaining lease terms and weighted average discount rate used to determine our lease assets and liabilities. We have also analyzed our current business process and internal controls and anticipate implementing new procedures to successfully adopt the standard, particularly for identification of leases and evaluation of the discount rate.</w:t>
      </w:r>
    </w:p>
    <w:p>
      <w:pPr>
        <w:spacing w:after="0" w:line="7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purpose of this amendment is to simplify the accounting for share-based payments granted to nonemployees for goods and services by</w:t>
      </w:r>
      <w:r>
        <w:rPr>
          <w:rFonts w:ascii="Arial" w:cs="Arial" w:eastAsia="Arial" w:hAnsi="Arial"/>
          <w:sz w:val="17"/>
          <w:szCs w:val="17"/>
          <w:i w:val="1"/>
          <w:iCs w:val="1"/>
          <w:color w:val="auto"/>
        </w:rPr>
        <w:t xml:space="preserve"> </w:t>
      </w:r>
      <w:r>
        <w:rPr>
          <w:rFonts w:ascii="Arial" w:cs="Arial" w:eastAsia="Arial" w:hAnsi="Arial"/>
          <w:sz w:val="17"/>
          <w:szCs w:val="17"/>
          <w:color w:val="auto"/>
        </w:rPr>
        <w:t>aligning it with the accounting used for arrangements with employees. The amendments in this update are effective for public business entities for fiscal years beginning after December 15, 2018, including interim periods within that fiscal year. We do not expect the amendment to have a material impact on our Consolidated Financial Statements, and we plan to adopt the standard within the required time frame.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also adds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do not expect the amendment to have a material impact on our Consolidated Financial Statements, and we plan to adopt this amendment within the required time frame.</w:t>
      </w:r>
    </w:p>
    <w:p>
      <w:pPr>
        <w:spacing w:after="0" w:line="7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Goodwill and Other - Internal-Use Software (Topic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The purpose of this amendment is to align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5"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no anti-dilutive restricted shares outstanding for the three months ended September 30, 2018 and 2017. There were approximately 3,251 and 8,800 anti-dilutive restricted shares outstanding for the nine months ended September 30, 2018 and 2017,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66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21,338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17,092</w:t>
            </w:r>
          </w:p>
        </w:tc>
      </w:tr>
      <w:tr>
        <w:trPr>
          <w:trHeight w:val="29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8,402,697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8,171,809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8,359,088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8,136,350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potential shares from unvested restricted shares</w:t>
            </w:r>
          </w:p>
        </w:tc>
        <w:tc>
          <w:tcPr>
            <w:tcW w:w="1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195,533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248,940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202,830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214,576</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8,598,230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8,420,749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8,561,918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8,350,926</w:t>
            </w:r>
          </w:p>
        </w:tc>
      </w:tr>
      <w:tr>
        <w:trPr>
          <w:trHeight w:val="29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0.64</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2.05</w:t>
            </w:r>
          </w:p>
        </w:tc>
      </w:tr>
      <w:tr>
        <w:trPr>
          <w:trHeight w:val="27"/>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May 2018, we entered into a $5.0 million strategic investment in an equity position of a private company. As part of the agreement, we committed to an additional $5.0 million purchase of equity securities to be invested no later than August 31, 2018. Our intent was to offer this investment opportunity to our current and prospective clients, members of our Board of Directors and employees, but to the extent these parties did not invest the full $5.0 million, we were obligated to make an additional investment to cover any shortfall. Based on investments made by these parties during the third quarter of 2018, we were required to purchase an additional $425,000 of equity securities in the private company in August 2018. Our $5.4 million investment is included in “Investments” on our Condensed Consolidated Balance Sheets.</w:t>
      </w:r>
    </w:p>
    <w:p>
      <w:pPr>
        <w:spacing w:after="0" w:line="139" w:lineRule="exact"/>
        <w:rPr>
          <w:sz w:val="20"/>
          <w:szCs w:val="20"/>
          <w:color w:val="auto"/>
        </w:rPr>
      </w:pPr>
    </w:p>
    <w:p>
      <w:pPr>
        <w:ind w:right="260" w:firstLine="486"/>
        <w:spacing w:after="0" w:line="297" w:lineRule="auto"/>
        <w:rPr>
          <w:sz w:val="20"/>
          <w:szCs w:val="20"/>
          <w:color w:val="auto"/>
        </w:rPr>
      </w:pPr>
      <w:r>
        <w:rPr>
          <w:rFonts w:ascii="Arial" w:cs="Arial" w:eastAsia="Arial" w:hAnsi="Arial"/>
          <w:sz w:val="16"/>
          <w:szCs w:val="16"/>
          <w:color w:val="auto"/>
        </w:rPr>
        <w:t>As this investment represents a private company without a readily determinable fair value, the Company has elected to apply the measurement alternative of cost minus impairment, if any, plus or minus changes resulting from observable price changes. The Company will reassess whether our investment qualifies for the measurement alternative at each reporting period. In evaluating the investment for impairment or observable price changes, we will use inputs including recent financing events, as well as other available information regarding the private company's historical and forecasted performance. As of September 30, 2018, there were no observable price changes or indicators of impairment for this investment.</w:t>
      </w:r>
    </w:p>
    <w:p>
      <w:pPr>
        <w:spacing w:after="0" w:line="50"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color w:val="auto"/>
        </w:rPr>
        <w:t>All other investments are carried at fair value on a recurring basis and are accounted for as trading securities. Trading securities are presented in the table below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w w:val="94"/>
              </w:rPr>
              <w:t>Estimated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51,194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51,311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9,978</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9,333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9,714</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70,505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71,003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29,373</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9,736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9,736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funds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12,215</w:t>
            </w:r>
          </w:p>
        </w:tc>
        <w:tc>
          <w:tcPr>
            <w:tcW w:w="0" w:type="dxa"/>
            <w:vAlign w:val="bottom"/>
          </w:tcPr>
          <w:p>
            <w:pPr>
              <w:spacing w:after="0"/>
              <w:rPr>
                <w:sz w:val="1"/>
                <w:szCs w:val="1"/>
                <w:color w:val="auto"/>
              </w:rPr>
            </w:pPr>
          </w:p>
        </w:tc>
      </w:tr>
      <w:tr>
        <w:trPr>
          <w:trHeight w:val="223"/>
        </w:trPr>
        <w:tc>
          <w:tcPr>
            <w:tcW w:w="6540" w:type="dxa"/>
            <w:vAlign w:val="bottom"/>
          </w:tcPr>
          <w:p>
            <w:pPr>
              <w:ind w:left="72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50,681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51,324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As of September 30, 2018 and December 31, 2017, approximately $8.7 million and $10.7 million, respectively, in corporate funds were invested in Westwood Funds®, Westwood Common Trust Funds and Westwood Investment Funds Plc (the “UCITS Fund”). See Note 8 “Variable Interest Entities.”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right="40" w:firstLine="500"/>
        <w:spacing w:after="0" w:line="289" w:lineRule="auto"/>
        <w:rPr>
          <w:sz w:val="20"/>
          <w:szCs w:val="20"/>
          <w:color w:val="auto"/>
        </w:rPr>
      </w:pPr>
      <w:r>
        <w:rPr>
          <w:rFonts w:ascii="Arial" w:cs="Arial" w:eastAsia="Arial" w:hAnsi="Arial"/>
          <w:sz w:val="16"/>
          <w:szCs w:val="16"/>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mutual funds,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 Our strategic investment in a private company discussed in Note 4 “Investments” is excluded from the recurring fair value table shown below, as we have elected to apply the measurement alternative for this investment.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40" w:firstLine="500"/>
        <w:spacing w:after="0" w:line="258"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1" w:lineRule="exact"/>
        <w:rPr>
          <w:sz w:val="20"/>
          <w:szCs w:val="20"/>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02"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71"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Measured at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35"/>
              <w:spacing w:after="0"/>
              <w:rPr>
                <w:sz w:val="20"/>
                <w:szCs w:val="20"/>
                <w:color w:val="auto"/>
              </w:rPr>
            </w:pPr>
            <w:r>
              <w:rPr>
                <w:rFonts w:ascii="Arial" w:cs="Arial" w:eastAsia="Arial" w:hAnsi="Arial"/>
                <w:sz w:val="16"/>
                <w:szCs w:val="16"/>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68,567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2,436</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71,003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71,003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48,998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2,326</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51,324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51,324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40" w:right="40" w:hanging="5"/>
        <w:spacing w:after="0" w:line="286" w:lineRule="auto"/>
        <w:tabs>
          <w:tab w:leader="none" w:pos="27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Comprised of certain investments measured at fair value using net asset value (</w:t>
      </w:r>
      <w:r>
        <w:rPr>
          <w:rFonts w:ascii="Arial" w:cs="Arial" w:eastAsia="Arial" w:hAnsi="Arial"/>
          <w:sz w:val="18"/>
          <w:szCs w:val="18"/>
          <w:color w:val="auto"/>
        </w:rPr>
        <w:t>“</w:t>
      </w:r>
      <w:r>
        <w:rPr>
          <w:rFonts w:ascii="Arial" w:cs="Arial" w:eastAsia="Arial" w:hAnsi="Arial"/>
          <w:sz w:val="16"/>
          <w:szCs w:val="16"/>
          <w:color w:val="auto"/>
        </w:rPr>
        <w:t>NAV</w:t>
      </w:r>
      <w:r>
        <w:rPr>
          <w:rFonts w:ascii="Arial" w:cs="Arial" w:eastAsia="Arial" w:hAnsi="Arial"/>
          <w:sz w:val="18"/>
          <w:szCs w:val="18"/>
          <w:color w:val="auto"/>
        </w:rPr>
        <w:t>”</w:t>
      </w:r>
      <w:r>
        <w:rPr>
          <w:rFonts w:ascii="Arial" w:cs="Arial" w:eastAsia="Arial" w:hAnsi="Arial"/>
          <w:sz w:val="16"/>
          <w:szCs w:val="16"/>
          <w:color w:val="auto"/>
        </w:rPr>
        <w:t>) as a practical expedient. The fair value amounts presented in this table are intended to permit reconciliation of the fair value hierarchy to the amounts presented on our Condensed Consolidated Balance Sheets.</w:t>
      </w:r>
    </w:p>
    <w:p>
      <w:pPr>
        <w:spacing w:after="0" w:line="245" w:lineRule="exact"/>
        <w:rPr>
          <w:rFonts w:ascii="Arial" w:cs="Arial" w:eastAsia="Arial" w:hAnsi="Arial"/>
          <w:sz w:val="16"/>
          <w:szCs w:val="16"/>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2018 and determined that no impairment loss was required. No impairments on goodwill were recorded during the three or nine months ended September 30, 2018 or 2017.</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balance of Goodwill for the periods presented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6"/>
                <w:szCs w:val="16"/>
                <w:b w:val="1"/>
                <w:bCs w:val="1"/>
                <w:color w:val="auto"/>
              </w:rPr>
              <w:t>Goodwill</w:t>
            </w:r>
          </w:p>
        </w:tc>
      </w:tr>
      <w:tr>
        <w:trPr>
          <w:trHeight w:val="33"/>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27,144</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Omaha divestiture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(7,340)</w:t>
            </w:r>
          </w:p>
        </w:tc>
      </w:tr>
      <w:tr>
        <w:trPr>
          <w:trHeight w:val="27"/>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19,804</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or nine months ended September 30, 2018 or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balance of Intangible assets, net for the periods presented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9"/>
              </w:rPr>
              <w:t>Intangible assets, net</w:t>
            </w:r>
          </w:p>
        </w:tc>
        <w:tc>
          <w:tcPr>
            <w:tcW w:w="0" w:type="dxa"/>
            <w:vAlign w:val="bottom"/>
          </w:tcPr>
          <w:p>
            <w:pPr>
              <w:spacing w:after="0"/>
              <w:rPr>
                <w:sz w:val="1"/>
                <w:szCs w:val="1"/>
                <w:color w:val="auto"/>
              </w:rPr>
            </w:pPr>
          </w:p>
        </w:tc>
      </w:tr>
      <w:tr>
        <w:trPr>
          <w:trHeight w:val="33"/>
        </w:trPr>
        <w:tc>
          <w:tcPr>
            <w:tcW w:w="10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19,804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75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Omaha divestiture </w:t>
            </w:r>
            <w:r>
              <w:rPr>
                <w:rFonts w:ascii="Arial" w:cs="Arial" w:eastAsia="Arial" w:hAnsi="Arial"/>
                <w:sz w:val="25"/>
                <w:szCs w:val="25"/>
                <w:color w:val="auto"/>
                <w:vertAlign w:val="superscript"/>
              </w:rPr>
              <w:t>(1)</w:t>
            </w:r>
          </w:p>
        </w:tc>
        <w:tc>
          <w:tcPr>
            <w:tcW w:w="6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(2,170)</w:t>
            </w:r>
          </w:p>
        </w:tc>
        <w:tc>
          <w:tcPr>
            <w:tcW w:w="0" w:type="dxa"/>
            <w:vAlign w:val="bottom"/>
          </w:tcPr>
          <w:p>
            <w:pPr>
              <w:spacing w:after="0"/>
              <w:rPr>
                <w:sz w:val="1"/>
                <w:szCs w:val="1"/>
                <w:color w:val="auto"/>
              </w:rPr>
            </w:pPr>
          </w:p>
        </w:tc>
      </w:tr>
      <w:tr>
        <w:trPr>
          <w:trHeight w:val="244"/>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2018</w:t>
            </w: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16,379</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_____________________</w:t>
            </w: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4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4"/>
                <w:szCs w:val="14"/>
                <w:color w:val="auto"/>
              </w:rPr>
              <w:t>(1)  Related to client relationships</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7. STOCKHOLDERS' EQUITY</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w w:val="98"/>
              </w:rPr>
              <w:t>The components of Accumulated other comprehensive loss were as follows (in thousands):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As of September 30, 2018</w:t>
            </w:r>
          </w:p>
        </w:tc>
        <w:tc>
          <w:tcPr>
            <w:tcW w:w="60" w:type="dxa"/>
            <w:vAlign w:val="bottom"/>
          </w:tcPr>
          <w:p>
            <w:pPr>
              <w:spacing w:after="0"/>
              <w:rPr>
                <w:sz w:val="24"/>
                <w:szCs w:val="24"/>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2"/>
              </w:rPr>
              <w:t>As of December 31, 2017</w:t>
            </w: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75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(2,826)</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5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 xml:space="preserve">We have evaluated (i) our advisory relationships with the UCITS Fund and the Westwood Funds®, (ii) our relationship as sponsor of the Common Trust Funds (“CTFs”) and managing member of the private equity funds Westwood Hospitality Fund I, LLC and Westwood Technology Fund LP (collectively the “Private Equity Funds”) and (iii) the private company discussed in Note 4 </w:t>
      </w:r>
      <w:r>
        <w:rPr>
          <w:rFonts w:ascii="Arial" w:cs="Arial" w:eastAsia="Arial" w:hAnsi="Arial"/>
          <w:sz w:val="16"/>
          <w:szCs w:val="16"/>
          <w:color w:val="222222"/>
        </w:rPr>
        <w:t>“Investments”</w:t>
      </w:r>
      <w:r>
        <w:rPr>
          <w:rFonts w:ascii="Arial" w:cs="Arial" w:eastAsia="Arial" w:hAnsi="Arial"/>
          <w:sz w:val="16"/>
          <w:szCs w:val="16"/>
          <w:color w:val="auto"/>
        </w:rPr>
        <w:t xml:space="preserve"> (“Private Equity”) to determine whether each of these entities is a variable interest entity (“VIE”) or voting ownership entity (“VOE”). Based on our analysis, we determined that the CTFs and Private Equity Funds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Prior to the sale of our Omaha-based operations, we also considered our advisory relationship with ten limited liability companies (“LLCs”) as VIEs, but as of September 30, 2018, we no longer serve as the managing member of the funds and do not control the activities that most significantly impact the entities' economic performance. Therefore these LLCs are no longer considered VIEs. Although we have related parties on the UCITS Fund board of directors, the shareholders have rights to remove the current directors by a simple majority vote and so we determined that the UCITS Fund is not a VIE. As the Company and its representatives do not have representation on the Westwood Funds® or the Private Equity independent boards of directors, which direct the activities that most significantly impact the entities' economic performance, we determined that the Westwood Funds® and the Private Equity were not VIEs. Therefore, the UCITS Fund, Westwood Funds® and Private Equity should be analyzed under the VOE consolidation method. Based on our analysis of our investments in these entities for the periods ending September 30, 2018 and December 31, 2017, we have not consolidated the CTFs, Private Equity Funds or LLCs under the VIE method or the UCITS Fund, Westwood Funds® or Private Equity under the VOE method, and therefore the financial results of these entities are not included in the Company’s consolidated financial results.</w:t>
      </w:r>
    </w:p>
    <w:p>
      <w:pPr>
        <w:spacing w:after="0" w:line="70"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As of September 30, 2018 and December 31, 2017, our seed investments aggregated approximately $8.7 million and $10.7 million, respectively, in the CTFs, the Westwood Funds and the UCITS Fund. The seed investments were provided for the sole purpose of showing the economic substance needed to establish the funds or sub-funds. The Company's seed investments in these funds are included in “Investments, at fair value” on our Condensed Consolidated Balance Sheets.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UCITS Fund and the CTFs are accounted for as investments in accordance with our other investments described in Note 4 “Investments.” We recognized fee revenue from the Westwood VIEs and Westwood VOEs of approximately $11.7 million and $13.2 million for the three months ended September 30, 2018 and 2017, respectively. We recognized fee revenue from the Westwood VIEs and Westwood VOEs of approximately $36.3 million and $39.1 million for the nine months ended September 30, 2018 and 2017, respectively.</w:t>
      </w:r>
    </w:p>
    <w:p>
      <w:pPr>
        <w:spacing w:after="0" w:line="139"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table displays the assets under management, the amounts of our seed investments included in “Investments” on our consolidated balance sheets, and the risk of loss in each vehicle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gridSpan w:val="6"/>
          </w:tcPr>
          <w:p>
            <w:pPr>
              <w:jc w:val="center"/>
              <w:ind w:right="15"/>
              <w:spacing w:after="0"/>
              <w:rPr>
                <w:sz w:val="20"/>
                <w:szCs w:val="20"/>
                <w:color w:val="auto"/>
              </w:rPr>
            </w:pPr>
            <w:r>
              <w:rPr>
                <w:rFonts w:ascii="Arial" w:cs="Arial" w:eastAsia="Arial" w:hAnsi="Arial"/>
                <w:sz w:val="16"/>
                <w:szCs w:val="16"/>
                <w:b w:val="1"/>
                <w:bCs w:val="1"/>
                <w:color w:val="auto"/>
                <w:w w:val="90"/>
              </w:rPr>
              <w:t>As of September 30, 2018</w:t>
            </w:r>
          </w:p>
        </w:tc>
        <w:tc>
          <w:tcPr>
            <w:tcW w:w="13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3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6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36"/>
              <w:spacing w:after="0"/>
              <w:rPr>
                <w:sz w:val="20"/>
                <w:szCs w:val="20"/>
                <w:color w:val="auto"/>
              </w:rPr>
            </w:pPr>
            <w:r>
              <w:rPr>
                <w:rFonts w:ascii="Arial" w:cs="Arial" w:eastAsia="Arial" w:hAnsi="Arial"/>
                <w:sz w:val="16"/>
                <w:szCs w:val="16"/>
                <w:b w:val="1"/>
                <w:bCs w:val="1"/>
                <w:color w:val="auto"/>
                <w:w w:val="95"/>
              </w:rPr>
              <w:t>Under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Management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320" w:type="dxa"/>
            <w:vAlign w:val="bottom"/>
          </w:tcPr>
          <w:p>
            <w:pPr>
              <w:jc w:val="right"/>
              <w:ind w:right="95"/>
              <w:spacing w:after="0"/>
              <w:rPr>
                <w:sz w:val="20"/>
                <w:szCs w:val="20"/>
                <w:color w:val="auto"/>
              </w:rPr>
            </w:pPr>
            <w:r>
              <w:rPr>
                <w:rFonts w:ascii="Arial" w:cs="Arial" w:eastAsia="Arial" w:hAnsi="Arial"/>
                <w:sz w:val="16"/>
                <w:szCs w:val="16"/>
                <w:b w:val="1"/>
                <w:bCs w:val="1"/>
                <w:color w:val="auto"/>
                <w:w w:val="95"/>
              </w:rPr>
              <w:t>Amount at Risk</w:t>
            </w:r>
          </w:p>
        </w:tc>
      </w:tr>
      <w:tr>
        <w:trPr>
          <w:trHeight w:val="33"/>
        </w:trPr>
        <w:tc>
          <w:tcPr>
            <w:tcW w:w="6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Westwood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4,031</w:t>
            </w:r>
          </w:p>
        </w:tc>
        <w:tc>
          <w:tcPr>
            <w:tcW w:w="4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Trust Funds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UCITS Fund</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Private Equity Funds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w:t>
            </w: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Private Wealth</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Institutional</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23"/>
        </w:trPr>
        <w:tc>
          <w:tcPr>
            <w:tcW w:w="676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20,800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
        </w:trPr>
        <w:tc>
          <w:tcPr>
            <w:tcW w:w="6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ASC 2014-09 </w:t>
      </w:r>
      <w:r>
        <w:rPr>
          <w:rFonts w:ascii="Arial" w:cs="Arial" w:eastAsia="Arial" w:hAnsi="Arial"/>
          <w:sz w:val="18"/>
          <w:szCs w:val="18"/>
          <w:b w:val="1"/>
          <w:bCs w:val="1"/>
          <w:i w:val="1"/>
          <w:iCs w:val="1"/>
          <w:color w:val="auto"/>
        </w:rPr>
        <w:t>Revenue from Contracts with Customers (Topic 606)</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January 1, 2018, we adopted ASU 2016-10 using the modified retrospective method applied to those contracts that were not completed as</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Topic 606 while prior period amounts continue to be reported in accordance with our historic accounting under Topic 605.</w:t>
      </w:r>
    </w:p>
    <w:p>
      <w:pPr>
        <w:spacing w:after="0" w:line="7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We analyzed the revenue from prior periods and determined no material adjustments to opening retained earnings were necessary as the updated guidance is consistent with our historical revenue recognition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current calendar quarter. Once clients receive our investment advisory services we have an enforceable right to payment.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7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12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Institutional investors include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1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private wealth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7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susceptible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14,426</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17,610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46,815</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51,263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22,356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Private Wealth</w:t>
            </w:r>
          </w:p>
        </w:tc>
        <w:tc>
          <w:tcPr>
            <w:tcW w:w="1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Trust Fees</w:t>
            </w:r>
          </w:p>
        </w:tc>
        <w:tc>
          <w:tcPr>
            <w:tcW w:w="1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7,191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22,265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23,570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1,265</w:t>
            </w:r>
          </w:p>
        </w:tc>
      </w:tr>
      <w:tr>
        <w:trPr>
          <w:trHeight w:val="244"/>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29,854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33,492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96,181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99,871</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clients in various locations around the world. The following table presents our revenue disaggregated by our clients' geographical locations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60" w:type="dxa"/>
            <w:vAlign w:val="bottom"/>
          </w:tcPr>
          <w:p>
            <w:pPr>
              <w:spacing w:after="0"/>
              <w:rPr>
                <w:sz w:val="18"/>
                <w:szCs w:val="18"/>
                <w:color w:val="auto"/>
              </w:rPr>
            </w:pPr>
          </w:p>
        </w:tc>
        <w:tc>
          <w:tcPr>
            <w:tcW w:w="1160" w:type="dxa"/>
            <w:vAlign w:val="bottom"/>
          </w:tcPr>
          <w:p>
            <w:pPr>
              <w:jc w:val="right"/>
              <w:ind w:right="315"/>
              <w:spacing w:after="0"/>
              <w:rPr>
                <w:sz w:val="20"/>
                <w:szCs w:val="20"/>
                <w:color w:val="auto"/>
              </w:rPr>
            </w:pPr>
            <w:r>
              <w:rPr>
                <w:rFonts w:ascii="Arial" w:cs="Arial" w:eastAsia="Arial" w:hAnsi="Arial"/>
                <w:sz w:val="16"/>
                <w:szCs w:val="16"/>
                <w:b w:val="1"/>
                <w:bCs w:val="1"/>
                <w:color w:val="auto"/>
              </w:rPr>
              <w:t>Advisory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853</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927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1,249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17,287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25,080</w:t>
            </w: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22,023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7,191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29,854</w:t>
            </w:r>
          </w:p>
        </w:tc>
      </w:tr>
      <w:tr>
        <w:trPr>
          <w:trHeight w:val="311"/>
        </w:trPr>
        <w:tc>
          <w:tcPr>
            <w:tcW w:w="4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3,520</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3,520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2,923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5,301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3,839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3,839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54,520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80,598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69,979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22,265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953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96,181</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944</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2,735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946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19,576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27,218</w:t>
            </w: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25,334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7,858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33,492</w:t>
            </w:r>
          </w:p>
        </w:tc>
      </w:tr>
      <w:tr>
        <w:trPr>
          <w:trHeight w:val="311"/>
        </w:trPr>
        <w:tc>
          <w:tcPr>
            <w:tcW w:w="4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4,696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2,371</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7,089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3,065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3,065</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57,136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82,650</w:t>
            </w:r>
          </w:p>
        </w:tc>
      </w:tr>
      <w:tr>
        <w:trPr>
          <w:trHeight w:val="244"/>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73,619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23,570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1,265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99,871</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We have issued restricted shares to our employees and non-employee directors. The Fifth Amended and Restated Westwood Holdings Group, Inc. Stock Incentive Plan (the “Plan”) reserves shares of Westwood common stock for issuance to eligible employees, directors and consultants of Westwood or its subsidiaries in the form of restricted stock. In April 2018, stockholders approved an additional 200,000 shares to be authorized under the Plan, increasing the total number of shares issuable under the Plan (including predecessor plans to the Plan) to 4,848,100 shares. At September 30, 2018, approximately 409,000 shares remain available for issuance under the Plan.</w:t>
      </w:r>
    </w:p>
    <w:p>
      <w:pPr>
        <w:spacing w:after="0" w:line="188"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96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5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8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r>
      <w:tr>
        <w:trPr>
          <w:trHeight w:val="33"/>
        </w:trPr>
        <w:tc>
          <w:tcPr>
            <w:tcW w:w="5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condition stock-based compensation expense</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2,434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7,828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Performance condition stock-based compensation expense</w:t>
            </w:r>
          </w:p>
        </w:tc>
        <w:tc>
          <w:tcPr>
            <w:tcW w:w="88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w w:val="89"/>
              </w:rPr>
              <w:t>1,107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3,949</w:t>
            </w:r>
          </w:p>
        </w:tc>
      </w:tr>
      <w:tr>
        <w:trPr>
          <w:trHeight w:val="27"/>
        </w:trPr>
        <w:tc>
          <w:tcPr>
            <w:tcW w:w="5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under the Plan</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3,541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11,777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Canadian Plan stock-based compensation expense</w:t>
            </w:r>
          </w:p>
        </w:tc>
        <w:tc>
          <w:tcPr>
            <w:tcW w:w="88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521</w:t>
            </w:r>
          </w:p>
        </w:tc>
      </w:tr>
      <w:tr>
        <w:trPr>
          <w:trHeight w:val="27"/>
        </w:trPr>
        <w:tc>
          <w:tcPr>
            <w:tcW w:w="5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12,298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As of September 30, 2018, there was approximately $23.8 million of unrecognized compensation cost for restricted stock grants under the Plan, which we expect to recognize over a weighted-average period of 2.2 years. Our two types of restricted stock grants under the Plan are discussed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7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only to a service condition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60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519,375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55.44</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172,366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55.92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53.49</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7"/>
                <w:szCs w:val="17"/>
                <w:color w:val="auto"/>
              </w:rPr>
              <w:t>(29,229)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56.55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September 30, 2018</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459,008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March 2018, the Compensation Committee established the fiscal 2018 goal for our Chief Executive Officer and Chief Investment Officer as Income before income taxes of $20.0 million for 50% of their respective awards and an Income before income taxes target of $36.0 million (ranging from 25% of target for threshold performance of $32.0 million to 185% of target for maximum performance of $44.5 million) for the remaining 50% of their respective awards. For certain other key employees, the Compensation Committee established fiscal 2018 goals based on various departmental and company-wide performance goals, including Income before income taxes of at least $20.0 million. During the first nine months of 2018, we recorded expense related to the applicable percentage of the performance-based restricted shares expected to meet or exceed the performance goals needed to earn the shares.</w:t>
      </w:r>
    </w:p>
    <w:p>
      <w:pPr>
        <w:spacing w:after="0" w:line="11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nine months ended September 30,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00" w:type="dxa"/>
            <w:vAlign w:val="bottom"/>
            <w:vMerge w:val="restart"/>
          </w:tcPr>
          <w:p>
            <w:pPr>
              <w:jc w:val="right"/>
              <w:ind w:right="477"/>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4020" w:type="dxa"/>
            <w:vAlign w:val="bottom"/>
            <w:tcBorders>
              <w:bottom w:val="single" w:sz="8" w:color="CCEEFF"/>
            </w:tcBorders>
          </w:tcPr>
          <w:p>
            <w:pPr>
              <w:spacing w:after="0"/>
              <w:rPr>
                <w:sz w:val="17"/>
                <w:szCs w:val="17"/>
                <w:color w:val="auto"/>
              </w:rPr>
            </w:pPr>
          </w:p>
        </w:tc>
        <w:tc>
          <w:tcPr>
            <w:tcW w:w="40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56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165,918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ind w:right="37"/>
              <w:spacing w:after="0"/>
              <w:rPr>
                <w:sz w:val="20"/>
                <w:szCs w:val="20"/>
                <w:color w:val="auto"/>
              </w:rPr>
            </w:pPr>
            <w:r>
              <w:rPr>
                <w:rFonts w:ascii="Arial" w:cs="Arial" w:eastAsia="Arial" w:hAnsi="Arial"/>
                <w:sz w:val="17"/>
                <w:szCs w:val="17"/>
                <w:color w:val="auto"/>
              </w:rPr>
              <w:t>84,829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55.46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(98,281)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00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September 30, 2018</w:t>
            </w:r>
          </w:p>
        </w:tc>
        <w:tc>
          <w:tcPr>
            <w:tcW w:w="56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152,466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134"/>
              <w:spacing w:after="0"/>
              <w:rPr>
                <w:sz w:val="20"/>
                <w:szCs w:val="20"/>
                <w:color w:val="auto"/>
              </w:rPr>
            </w:pPr>
            <w:r>
              <w:rPr>
                <w:rFonts w:ascii="Arial" w:cs="Arial" w:eastAsia="Arial" w:hAnsi="Arial"/>
                <w:sz w:val="18"/>
                <w:szCs w:val="18"/>
                <w:color w:val="auto"/>
              </w:rPr>
              <w:t>15</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75"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($7.7 million in U.S. Dollars using the exchange rate on September 30, 2018) may be funded to the plan trustee for purchases of common stock with respect to awards granted under the Canadian Plan. At September 30, 2018, approximately $3.5 million CDN ($2.7 million in U.S. Dollars using the exchange rate on September 30, 2018) remains available for issuance under the Canadian Plan, or approximately 52,064 shares based on the closing share price of our stock of $51.74 as of September 30, 2018. During the first nine months of 2018, the trust formed pursuant to the Canadian Plan purchased in the open market 13,031 Westwood common shares for approximately $726,000. As of September 30, 2018, the trust holds 46,358 shares of Westwood common stock. As of September 30, 2018, unrecognized compensation cost related to restricted stock grants under the Canadian Plan totaled $0.8 million, which we expect to recognize over a weighted-average period of 1.8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 xml:space="preserve">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w:t>
      </w:r>
      <w:r>
        <w:rPr>
          <w:rFonts w:ascii="Arial" w:cs="Arial" w:eastAsia="Arial" w:hAnsi="Arial"/>
          <w:sz w:val="18"/>
          <w:szCs w:val="18"/>
          <w:color w:val="222222"/>
        </w:rPr>
        <w:t>The investment may increase or decrease based on changes in the value of the mutual fund shares awarded, including</w:t>
      </w:r>
      <w:r>
        <w:rPr>
          <w:rFonts w:ascii="Arial" w:cs="Arial" w:eastAsia="Arial" w:hAnsi="Arial"/>
          <w:sz w:val="18"/>
          <w:szCs w:val="18"/>
          <w:color w:val="auto"/>
        </w:rPr>
        <w:t xml:space="preserve"> </w:t>
      </w:r>
      <w:r>
        <w:rPr>
          <w:rFonts w:ascii="Arial" w:cs="Arial" w:eastAsia="Arial" w:hAnsi="Arial"/>
          <w:sz w:val="18"/>
          <w:szCs w:val="18"/>
          <w:color w:val="222222"/>
        </w:rPr>
        <w:t xml:space="preserve">reinvested income from the mutual funds during the vesting period. </w:t>
      </w:r>
      <w:r>
        <w:rPr>
          <w:rFonts w:ascii="Arial" w:cs="Arial" w:eastAsia="Arial" w:hAnsi="Arial"/>
          <w:sz w:val="18"/>
          <w:szCs w:val="18"/>
          <w:color w:val="000000"/>
        </w:rPr>
        <w:t>Unvested mutual fund awards are included under</w:t>
      </w:r>
      <w:r>
        <w:rPr>
          <w:rFonts w:ascii="Arial" w:cs="Arial" w:eastAsia="Arial" w:hAnsi="Arial"/>
          <w:sz w:val="18"/>
          <w:szCs w:val="18"/>
          <w:color w:val="222222"/>
        </w:rPr>
        <w:t xml:space="preserve"> “Investments, at fair value” on our Condensed Consolidated Balance Sheets.</w:t>
      </w:r>
    </w:p>
    <w:p>
      <w:pPr>
        <w:spacing w:after="0" w:line="85"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September 30, 2018 and 2017, we recorded expense of approximately $89,000 and $281,000, respectively, related to mutual fund share incentive awards. For the nine months ended September 30, 2018 and 2017, we recorded expense of approximately $274,000 and $819,000, respectively, related to mutual fund share incentive awards. As of September 30, 2018 and December 31, 2017, we had an accrued liability of approximately $606,000 and $1.8 million, respectively, related to mutual fund share incentive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INCOME TAXES</w:t>
      </w:r>
    </w:p>
    <w:p>
      <w:pPr>
        <w:spacing w:after="0" w:line="175"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Our effective income tax rate was 24.9% for the third quarter of 2018, compared with 28.2% for the third quarter of 2017. The current quarter rate benefited from the decrease in the U.S. corporate income tax rate under the Tax Cuts and Jobs Act signed into law in December 2017, partially offset by tax expense of $251,000 related to completion of a state tax audit, while the prior year quarter benefited from the tax impact of our legal settlement with AGF.</w:t>
      </w:r>
    </w:p>
    <w:p>
      <w:pPr>
        <w:spacing w:after="0" w:line="9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 xml:space="preserve">Our effective income tax rate was 25.3% for the nine months ended September 30, 2018, compared with 29.1% for the nine months ended September 30, 2017. The current year-to-date rate benefited from the decrease in the U.S. corporate income tax rate under the Tax Cuts and Jobs Act signed into law in December 2017, partially offset by tax expense related to completion of a state tax audit, while the first nine months of 2017 benefited from the tax impact of our legal settlement with AGF and included a $1.0 million tax benefit related to the adoption of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Improvements to Employee Share-Based Payment Accounting</w:t>
      </w:r>
      <w:r>
        <w:rPr>
          <w:rFonts w:ascii="Arial" w:cs="Arial" w:eastAsia="Arial" w:hAnsi="Arial"/>
          <w:sz w:val="18"/>
          <w:szCs w:val="18"/>
          <w:color w:val="auto"/>
        </w:rPr>
        <w:t>. Excluding this discrete tax benefit, our effective tax rate would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33.0% for the nine months ended September 30, 2017.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 Act</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During 2017, we provisionally recognized the incremental tax impacts related to deemed repatriated earnings and the revaluation of deferred tax assets and liabilities and included these amounts in our Consolidated Financial Statements for the year ended December 31, 2017. We completed the accounting for our 2017 U.S. corporate income tax return in the third quarter of 2018 and made no significant changes to the amounts provisionally recognized.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is subject to taxation in the United States and various state and foreign jurisdictions, and during the first nine months of 2018, our 2014 tax return was audited in a state jurisdiction in which we operate. The audit was completed in September 2018, and we recorded and paid income taxes and interest expense of $251,000 and $81,000, respectively, during the third quarter of 2018, which are included within “Provision for income taxes” and “General and administrative expenses,” respectively, in our Condensed Consolidated Statements of Comprehensive Income. No penalties were assessed by the 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75"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For the three months ended September 30, 2018 and 2017, we recorded trust fees from these accounts of $89,000 and $92,000, respectively. For the nine months ended September 30, 2018 and 2017, we recorded trust fees from these accounts of $276,000 and $277,000, respectively. There was $89,000 and $98,000 due from these accounts as of September 30, 2018 and December 31, 2017, respectively.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222222"/>
        </w:rPr>
        <w:t xml:space="preserve">The Company engages in transactions with its affiliates in the ordinary course of business. Westwood International and </w:t>
      </w:r>
      <w:r>
        <w:rPr>
          <w:rFonts w:ascii="Arial" w:cs="Arial" w:eastAsia="Arial" w:hAnsi="Arial"/>
          <w:sz w:val="17"/>
          <w:szCs w:val="17"/>
          <w:color w:val="000000"/>
        </w:rPr>
        <w:t>Westwood Management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22222"/>
        </w:rPr>
        <w:t>provide investment advisory services to the UCITS Fund and the Westwood Funds®. Certain members of our management serve on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the UCITS Fund, and we have capital invested in three of the Westwood Funds®. Under the terms of the investment advisory agreements, the Company earns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quarterly fees paid by clients of the fund or by the funds directly. The fees are based on negotiated fee schedules applied to assets under management.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fees are commensurate with market rates. For the three months ended September 30, 2018 and 2017, the Company earned approximately $1.0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$1.1 million, respectively, in fees from the affiliated funds. For the nine months ended September 30, 2018 and 2017, the Company earned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$3.3 million and $2.8 million, respectively, in fees from the affiliated funds. These fees do not include fees paid directly to Westwood International by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22222"/>
        </w:rPr>
        <w:t>clients invested in the UCITS Fund that have an investment management agreement with Westwood International. As of September 30, 2018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222222"/>
        </w:rPr>
        <w:t>December 31, 2017, $329,000 and $423,000, respectively, of these fees were outstanding and included in “Accounts receivable” on our Condensed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22222"/>
        </w:rPr>
        <w:t>Consolidated Balance Sheets.</w:t>
      </w:r>
    </w:p>
    <w:p>
      <w:pPr>
        <w:spacing w:after="0" w:line="103" w:lineRule="exact"/>
        <w:rPr>
          <w:sz w:val="20"/>
          <w:szCs w:val="20"/>
          <w:color w:val="auto"/>
        </w:rPr>
      </w:pPr>
    </w:p>
    <w:p>
      <w:pPr>
        <w:ind w:right="200" w:firstLine="500"/>
        <w:spacing w:after="0" w:line="276" w:lineRule="auto"/>
        <w:rPr>
          <w:sz w:val="20"/>
          <w:szCs w:val="20"/>
          <w:color w:val="auto"/>
        </w:rPr>
      </w:pPr>
      <w:r>
        <w:rPr>
          <w:rFonts w:ascii="Arial" w:cs="Arial" w:eastAsia="Arial" w:hAnsi="Arial"/>
          <w:sz w:val="17"/>
          <w:szCs w:val="17"/>
          <w:color w:val="222222"/>
        </w:rPr>
        <w:t xml:space="preserve">As discussed in Note 4 “Investments,” the Company made a strategic investment in </w:t>
      </w:r>
      <w:r>
        <w:rPr>
          <w:rFonts w:ascii="Arial" w:cs="Arial" w:eastAsia="Arial" w:hAnsi="Arial"/>
          <w:sz w:val="17"/>
          <w:szCs w:val="17"/>
          <w:color w:val="000000"/>
        </w:rPr>
        <w:t>an equity position of a private company during the second and</w:t>
      </w:r>
      <w:r>
        <w:rPr>
          <w:rFonts w:ascii="Arial" w:cs="Arial" w:eastAsia="Arial" w:hAnsi="Arial"/>
          <w:sz w:val="17"/>
          <w:szCs w:val="17"/>
          <w:color w:val="222222"/>
        </w:rPr>
        <w:t xml:space="preserve"> </w:t>
      </w:r>
      <w:r>
        <w:rPr>
          <w:rFonts w:ascii="Arial" w:cs="Arial" w:eastAsia="Arial" w:hAnsi="Arial"/>
          <w:sz w:val="17"/>
          <w:szCs w:val="17"/>
          <w:color w:val="000000"/>
        </w:rPr>
        <w:t>third quarters of 2018</w:t>
      </w:r>
      <w:r>
        <w:rPr>
          <w:rFonts w:ascii="Arial" w:cs="Arial" w:eastAsia="Arial" w:hAnsi="Arial"/>
          <w:sz w:val="17"/>
          <w:szCs w:val="17"/>
          <w:color w:val="222222"/>
        </w:rPr>
        <w:t>. We previously entered into a separate agreement with this private company to implement a portfolio management product. For the</w:t>
      </w:r>
      <w:r>
        <w:rPr>
          <w:rFonts w:ascii="Arial" w:cs="Arial" w:eastAsia="Arial" w:hAnsi="Arial"/>
          <w:sz w:val="17"/>
          <w:szCs w:val="17"/>
          <w:color w:val="000000"/>
        </w:rPr>
        <w:t xml:space="preserve"> </w:t>
      </w:r>
      <w:r>
        <w:rPr>
          <w:rFonts w:ascii="Arial" w:cs="Arial" w:eastAsia="Arial" w:hAnsi="Arial"/>
          <w:sz w:val="17"/>
          <w:szCs w:val="17"/>
          <w:color w:val="222222"/>
        </w:rPr>
        <w:t xml:space="preserve">three and nine months ended September 30, 2018, we incurred approximately $162,000 and $767,000, respectively, in expenses to this company, which are included in “Information technology expenses” on our Condensed Consolidated Statements of Comprehensive Income. The Company did not incur any similar expenses during the three or nine months ended September 30, </w:t>
      </w:r>
      <w:r>
        <w:rPr>
          <w:rFonts w:ascii="Arial" w:cs="Arial" w:eastAsia="Arial" w:hAnsi="Arial"/>
          <w:sz w:val="17"/>
          <w:szCs w:val="17"/>
          <w:color w:val="000000"/>
        </w:rPr>
        <w:t>2017</w:t>
      </w:r>
      <w:r>
        <w:rPr>
          <w:rFonts w:ascii="Arial" w:cs="Arial" w:eastAsia="Arial" w:hAnsi="Arial"/>
          <w:sz w:val="17"/>
          <w:szCs w:val="17"/>
          <w:color w:val="222222"/>
        </w:rPr>
        <w: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On August 3, 2012, AGF Management Limited and AGF Investments Inc. (collectively, “AGF”) filed a lawsuit in the Ontario Superior Court of Justice against Westwood, certain Westwood employees and the executive recruiting firm of Warren International, LLC (“Warren”). The action related to the hiring of certain members of Westwood’s global and emerging markets investment team previously employed by AGF. On November 5, 2012, Westwood responded to AGF’s lawsuit with a counterclaim, and on November 6, 2012, AGF filed a second lawsuit against Westwood, Westwood Management and an employee of Westwood International.</w:t>
      </w:r>
    </w:p>
    <w:p>
      <w:pPr>
        <w:spacing w:after="0" w:line="134"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On October 13, 2017, we reached a settlement with AGF that provided for the dismissal of all claims, with prejudice and without any admission of liability. We agreed to pay AGF a one-time payment of $10.0 million CDN, half of which was covered by our insurance. During 2017, we recorded a net $4.0 million ($5.0 million CDN) charge related to the settlement and associated insurance coverage, with a $4.0 million ($5.0 million CDN) receivable from our insurance provider included in “Other current assets” on our Condensed Consolidated Balance Sheets at December 31, 2017. We received the insurance proceeds of $4.0 million during the nine months ended September 30, 2018 and had no receivable related to the settlement at September 30, 2018.</w:t>
      </w:r>
    </w:p>
    <w:p>
      <w:pPr>
        <w:spacing w:after="0" w:line="50"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Our policy is to not accrue legal fees and directly-related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 related costs as incurred. We received the remaining insurance proceeds related to AGF legal expenses during the nine months ended September 30, 2018 and had no receivable at quarter-end. We had a receivable of approximately $212,000 as of December 31, 2017, which represented our then current minimum estimate of expenses that we expected to recover under our insurance policy. This receivable is included in “Other current assets” on our Condensed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75"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and the UCITS Fund, as well as investment subadvisory services to mutual funds and our Trust segment. Westwood Management Corp. and Westwood International, which provide investment advisory services to clients of similar type, are included in our Advisory segment along with Westwood Advisors,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Trust provides trust and custodial services and participation in common trust funds that it sponsors to institutions and high net worth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22,023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29,214</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24,355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7,313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29,854</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192,627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2017</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33,192</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33,492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8,786</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8,990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208,444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73,170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(108,640)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191,362</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8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72,963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22,265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95,228</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79,397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22,594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96,181</w:t>
            </w: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37,463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34,428</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11,658</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75,036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23,570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98,606</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458</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w:t>
            </w: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82,288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23,793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99,871</w:t>
            </w: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31,372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31,308</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12,298</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w:t>
            </w: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469</w:t>
            </w: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20" w:type="dxa"/>
            <w:vAlign w:val="bottom"/>
          </w:tcPr>
          <w:p>
            <w:pPr>
              <w:spacing w:after="0"/>
              <w:rPr>
                <w:sz w:val="17"/>
                <w:szCs w:val="17"/>
                <w:color w:val="auto"/>
              </w:rPr>
            </w:pPr>
          </w:p>
        </w:tc>
        <w:tc>
          <w:tcPr>
            <w:tcW w:w="2960" w:type="dxa"/>
            <w:vAlign w:val="bottom"/>
            <w:gridSpan w:val="6"/>
          </w:tcPr>
          <w:p>
            <w:pPr>
              <w:ind w:left="26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640" w:type="dxa"/>
            <w:vAlign w:val="bottom"/>
            <w:gridSpan w:val="4"/>
          </w:tcPr>
          <w:p>
            <w:pPr>
              <w:jc w:val="right"/>
              <w:ind w:right="176"/>
              <w:spacing w:after="0"/>
              <w:rPr>
                <w:sz w:val="20"/>
                <w:szCs w:val="20"/>
                <w:color w:val="auto"/>
              </w:rPr>
            </w:pPr>
            <w:r>
              <w:rPr>
                <w:rFonts w:ascii="Arial" w:cs="Arial" w:eastAsia="Arial" w:hAnsi="Arial"/>
                <w:sz w:val="15"/>
                <w:szCs w:val="15"/>
                <w:b w:val="1"/>
                <w:bCs w:val="1"/>
                <w:color w:val="auto"/>
                <w:w w:val="95"/>
              </w:rPr>
              <w:t>Nine Months Ended September 30,</w:t>
            </w:r>
          </w:p>
        </w:tc>
      </w:tr>
      <w:tr>
        <w:trPr>
          <w:trHeight w:val="35"/>
        </w:trPr>
        <w:tc>
          <w:tcPr>
            <w:tcW w:w="56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0"/>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w w:val="89"/>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r>
      <w:tr>
        <w:trPr>
          <w:trHeight w:val="23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3"/>
              </w:rPr>
              <w:t>5,368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21,338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17,092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86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auto"/>
                <w:w w:val="93"/>
              </w:rPr>
              <w:t>3,695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4,233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11,658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12,298</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86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469</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3"/>
              </w:rPr>
              <w:t>9,541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34,428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31,308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center"/>
        <w:ind w:left="380" w:right="20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Declared</w:t>
      </w:r>
    </w:p>
    <w:p>
      <w:pPr>
        <w:spacing w:after="0" w:line="17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In October 2018, Westwood’s Board of Directors declared a quarterly cash dividend of $0.72 per common share, an increase of 6% from the previous quarterly dividend rate, payable on January 2, 2019, to stockholders of record on December 7, 2018.</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121" w:right="379" w:bottom="1440" w:gutter="0" w:footer="0" w:header="0"/>
        </w:sectPr>
      </w:pPr>
    </w:p>
    <w:bookmarkStart w:id="23" w:name="page24"/>
    <w:bookmarkEnd w:id="23"/>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2017, filed with the SEC, and those risks set forth below:</w:t>
      </w:r>
    </w:p>
    <w:p>
      <w:pPr>
        <w:spacing w:after="0" w:line="70" w:lineRule="exact"/>
        <w:rPr>
          <w:sz w:val="20"/>
          <w:szCs w:val="20"/>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assets under management includes investments in foreign companies;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64"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60" w:firstLine="500"/>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assets under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71"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closed on January 12, 2018. We received proceeds of $10.0 million, net of working capital requirements, and recorded a gain on the sale of $524,000, which is included as “Gain on sale of operations” on our Consolidated Statement of Comprehensive Income. The component is reported within both our Advisory and Trust segments. The sale did not represent a major strategic shift in our business and did not qualify for discontinued operations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9" w:lineRule="exact"/>
        <w:rPr>
          <w:sz w:val="20"/>
          <w:szCs w:val="20"/>
          <w:color w:val="auto"/>
        </w:rPr>
      </w:pPr>
    </w:p>
    <w:p>
      <w:pPr>
        <w:ind w:right="100" w:firstLine="500"/>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64"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compensation and benefits expenses generally consist of salaries, incentive compensation, equity-based compensation and benefits.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relate to our marketing efforts, including travel and entertainment, direct marketing and advertising costs.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8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Legal settlement expenses consist of settlements related to litigation claims, net of any amounts covered by our 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General and administrative expenses generally consist of costs associated with the lease of our office space, amortization, depreciation, insurance, custody expense, Board of Directors' fees, investor relations, licenses and fees, office supplies, foreign currency transaction gains/losses and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operations includes the gain on the sale of our Omaha-based component of our Private Wealth business.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584" w:right="6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Assets Under Management</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Assets under management (“AUM”) decreased $2.8 billion to $20.8 billion at September 30, 2018 compared with $23.6 billion at September 30, 2017. The average of beginning and ending assets under management for the third quarter of 2018 was $21.2 billion compared to $23.1 billion for the third quarter of 2017. These decreases are due to net outflows, including $1.2 billion of outflows related to the sale of the Omaha-based component of our Private Wealth business, partially offset by market appreciation, over the last twelve months.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assets under management as of September 30,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2018</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As of September 30,</w:t>
            </w:r>
          </w:p>
        </w:tc>
        <w:tc>
          <w:tcPr>
            <w:tcW w:w="12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13,658</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Private Wealth</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5,822</w:t>
            </w:r>
          </w:p>
        </w:tc>
        <w:tc>
          <w:tcPr>
            <w:tcW w:w="2180" w:type="dxa"/>
            <w:vAlign w:val="bottom"/>
            <w:gridSpan w:val="2"/>
          </w:tcPr>
          <w:p>
            <w:pPr>
              <w:jc w:val="right"/>
              <w:ind w:right="9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4,144</w:t>
            </w:r>
          </w:p>
        </w:tc>
        <w:tc>
          <w:tcPr>
            <w:tcW w:w="21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23,624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820" w:right="20" w:hanging="812"/>
        <w:spacing w:after="0" w:line="304"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AUM excludes $268 million and $362 million of assets under advisement (</w:t>
      </w:r>
      <w:r>
        <w:rPr>
          <w:rFonts w:ascii="Arial" w:cs="Arial" w:eastAsia="Arial" w:hAnsi="Arial"/>
          <w:sz w:val="18"/>
          <w:szCs w:val="18"/>
          <w:color w:val="auto"/>
        </w:rPr>
        <w:t>“</w:t>
      </w:r>
      <w:r>
        <w:rPr>
          <w:rFonts w:ascii="Arial" w:cs="Arial" w:eastAsia="Arial" w:hAnsi="Arial"/>
          <w:sz w:val="16"/>
          <w:szCs w:val="16"/>
          <w:color w:val="auto"/>
        </w:rPr>
        <w:t>AUA</w:t>
      </w:r>
      <w:r>
        <w:rPr>
          <w:rFonts w:ascii="Arial" w:cs="Arial" w:eastAsia="Arial" w:hAnsi="Arial"/>
          <w:sz w:val="18"/>
          <w:szCs w:val="18"/>
          <w:color w:val="auto"/>
        </w:rPr>
        <w:t>”</w:t>
      </w:r>
      <w:r>
        <w:rPr>
          <w:rFonts w:ascii="Arial" w:cs="Arial" w:eastAsia="Arial" w:hAnsi="Arial"/>
          <w:sz w:val="16"/>
          <w:szCs w:val="16"/>
          <w:color w:val="auto"/>
        </w:rPr>
        <w:t>) as of September 30, 2018 and 2017, respectively, related to our model portfolios for which we provided consulting advice but for which we did not have direct discretionary investment authority.</w:t>
      </w:r>
    </w:p>
    <w:p>
      <w:pPr>
        <w:spacing w:after="0" w:line="261" w:lineRule="exact"/>
        <w:rPr>
          <w:rFonts w:ascii="Arial" w:cs="Arial" w:eastAsia="Arial" w:hAnsi="Arial"/>
          <w:sz w:val="16"/>
          <w:szCs w:val="16"/>
          <w:color w:val="auto"/>
        </w:rPr>
      </w:pPr>
    </w:p>
    <w:p>
      <w:pPr>
        <w:ind w:left="1540" w:right="80" w:hanging="641"/>
        <w:spacing w:after="0" w:line="257"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Institutional </w:t>
      </w:r>
      <w:r>
        <w:rPr>
          <w:rFonts w:ascii="Arial" w:cs="Arial" w:eastAsia="Arial" w:hAnsi="Arial"/>
          <w:sz w:val="18"/>
          <w:szCs w:val="18"/>
          <w:color w:val="auto"/>
        </w:rPr>
        <w:t>includes (i) separate accounts of corporate pension and profit sharing plans, public employee retirement funds, Taft Hartley</w:t>
      </w:r>
      <w:r>
        <w:rPr>
          <w:rFonts w:ascii="Arial" w:cs="Arial" w:eastAsia="Arial" w:hAnsi="Arial"/>
          <w:sz w:val="18"/>
          <w:szCs w:val="18"/>
          <w:i w:val="1"/>
          <w:iCs w:val="1"/>
          <w:color w:val="auto"/>
        </w:rPr>
        <w:t xml:space="preserve"> </w:t>
      </w:r>
      <w:r>
        <w:rPr>
          <w:rFonts w:ascii="Arial" w:cs="Arial" w:eastAsia="Arial" w:hAnsi="Arial"/>
          <w:sz w:val="18"/>
          <w:szCs w:val="18"/>
          <w:color w:val="auto"/>
        </w:rPr>
        <w:t>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80" w:lineRule="exact"/>
        <w:rPr>
          <w:rFonts w:ascii="Arial" w:cs="Arial" w:eastAsia="Arial" w:hAnsi="Arial"/>
          <w:sz w:val="18"/>
          <w:szCs w:val="18"/>
          <w:color w:val="auto"/>
        </w:rPr>
      </w:pPr>
    </w:p>
    <w:p>
      <w:pPr>
        <w:ind w:left="1540" w:hanging="641"/>
        <w:spacing w:after="0" w:line="254"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Private Wealth </w:t>
      </w:r>
      <w:r>
        <w:rPr>
          <w:rFonts w:ascii="Arial" w:cs="Arial" w:eastAsia="Arial" w:hAnsi="Arial"/>
          <w:sz w:val="18"/>
          <w:szCs w:val="18"/>
          <w:color w:val="auto"/>
        </w:rPr>
        <w:t>includes assets for which Westwood Trust provides trust and custodial services and participation in common trust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sponsors to institutions and high net worth individuals pursuant to trust or custodial agreements and assets for which Westwood Advisors, L.L.C. provides advisory services to high net worth individuals. Investment subadvisory services are provided for the common trust funds by Westwood Management, Westwood International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84" w:lineRule="exact"/>
        <w:rPr>
          <w:rFonts w:ascii="Arial" w:cs="Arial" w:eastAsia="Arial" w:hAnsi="Arial"/>
          <w:sz w:val="18"/>
          <w:szCs w:val="18"/>
          <w:color w:val="auto"/>
        </w:rPr>
      </w:pPr>
    </w:p>
    <w:p>
      <w:pPr>
        <w:jc w:val="both"/>
        <w:ind w:left="1540" w:right="420" w:hanging="641"/>
        <w:spacing w:after="0" w:line="264"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include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 family of mutual funds for which Westwood Management serves as advisor.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available to individual investors, as well as offered as part of our investment strategies for institutional and private wealth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Roll-Forward of Assets Under Management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640" w:type="dxa"/>
            <w:vAlign w:val="bottom"/>
            <w:gridSpan w:val="4"/>
          </w:tcPr>
          <w:p>
            <w:pPr>
              <w:jc w:val="right"/>
              <w:ind w:right="175"/>
              <w:spacing w:after="0"/>
              <w:rPr>
                <w:sz w:val="20"/>
                <w:szCs w:val="20"/>
                <w:color w:val="auto"/>
              </w:rPr>
            </w:pPr>
            <w:r>
              <w:rPr>
                <w:rFonts w:ascii="Arial" w:cs="Arial" w:eastAsia="Arial" w:hAnsi="Arial"/>
                <w:sz w:val="15"/>
                <w:szCs w:val="15"/>
                <w:b w:val="1"/>
                <w:bCs w:val="1"/>
                <w:color w:val="auto"/>
                <w:w w:val="95"/>
              </w:rPr>
              <w:t>Nine Months Ended September 30,</w:t>
            </w:r>
          </w:p>
        </w:tc>
        <w:tc>
          <w:tcPr>
            <w:tcW w:w="0" w:type="dxa"/>
            <w:vAlign w:val="bottom"/>
          </w:tcPr>
          <w:p>
            <w:pPr>
              <w:spacing w:after="0"/>
              <w:rPr>
                <w:sz w:val="1"/>
                <w:szCs w:val="1"/>
                <w:color w:val="auto"/>
              </w:rPr>
            </w:pPr>
          </w:p>
        </w:tc>
      </w:tr>
      <w:tr>
        <w:trPr>
          <w:trHeight w:val="195"/>
        </w:trPr>
        <w:tc>
          <w:tcPr>
            <w:tcW w:w="5620" w:type="dxa"/>
            <w:vAlign w:val="bottom"/>
          </w:tcPr>
          <w:p>
            <w:pPr>
              <w:ind w:left="40"/>
              <w:spacing w:after="0"/>
              <w:rPr>
                <w:sz w:val="20"/>
                <w:szCs w:val="20"/>
                <w:color w:val="auto"/>
              </w:rPr>
            </w:pPr>
            <w:r>
              <w:rPr>
                <w:rFonts w:ascii="Arial" w:cs="Arial" w:eastAsia="Arial" w:hAnsi="Arial"/>
                <w:sz w:val="15"/>
                <w:szCs w:val="15"/>
                <w:i w:val="1"/>
                <w:iCs w:val="1"/>
                <w:color w:val="auto"/>
              </w:rPr>
              <w:t>(in millions)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72"/>
        </w:trPr>
        <w:tc>
          <w:tcPr>
            <w:tcW w:w="56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Institutional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Beginning of period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12,457</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12,773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14,421</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11,911</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20"/>
              <w:spacing w:after="0" w:line="270" w:lineRule="exact"/>
              <w:rPr>
                <w:sz w:val="20"/>
                <w:szCs w:val="20"/>
                <w:color w:val="auto"/>
              </w:rPr>
            </w:pPr>
            <w:r>
              <w:rPr>
                <w:rFonts w:ascii="Arial" w:cs="Arial" w:eastAsia="Arial" w:hAnsi="Arial"/>
                <w:sz w:val="17"/>
                <w:szCs w:val="17"/>
                <w:color w:val="auto"/>
              </w:rPr>
              <w:t>Inflows</w:t>
            </w:r>
            <w:r>
              <w:rPr>
                <w:rFonts w:ascii="Arial" w:cs="Arial" w:eastAsia="Arial" w:hAnsi="Arial"/>
                <w:sz w:val="28"/>
                <w:szCs w:val="28"/>
                <w:color w:val="auto"/>
                <w:vertAlign w:val="superscript"/>
              </w:rPr>
              <w:t>(1)</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2,173</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Outflows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flows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Market appreciation</w:t>
            </w:r>
          </w:p>
        </w:tc>
        <w:tc>
          <w:tcPr>
            <w:tcW w:w="1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1,528</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End of period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11,979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13,658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11,979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13,658</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Private Wealth</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of period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5,520</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Inflows</w:t>
            </w:r>
          </w:p>
        </w:tc>
        <w:tc>
          <w:tcPr>
            <w:tcW w:w="1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20"/>
              <w:spacing w:after="0" w:line="270" w:lineRule="exact"/>
              <w:rPr>
                <w:sz w:val="20"/>
                <w:szCs w:val="20"/>
                <w:color w:val="auto"/>
              </w:rPr>
            </w:pPr>
            <w:r>
              <w:rPr>
                <w:rFonts w:ascii="Arial" w:cs="Arial" w:eastAsia="Arial" w:hAnsi="Arial"/>
                <w:sz w:val="17"/>
                <w:szCs w:val="17"/>
                <w:color w:val="auto"/>
              </w:rPr>
              <w:t>Outflows</w:t>
            </w:r>
            <w:r>
              <w:rPr>
                <w:rFonts w:ascii="Arial" w:cs="Arial" w:eastAsia="Arial" w:hAnsi="Arial"/>
                <w:sz w:val="28"/>
                <w:szCs w:val="28"/>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9"/>
        </w:trPr>
        <w:tc>
          <w:tcPr>
            <w:tcW w:w="5620" w:type="dxa"/>
            <w:vAlign w:val="bottom"/>
          </w:tcPr>
          <w:p>
            <w:pPr>
              <w:ind w:left="420"/>
              <w:spacing w:after="0"/>
              <w:rPr>
                <w:sz w:val="20"/>
                <w:szCs w:val="20"/>
                <w:color w:val="auto"/>
              </w:rPr>
            </w:pPr>
            <w:r>
              <w:rPr>
                <w:rFonts w:ascii="Arial" w:cs="Arial" w:eastAsia="Arial" w:hAnsi="Arial"/>
                <w:sz w:val="17"/>
                <w:szCs w:val="17"/>
                <w:color w:val="auto"/>
              </w:rPr>
              <w:t>Net flows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Market appreciation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change</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End of period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5,822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Beginning of period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4,199</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4,092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4,242</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3,810</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Inflows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Outflows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flows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Market appreciation</w:t>
            </w:r>
          </w:p>
        </w:tc>
        <w:tc>
          <w:tcPr>
            <w:tcW w:w="1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End of period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4,031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4,144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4,031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4,144</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AUM</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of period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21,241</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Inflows</w:t>
            </w:r>
          </w:p>
        </w:tc>
        <w:tc>
          <w:tcPr>
            <w:tcW w:w="1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672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3,474</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Outflows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19"/>
        </w:trPr>
        <w:tc>
          <w:tcPr>
            <w:tcW w:w="5620" w:type="dxa"/>
            <w:vAlign w:val="bottom"/>
          </w:tcPr>
          <w:p>
            <w:pPr>
              <w:ind w:left="420"/>
              <w:spacing w:after="0"/>
              <w:rPr>
                <w:sz w:val="20"/>
                <w:szCs w:val="20"/>
                <w:color w:val="auto"/>
              </w:rPr>
            </w:pPr>
            <w:r>
              <w:rPr>
                <w:rFonts w:ascii="Arial" w:cs="Arial" w:eastAsia="Arial" w:hAnsi="Arial"/>
                <w:sz w:val="17"/>
                <w:szCs w:val="17"/>
                <w:color w:val="auto"/>
              </w:rPr>
              <w:t>Net flows</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Market appreciation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2,376</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change</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2,383</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End of period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23,624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23,624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right="220" w:hanging="652"/>
        <w:spacing w:after="0" w:line="24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Institutional inflows include approximately $713 million of assets related to a long-only convertibles fund, which transitioned from AUA to AUM during the third quarter of 2017.</w:t>
      </w:r>
    </w:p>
    <w:p>
      <w:pPr>
        <w:ind w:left="660" w:right="380" w:hanging="652"/>
        <w:spacing w:after="0" w:line="25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Private Wealth outflows include approximately $271 million and $802 million of assets related to the sale of the Omaha-based component of our Private Wealth business for the three and nine months ended September 30, 2018,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Three months ended September 30, 2018 and 2017</w:t>
      </w:r>
    </w:p>
    <w:p>
      <w:pPr>
        <w:spacing w:after="0" w:line="117" w:lineRule="exact"/>
        <w:rPr>
          <w:sz w:val="20"/>
          <w:szCs w:val="20"/>
          <w:color w:val="auto"/>
        </w:rPr>
      </w:pPr>
    </w:p>
    <w:p>
      <w:pPr>
        <w:ind w:right="360" w:firstLine="500"/>
        <w:spacing w:after="0" w:line="264" w:lineRule="auto"/>
        <w:rPr>
          <w:sz w:val="20"/>
          <w:szCs w:val="20"/>
          <w:color w:val="auto"/>
        </w:rPr>
      </w:pPr>
      <w:r>
        <w:rPr>
          <w:rFonts w:ascii="Arial" w:cs="Arial" w:eastAsia="Arial" w:hAnsi="Arial"/>
          <w:sz w:val="18"/>
          <w:szCs w:val="18"/>
          <w:color w:val="auto"/>
        </w:rPr>
        <w:t>The $791 million decrease in assets under management for the three months ended September 30, 2018 was due to net outflows of $1.5 billion, partially offset by market appreciation of $690 million. Net outflows were primarily related to our Emerging Markets, SMidCap and Income Opportunity strategies and outflows related to the divestiture of our Omaha operations.</w:t>
      </w:r>
    </w:p>
    <w:p>
      <w:pPr>
        <w:spacing w:after="0" w:line="127" w:lineRule="exact"/>
        <w:rPr>
          <w:sz w:val="20"/>
          <w:szCs w:val="20"/>
          <w:color w:val="auto"/>
        </w:rPr>
      </w:pPr>
    </w:p>
    <w:p>
      <w:pPr>
        <w:jc w:val="both"/>
        <w:ind w:right="80" w:firstLine="500"/>
        <w:spacing w:after="0" w:line="279" w:lineRule="auto"/>
        <w:rPr>
          <w:sz w:val="20"/>
          <w:szCs w:val="20"/>
          <w:color w:val="auto"/>
        </w:rPr>
      </w:pPr>
      <w:r>
        <w:rPr>
          <w:rFonts w:ascii="Arial" w:cs="Arial" w:eastAsia="Arial" w:hAnsi="Arial"/>
          <w:sz w:val="17"/>
          <w:szCs w:val="17"/>
          <w:color w:val="auto"/>
        </w:rPr>
        <w:t>The $1.1 billion increase in assets under management for the three months ended September 30, 2017 was due to market appreciation of $683 million and net inflows of $391 million. Net inflows were primarily related to $713 million in our Strategic Global Convertibles strategy that transitioned from AUA to AUM in the third quarter of 2017, as well as net inflows to our Market Neutral Income and Emerging Markets strategies. These net inflows were partially offset by net outflows from our SMidCap strategies, Income Opportunity strategy and LargeCap Value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and 2017</w:t>
      </w:r>
    </w:p>
    <w:p>
      <w:pPr>
        <w:spacing w:after="0" w:line="171" w:lineRule="exact"/>
        <w:rPr>
          <w:sz w:val="20"/>
          <w:szCs w:val="20"/>
          <w:color w:val="auto"/>
        </w:rPr>
      </w:pPr>
    </w:p>
    <w:p>
      <w:pPr>
        <w:ind w:right="80" w:firstLine="500"/>
        <w:spacing w:after="0" w:line="312" w:lineRule="auto"/>
        <w:rPr>
          <w:sz w:val="20"/>
          <w:szCs w:val="20"/>
          <w:color w:val="auto"/>
        </w:rPr>
      </w:pPr>
      <w:r>
        <w:rPr>
          <w:rFonts w:ascii="Arial" w:cs="Arial" w:eastAsia="Arial" w:hAnsi="Arial"/>
          <w:sz w:val="16"/>
          <w:szCs w:val="16"/>
          <w:color w:val="auto"/>
        </w:rPr>
        <w:t>The $3.4 billion decrease in assets under management for the nine months ended September 30, 2018 was due to net outflows of $3.9 billion, partially offset by market appreciation of $509 million. Net outflows were primarily related to our Emerging Markets, SMidCap, Income Opportunity and LargeCap Value strategies and outflows related to the divestiture of our Omaha operations, partially offset by net inflows to our SmallCap Value strategy.</w:t>
      </w:r>
    </w:p>
    <w:p>
      <w:pPr>
        <w:spacing w:after="0" w:line="93"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$2.4 billion increase in assets under management for the nine months ended September 30, 2017 was due to market appreciation of $2.4 billion and net inflows of $7 million. Net inflows were primarily related to approximately $713 million in our Strategic Global Convertibles strategy that transitioned from AUA to AUM in the third quarter of 2017 and net inflows to our SmallCap Value, Market Neutral Income and Emerging Markets strategies, partially offset by net outflows from our SMidCap strategies and LargeCap Value strategy.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00"/>
        <w:spacing w:after="0" w:line="264"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 Change</w:t>
            </w:r>
          </w:p>
        </w:tc>
        <w:tc>
          <w:tcPr>
            <w:tcW w:w="1460" w:type="dxa"/>
            <w:vAlign w:val="bottom"/>
          </w:tcPr>
          <w:p>
            <w:pPr>
              <w:jc w:val="center"/>
              <w:spacing w:after="0"/>
              <w:rPr>
                <w:sz w:val="20"/>
                <w:szCs w:val="20"/>
                <w:color w:val="auto"/>
              </w:rPr>
            </w:pPr>
            <w:r>
              <w:rPr>
                <w:rFonts w:ascii="Arial" w:cs="Arial" w:eastAsia="Arial" w:hAnsi="Arial"/>
                <w:sz w:val="15"/>
                <w:szCs w:val="15"/>
                <w:color w:val="auto"/>
                <w:w w:val="91"/>
              </w:rPr>
              <w:t>% Change</w:t>
            </w:r>
          </w:p>
        </w:tc>
        <w:tc>
          <w:tcPr>
            <w:tcW w:w="0" w:type="dxa"/>
            <w:vAlign w:val="bottom"/>
          </w:tcPr>
          <w:p>
            <w:pPr>
              <w:spacing w:after="0"/>
              <w:rPr>
                <w:sz w:val="1"/>
                <w:szCs w:val="1"/>
                <w:color w:val="auto"/>
              </w:rPr>
            </w:pPr>
          </w:p>
        </w:tc>
      </w:tr>
      <w:tr>
        <w:trPr>
          <w:trHeight w:val="62"/>
        </w:trPr>
        <w:tc>
          <w:tcPr>
            <w:tcW w:w="3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Three Months Ended</w:t>
            </w:r>
          </w:p>
        </w:tc>
        <w:tc>
          <w:tcPr>
            <w:tcW w:w="1460" w:type="dxa"/>
            <w:vAlign w:val="bottom"/>
          </w:tcPr>
          <w:p>
            <w:pPr>
              <w:jc w:val="center"/>
              <w:spacing w:after="0"/>
              <w:rPr>
                <w:sz w:val="20"/>
                <w:szCs w:val="20"/>
                <w:color w:val="auto"/>
              </w:rPr>
            </w:pPr>
            <w:r>
              <w:rPr>
                <w:rFonts w:ascii="Arial" w:cs="Arial" w:eastAsia="Arial" w:hAnsi="Arial"/>
                <w:sz w:val="15"/>
                <w:szCs w:val="15"/>
                <w:color w:val="auto"/>
                <w:w w:val="94"/>
              </w:rPr>
              <w:t>Nine Months Ended</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w w:val="92"/>
              </w:rPr>
              <w:t>Three Months Ended</w:t>
            </w:r>
          </w:p>
        </w:tc>
        <w:tc>
          <w:tcPr>
            <w:tcW w:w="220" w:type="dxa"/>
            <w:vAlign w:val="bottom"/>
          </w:tcPr>
          <w:p>
            <w:pPr>
              <w:spacing w:after="0"/>
              <w:rPr>
                <w:sz w:val="23"/>
                <w:szCs w:val="23"/>
                <w:color w:val="auto"/>
              </w:rPr>
            </w:pPr>
          </w:p>
        </w:tc>
        <w:tc>
          <w:tcPr>
            <w:tcW w:w="190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23"/>
                <w:szCs w:val="23"/>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September 30, 2018</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1"/>
              </w:rPr>
              <w:t>September 30, 2018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vMerge w:val="restart"/>
          </w:tcPr>
          <w:p>
            <w:pPr>
              <w:jc w:val="center"/>
              <w:ind w:right="320"/>
              <w:spacing w:after="0"/>
              <w:rPr>
                <w:sz w:val="20"/>
                <w:szCs w:val="20"/>
                <w:color w:val="auto"/>
              </w:rPr>
            </w:pPr>
            <w:r>
              <w:rPr>
                <w:rFonts w:ascii="Arial" w:cs="Arial" w:eastAsia="Arial" w:hAnsi="Arial"/>
                <w:sz w:val="15"/>
                <w:szCs w:val="15"/>
                <w:b w:val="1"/>
                <w:bCs w:val="1"/>
                <w:color w:val="auto"/>
                <w:w w:val="91"/>
              </w:rPr>
              <w:t>September 30,</w:t>
            </w:r>
          </w:p>
        </w:tc>
        <w:tc>
          <w:tcPr>
            <w:tcW w:w="220" w:type="dxa"/>
            <w:vAlign w:val="bottom"/>
          </w:tcPr>
          <w:p>
            <w:pPr>
              <w:spacing w:after="0"/>
              <w:rPr>
                <w:sz w:val="18"/>
                <w:szCs w:val="18"/>
                <w:color w:val="auto"/>
              </w:rPr>
            </w:pPr>
          </w:p>
        </w:tc>
        <w:tc>
          <w:tcPr>
            <w:tcW w:w="1900" w:type="dxa"/>
            <w:vAlign w:val="bottom"/>
            <w:gridSpan w:val="4"/>
            <w:vMerge w:val="restart"/>
          </w:tcPr>
          <w:p>
            <w:pPr>
              <w:jc w:val="right"/>
              <w:ind w:right="499"/>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vs.</w:t>
            </w:r>
          </w:p>
        </w:tc>
        <w:tc>
          <w:tcPr>
            <w:tcW w:w="1460" w:type="dxa"/>
            <w:vAlign w:val="bottom"/>
          </w:tcPr>
          <w:p>
            <w:pPr>
              <w:jc w:val="center"/>
              <w:spacing w:after="0"/>
              <w:rPr>
                <w:sz w:val="20"/>
                <w:szCs w:val="20"/>
                <w:color w:val="auto"/>
              </w:rPr>
            </w:pPr>
            <w:r>
              <w:rPr>
                <w:rFonts w:ascii="Arial" w:cs="Arial" w:eastAsia="Arial" w:hAnsi="Arial"/>
                <w:sz w:val="15"/>
                <w:szCs w:val="15"/>
                <w:color w:val="auto"/>
                <w:w w:val="83"/>
              </w:rPr>
              <w:t>vs.</w:t>
            </w:r>
          </w:p>
        </w:tc>
        <w:tc>
          <w:tcPr>
            <w:tcW w:w="0" w:type="dxa"/>
            <w:vAlign w:val="bottom"/>
          </w:tcPr>
          <w:p>
            <w:pPr>
              <w:spacing w:after="0"/>
              <w:rPr>
                <w:sz w:val="1"/>
                <w:szCs w:val="1"/>
                <w:color w:val="auto"/>
              </w:rPr>
            </w:pPr>
          </w:p>
        </w:tc>
      </w:tr>
      <w:tr>
        <w:trPr>
          <w:trHeight w:val="56"/>
        </w:trPr>
        <w:tc>
          <w:tcPr>
            <w:tcW w:w="3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19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39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23"/>
                <w:szCs w:val="23"/>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September 30, 2017</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1"/>
              </w:rPr>
              <w:t>September 30, 2017</w:t>
            </w: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9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6"/>
                <w:szCs w:val="16"/>
                <w:color w:val="auto"/>
              </w:rPr>
              <w:t>Advisory fees: asset-based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22,023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25,334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69,979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73,619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Advisory fees: performance-based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6"/>
                <w:szCs w:val="16"/>
                <w:color w:val="auto"/>
              </w:rPr>
              <w:t>Trust fees</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22,265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23,570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92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96,181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99,871</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14,444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46,857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48,875</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15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6"/>
                <w:szCs w:val="16"/>
                <w:color w:val="auto"/>
              </w:rPr>
              <w:t>Westwood mutual funds</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2,749</w:t>
            </w:r>
          </w:p>
        </w:tc>
        <w:tc>
          <w:tcPr>
            <w:tcW w:w="1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Information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w:t>
            </w:r>
          </w:p>
        </w:tc>
        <w:tc>
          <w:tcPr>
            <w:tcW w:w="15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3,677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4,495</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8,697</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75,766</w:t>
            </w:r>
          </w:p>
        </w:tc>
        <w:tc>
          <w:tcPr>
            <w:tcW w:w="15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1"/>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Net operating income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28,050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24,105</w:t>
            </w:r>
          </w:p>
        </w:tc>
        <w:tc>
          <w:tcPr>
            <w:tcW w:w="1580" w:type="dxa"/>
            <w:vAlign w:val="bottom"/>
            <w:gridSpan w:val="2"/>
          </w:tcPr>
          <w:p>
            <w:pPr>
              <w:jc w:val="right"/>
              <w:ind w:right="1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Gain on sale of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7,151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28,574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24,105</w:t>
            </w:r>
          </w:p>
        </w:tc>
        <w:tc>
          <w:tcPr>
            <w:tcW w:w="1580" w:type="dxa"/>
            <w:vAlign w:val="bottom"/>
            <w:gridSpan w:val="2"/>
          </w:tcPr>
          <w:p>
            <w:pPr>
              <w:jc w:val="right"/>
              <w:ind w:right="1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7,013</w:t>
            </w:r>
          </w:p>
        </w:tc>
        <w:tc>
          <w:tcPr>
            <w:tcW w:w="15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4"/>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5,368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21,338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17,092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117" w:lineRule="exact"/>
        <w:rPr>
          <w:sz w:val="20"/>
          <w:szCs w:val="20"/>
          <w:color w:val="auto"/>
        </w:rPr>
      </w:pPr>
    </w:p>
    <w:p>
      <w:pPr>
        <w:ind w:right="120" w:firstLine="500"/>
        <w:spacing w:after="0" w:line="312"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revenues decreased $3.6 million, or 11%, to $29.9 million for the three months ended September 30, 2018 compared with $33.5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2017. Asset-based advisory fees decreased $3.3 million, or 13%, primarily due to lower average assets under management. Trust fees decreased $0.7 million, or 8%, primarily due to the sale of the Omaha-based component of our Private Wealth business.</w:t>
      </w:r>
    </w:p>
    <w:p>
      <w:pPr>
        <w:spacing w:after="0" w:line="9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$1.2 million, or 7%, to $14.4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compared with $15.6 million for the three months ended September 30, 2017. The decrease was due to reductions in compensation relating to the sale of the Omaha-based component of our Private Wealth business and short- and long-term incentive compensation as a result of lower asset-based revenues as compared to the prior year quarter.</w:t>
      </w:r>
    </w:p>
    <w:p>
      <w:pPr>
        <w:spacing w:after="0" w:line="13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Legal Settlement</w:t>
      </w:r>
      <w:r>
        <w:rPr>
          <w:rFonts w:ascii="Arial" w:cs="Arial" w:eastAsia="Arial" w:hAnsi="Arial"/>
          <w:sz w:val="18"/>
          <w:szCs w:val="18"/>
          <w:color w:val="auto"/>
        </w:rPr>
        <w:t>. We recorded a net $4.0 million charge related to a legal settlement and associated insurance coverage during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See further discussion of the settlement in Note 13 “Commitments and Contingencies” to our Condensed Consolidated Financial Statements included in Part I. Financial Information.</w:t>
      </w:r>
    </w:p>
    <w:p>
      <w:pPr>
        <w:spacing w:after="0" w:line="12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decreased to 24.9% for the three months ended September 30, 2018 from 28.2%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The current quarter rate benefited from the decrease in the U.S. corporate income tax rate under the Tax Cuts and Jobs Act signed into law in December 2017, partially offset by tax expense of $251,000 related to completion of a state tax audit, while the prior year quarter benefited from the tax impact of our legal settlement with AGF.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17" w:lineRule="exact"/>
        <w:rPr>
          <w:sz w:val="20"/>
          <w:szCs w:val="20"/>
          <w:color w:val="auto"/>
        </w:rPr>
      </w:pPr>
    </w:p>
    <w:p>
      <w:pPr>
        <w:ind w:right="240" w:firstLine="500"/>
        <w:spacing w:after="0" w:line="279" w:lineRule="auto"/>
        <w:rPr>
          <w:sz w:val="20"/>
          <w:szCs w:val="20"/>
          <w:color w:val="auto"/>
        </w:rPr>
      </w:pPr>
      <w:r>
        <w:rPr>
          <w:rFonts w:ascii="Arial" w:cs="Arial" w:eastAsia="Arial" w:hAnsi="Arial"/>
          <w:sz w:val="17"/>
          <w:szCs w:val="17"/>
          <w:i w:val="1"/>
          <w:iCs w:val="1"/>
          <w:color w:val="auto"/>
        </w:rPr>
        <w:t>Total Revenues</w:t>
      </w:r>
      <w:r>
        <w:rPr>
          <w:rFonts w:ascii="Arial" w:cs="Arial" w:eastAsia="Arial" w:hAnsi="Arial"/>
          <w:sz w:val="17"/>
          <w:szCs w:val="17"/>
          <w:color w:val="auto"/>
        </w:rPr>
        <w:t>. Total revenues decreased $3.7 million, or 4%, to $96.2 million for the nine months ended September 30, 2018 compared with $99.9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2017. Asset-based advisory fees decreased $3.6 million, or 5%, related to lower average assets under management, and Trust fees decreased $1.3 million, or 6%, primarily due to the sale of the Omaha-based component of our Private Wealth business. These decreases were offset by a $1.6 million increase in performance-based advisory fees.</w:t>
      </w:r>
    </w:p>
    <w:p>
      <w:pPr>
        <w:spacing w:after="0" w:line="171"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 Employee compensation and benefits costs decreased $2.0 million, or 4%, to $46.9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compared with $48.9 million for the nine months ended September 30, 2017. The decrease is due to reductions in compensation relating to the sale of the Omaha-based component of our Private Wealth business and short- and long-term incentive compensation as a result of lower asset-based revenues as compared to the prior year.</w:t>
      </w:r>
    </w:p>
    <w:p>
      <w:pPr>
        <w:spacing w:after="0" w:line="133"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i w:val="1"/>
          <w:iCs w:val="1"/>
          <w:color w:val="auto"/>
        </w:rPr>
        <w:t xml:space="preserve">Information Technology. </w:t>
      </w:r>
      <w:r>
        <w:rPr>
          <w:rFonts w:ascii="Arial" w:cs="Arial" w:eastAsia="Arial" w:hAnsi="Arial"/>
          <w:sz w:val="18"/>
          <w:szCs w:val="18"/>
          <w:color w:val="auto"/>
        </w:rPr>
        <w:t>Information technology costs increased $1.3 million, or 23%, to $6.8 million for the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$5.5 million for the nine months ended September 30, 2017 primarily due to implementation costs as we continue to invest in our technology infrastructure and increased research expenses.</w:t>
      </w:r>
    </w:p>
    <w:p>
      <w:pPr>
        <w:spacing w:after="0" w:line="127"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i w:val="1"/>
          <w:iCs w:val="1"/>
          <w:color w:val="auto"/>
        </w:rPr>
        <w:t>Professional services</w:t>
      </w:r>
      <w:r>
        <w:rPr>
          <w:rFonts w:ascii="Arial" w:cs="Arial" w:eastAsia="Arial" w:hAnsi="Arial"/>
          <w:sz w:val="18"/>
          <w:szCs w:val="18"/>
          <w:color w:val="auto"/>
        </w:rPr>
        <w:t>. Professional services costs decreased $0.8 million, or 18%, to $3.7 million for the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$4.5 million for the nine months ended September 30, 2017 primarily due to reduced legal fees in the current quarter as we settled the AGF lawsuit in the prior year quarter.</w:t>
      </w:r>
    </w:p>
    <w:p>
      <w:pPr>
        <w:spacing w:after="0" w:line="1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Legal Settlement</w:t>
      </w:r>
      <w:r>
        <w:rPr>
          <w:rFonts w:ascii="Arial" w:cs="Arial" w:eastAsia="Arial" w:hAnsi="Arial"/>
          <w:sz w:val="18"/>
          <w:szCs w:val="18"/>
          <w:color w:val="auto"/>
        </w:rPr>
        <w:t>. We recorded a net $4.0 million charge related to a legal settlement and associated insurance coverage during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See further discussion of the settlement in Note 13 “Commitments and Contingencies” to our Condensed Consolidated Financial Statements included in Part I. Financial Information.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General &amp; Administrative. </w:t>
      </w:r>
      <w:r>
        <w:rPr>
          <w:rFonts w:ascii="Arial" w:cs="Arial" w:eastAsia="Arial" w:hAnsi="Arial"/>
          <w:sz w:val="17"/>
          <w:szCs w:val="17"/>
          <w:color w:val="auto"/>
        </w:rPr>
        <w:t>General and administrative expenses decreased $2.2 million, or 26%, to $6.5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compared to $8.7 million for the nine months ended September 30, 2017 primarily due to a $0.8 million foreign currency transaction gain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recorded in the first nine months of 2018 as compared to a $1.6 million foreign currency transaction loss recorded in the first nine months of 2017.</w:t>
      </w:r>
    </w:p>
    <w:p>
      <w:pPr>
        <w:spacing w:after="0" w:line="16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i w:val="1"/>
          <w:iCs w:val="1"/>
          <w:color w:val="auto"/>
        </w:rPr>
        <w:t xml:space="preserve">Gain on Sale of Operations. </w:t>
      </w:r>
      <w:r>
        <w:rPr>
          <w:rFonts w:ascii="Arial" w:cs="Arial" w:eastAsia="Arial" w:hAnsi="Arial"/>
          <w:sz w:val="18"/>
          <w:szCs w:val="18"/>
          <w:color w:val="auto"/>
        </w:rPr>
        <w:t>The nine months ended September 30, 2018 includes a $0.5 million gain on the sale of our Omaha-based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Private Wealth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1" w:name="page32"/>
    <w:bookmarkEnd w:id="31"/>
    <w:p>
      <w:pPr>
        <w:ind w:right="60" w:firstLine="486"/>
        <w:spacing w:after="0" w:line="272"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effective tax rate decreased to 25.3% for the nine months ended September 30, 2018 from 29.1%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ended September 30, 2017. The current year-to-date rate benefited from the decrease in the U.S. corporate income tax rate under the Tax Cuts and Jobs Act signed into law in December 2017, partially offset by tax expense of $251,000 related to completion of a state tax audit, while the prior year benefited from the tax impact of our legal settlement with AGF and included a $1.0 million tax benefit related to the adoption of ASU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Improvements to Employee Share-Based Payment Accounting </w:t>
      </w:r>
      <w:r>
        <w:rPr>
          <w:rFonts w:ascii="Arial" w:cs="Arial" w:eastAsia="Arial" w:hAnsi="Arial"/>
          <w:sz w:val="17"/>
          <w:szCs w:val="17"/>
          <w:color w:val="auto"/>
        </w:rPr>
        <w:t>in the first quarter of 2017. Excluding this discrete tax benefit, our effective tax</w:t>
      </w:r>
      <w:r>
        <w:rPr>
          <w:rFonts w:ascii="Arial" w:cs="Arial" w:eastAsia="Arial" w:hAnsi="Arial"/>
          <w:sz w:val="17"/>
          <w:szCs w:val="17"/>
          <w:i w:val="1"/>
          <w:iCs w:val="1"/>
          <w:color w:val="auto"/>
        </w:rPr>
        <w:t xml:space="preserve"> </w:t>
      </w:r>
      <w:r>
        <w:rPr>
          <w:rFonts w:ascii="Arial" w:cs="Arial" w:eastAsia="Arial" w:hAnsi="Arial"/>
          <w:sz w:val="17"/>
          <w:szCs w:val="17"/>
          <w:color w:val="auto"/>
        </w:rPr>
        <w:t>rate for the nine months ended September 30, 2017 would have been 33.0%. Prior to adoption of ASU 2016-09, excess tax benefits were recorded through Additional paid-in capital, with no impact to the effective tax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5"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75"/>
              <w:spacing w:after="0"/>
              <w:rPr>
                <w:sz w:val="20"/>
                <w:szCs w:val="20"/>
                <w:color w:val="auto"/>
              </w:rPr>
            </w:pPr>
            <w:r>
              <w:rPr>
                <w:rFonts w:ascii="Arial" w:cs="Arial" w:eastAsia="Arial" w:hAnsi="Arial"/>
                <w:sz w:val="16"/>
                <w:szCs w:val="16"/>
                <w:b w:val="1"/>
                <w:bCs w:val="1"/>
                <w:color w:val="auto"/>
                <w:w w:val="92"/>
              </w:rPr>
              <w:t>Three Months Ended September 30,</w:t>
            </w:r>
          </w:p>
        </w:tc>
        <w:tc>
          <w:tcPr>
            <w:tcW w:w="1220" w:type="dxa"/>
            <w:vAlign w:val="bottom"/>
            <w:gridSpan w:val="2"/>
            <w:vMerge w:val="restart"/>
          </w:tcPr>
          <w:p>
            <w:pPr>
              <w:jc w:val="center"/>
              <w:ind w:left="1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4,233</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2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469</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156</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9,541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8,990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8,598,230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8,420,749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2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4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w w:val="94"/>
              </w:rPr>
              <w:t>Nine Months Ended September 30,</w:t>
            </w:r>
          </w:p>
        </w:tc>
        <w:tc>
          <w:tcPr>
            <w:tcW w:w="1220" w:type="dxa"/>
            <w:vAlign w:val="bottom"/>
            <w:gridSpan w:val="2"/>
            <w:vMerge w:val="restart"/>
          </w:tcPr>
          <w:p>
            <w:pPr>
              <w:jc w:val="center"/>
              <w:ind w:left="1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21,338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17,092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11,658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12,298</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2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1,449</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469</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34,428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31,308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8,561,918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8,350,926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2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4"/>
                <w:szCs w:val="24"/>
                <w:color w:val="auto"/>
              </w:rPr>
            </w:pPr>
          </w:p>
        </w:tc>
        <w:tc>
          <w:tcPr>
            <w:tcW w:w="2720" w:type="dxa"/>
            <w:vAlign w:val="bottom"/>
          </w:tcPr>
          <w:p>
            <w:pPr>
              <w:jc w:val="right"/>
              <w:ind w:right="1474"/>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We fund our operations and cash requirements with cash generated from operating activities. We may also use cash from operations to pay dividends to our stockholders. As of September 30, 2018 and December 31, 2017, we had no debt. The changes in net cash provided by operating activities generally reflect the changes in earnings plus the effects of non-cash items and changes in working capital. Changes in working capital, especially accounts receivable and accounts payable, are generally the result of timing differences between collection of fees billed and payment of operating expenses.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nine months ended September 30, 2018, cash flow provided by operating activities, principally our investment advisory business,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$15.1 million. Cash flow provided by investing activities of $3.9 million during the nine months ended September 30, 2018 was primarily related to the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Omaha-based component of our private wealth business, partially offset by our strategic investment in a private company. Cash flow used in financing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of $24.3 million for the nine months ended September 30, 2018 reflected the payment of dividends, purchases of restricted stock returned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of taxes and purchases of treasury shares for our Canadian share award plan.</w:t>
      </w:r>
    </w:p>
    <w:p>
      <w:pPr>
        <w:spacing w:after="0" w:line="103"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We had cash and short-term investments of $119.1 million as of September 30, 2018 and $105.6 million as of December 31, 2017. Cash and cash equivalents as of September 30, 2018 and December 31, 2017 included approximately $30 million and $33 million, respectively, of undistributed income from Westwood International. If these funds were needed for our U.S. operations, we would be required to accrue and pay incremental Canadian withholding taxes to repatriate a portion of these funds. Our current intention is to permanently reinvest the funds subject to withholding taxes outside of the U.S., and our current forecasts do not demonstrate a need to repatriate them to fund our U.S. operations. At September 30, 2018 and December 31, 2017, working capital aggregated $117.1 million and $106.6 million, respectively.</w:t>
      </w:r>
    </w:p>
    <w:p>
      <w:pPr>
        <w:spacing w:after="0" w:line="70"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September 30, 2018, Westwood Trust had approximately $16.8 million in excess of its minimum capital requirement.</w:t>
      </w:r>
    </w:p>
    <w:p>
      <w:pPr>
        <w:spacing w:after="0" w:line="73" w:lineRule="exact"/>
        <w:rPr>
          <w:sz w:val="20"/>
          <w:szCs w:val="20"/>
          <w:color w:val="auto"/>
        </w:rPr>
      </w:pPr>
    </w:p>
    <w:p>
      <w:pPr>
        <w:ind w:right="200" w:firstLine="500"/>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2017,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September 30, 2018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Payments due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Less than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After 5</w:t>
            </w:r>
          </w:p>
        </w:tc>
        <w:tc>
          <w:tcPr>
            <w:tcW w:w="0" w:type="dxa"/>
            <w:vAlign w:val="bottom"/>
          </w:tcPr>
          <w:p>
            <w:pPr>
              <w:spacing w:after="0"/>
              <w:rPr>
                <w:sz w:val="1"/>
                <w:szCs w:val="1"/>
                <w:color w:val="auto"/>
              </w:rPr>
            </w:pPr>
          </w:p>
        </w:tc>
      </w:tr>
      <w:tr>
        <w:trPr>
          <w:trHeight w:val="102"/>
        </w:trPr>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1 year</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8"/>
                <w:szCs w:val="8"/>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8"/>
                <w:szCs w:val="8"/>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40"/>
              <w:spacing w:after="0" w:line="25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1,908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191"/>
        </w:trPr>
        <w:tc>
          <w:tcPr>
            <w:tcW w:w="5280" w:type="dxa"/>
            <w:vAlign w:val="bottom"/>
          </w:tcPr>
          <w:p>
            <w:pPr>
              <w:jc w:val="right"/>
              <w:ind w:right="3956"/>
              <w:spacing w:after="0"/>
              <w:rPr>
                <w:sz w:val="20"/>
                <w:szCs w:val="20"/>
                <w:color w:val="auto"/>
              </w:rPr>
            </w:pPr>
            <w:r>
              <w:rPr>
                <w:rFonts w:ascii="Arial" w:cs="Arial" w:eastAsia="Arial" w:hAnsi="Arial"/>
                <w:sz w:val="14"/>
                <w:szCs w:val="14"/>
                <w:color w:val="auto"/>
                <w:w w:val="97"/>
              </w:rPr>
              <w:t>________________</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20" w:hanging="571"/>
        <w:spacing w:after="0" w:line="25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“purchase obligation”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Our purchase obligations relate to obligations associated with implementing and operating new information technology platforms and outsourcing services. The above purchase obligations exclude agreements that are cancelable without significant penalty.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9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and Significant Accounting Policies and Estimates</w:t>
      </w:r>
    </w:p>
    <w:p>
      <w:pPr>
        <w:spacing w:after="0" w:line="121" w:lineRule="exact"/>
        <w:rPr>
          <w:sz w:val="20"/>
          <w:szCs w:val="20"/>
          <w:color w:val="auto"/>
        </w:rPr>
      </w:pPr>
    </w:p>
    <w:p>
      <w:pPr>
        <w:jc w:val="both"/>
        <w:ind w:right="560" w:firstLine="500"/>
        <w:spacing w:after="0" w:line="264" w:lineRule="auto"/>
        <w:rPr>
          <w:sz w:val="20"/>
          <w:szCs w:val="20"/>
          <w:color w:val="auto"/>
        </w:rPr>
      </w:pPr>
      <w:r>
        <w:rPr>
          <w:rFonts w:ascii="Arial" w:cs="Arial" w:eastAsia="Arial" w:hAnsi="Arial"/>
          <w:sz w:val="18"/>
          <w:szCs w:val="18"/>
          <w:color w:val="auto"/>
        </w:rPr>
        <w:t xml:space="preserve">Effective January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Refer to Note 9 “Revenue” in our Condensed Consolidated Financial Statements included in Part I, Item 1. “Financial Statements” of this Quarterly Report on Form 10-Q for a detailed description of the adoption of ASU 2014-09.</w:t>
      </w:r>
    </w:p>
    <w:p>
      <w:pPr>
        <w:spacing w:after="0" w:line="73"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There have been no other significant changes in our critical or significant accounting policies and estimates since December 31, 2017.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2017.</w:t>
      </w: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100" w:firstLine="500"/>
        <w:spacing w:after="0" w:line="308" w:lineRule="auto"/>
        <w:rPr>
          <w:sz w:val="20"/>
          <w:szCs w:val="20"/>
          <w:color w:val="auto"/>
        </w:rPr>
      </w:pPr>
      <w:r>
        <w:rPr>
          <w:rFonts w:ascii="Arial" w:cs="Arial" w:eastAsia="Arial" w:hAnsi="Arial"/>
          <w:sz w:val="17"/>
          <w:szCs w:val="17"/>
          <w:color w:val="auto"/>
        </w:rPr>
        <w:t>For the quarter ended September 30, 2018, there were no changes in our internal controls over financial reporting (as defined in Rule 13a-15(f) under the Exchange Act) that materially affected, or are reasonably likely to materially affect, our internal control over financial reporting.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688"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face a number of significant risks and uncertainties in our business, including those detailed under “Risk Factors” in our Annual Report on Form 10-K for the fiscal year ended December 31, 2017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September 30, 2018:</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3"/>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number of</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shares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price paid</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89"/>
              </w:rPr>
              <w:t>plans or</w:t>
            </w:r>
          </w:p>
        </w:tc>
      </w:tr>
      <w:tr>
        <w:trPr>
          <w:trHeight w:val="210"/>
        </w:trPr>
        <w:tc>
          <w:tcPr>
            <w:tcW w:w="3940" w:type="dxa"/>
            <w:vAlign w:val="bottom"/>
            <w:gridSpan w:val="2"/>
          </w:tcPr>
          <w:p>
            <w:pPr>
              <w:ind w:left="1700"/>
              <w:spacing w:after="0"/>
              <w:rPr>
                <w:sz w:val="20"/>
                <w:szCs w:val="20"/>
                <w:color w:val="auto"/>
              </w:rPr>
            </w:pPr>
            <w:r>
              <w:rPr>
                <w:rFonts w:ascii="Arial" w:cs="Arial" w:eastAsia="Arial" w:hAnsi="Arial"/>
                <w:sz w:val="16"/>
                <w:szCs w:val="16"/>
                <w:b w:val="1"/>
                <w:bCs w:val="1"/>
                <w:color w:val="auto"/>
              </w:rPr>
              <w:t>Period</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purchased</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 share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5"/>
                <w:szCs w:val="25"/>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9,366,000</w:t>
            </w:r>
          </w:p>
        </w:tc>
      </w:tr>
      <w:tr>
        <w:trPr>
          <w:trHeight w:val="270"/>
        </w:trPr>
        <w:tc>
          <w:tcPr>
            <w:tcW w:w="39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5"/>
                <w:szCs w:val="25"/>
                <w:color w:val="auto"/>
                <w:vertAlign w:val="superscript"/>
              </w:rPr>
              <w:t>(2)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CDN $</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3,478,000</w:t>
            </w: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July 1-31, 2018</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00" w:hanging="892"/>
        <w:spacing w:after="0" w:line="25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200" w:hanging="892"/>
        <w:spacing w:after="0" w:line="25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40" w:hanging="892"/>
        <w:spacing w:after="0" w:line="26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6"/>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520" w:type="dxa"/>
            <w:vAlign w:val="bottom"/>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6"/>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Sixteenth Modification of Office Lease between Westwood Management Corp. and Crescent TC Investors LP, dated as of July 5, 2018</w:t>
              </w:r>
            </w:hyperlink>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66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Chief Executive Officer Pursuant to Securities Exchange Act Rule 13a-14(a)</w:t>
              </w:r>
            </w:hyperlink>
          </w:p>
        </w:tc>
        <w:tc>
          <w:tcPr>
            <w:tcW w:w="3020" w:type="dxa"/>
            <w:vAlign w:val="bottom"/>
            <w:tcBorders>
              <w:top w:val="single" w:sz="8" w:color="0000FF"/>
            </w:tcBorders>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66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Chief Financial Officer Pursuant to Securities Exchange Act Rule 13a-14(a)</w:t>
              </w:r>
            </w:hyperlink>
          </w:p>
        </w:tc>
        <w:tc>
          <w:tcPr>
            <w:tcW w:w="3160" w:type="dxa"/>
            <w:vAlign w:val="bottom"/>
            <w:gridSpan w:val="4"/>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8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gridSpan w:val="6"/>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7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00" w:type="dxa"/>
            <w:vAlign w:val="bottom"/>
            <w:gridSpan w:val="6"/>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40" w:type="dxa"/>
            <w:vAlign w:val="bottom"/>
            <w:gridSpan w:val="5"/>
          </w:tcPr>
          <w:p>
            <w:pPr>
              <w:spacing w:after="0" w:line="20" w:lineRule="exact"/>
              <w:rPr>
                <w:sz w:val="1"/>
                <w:szCs w:val="1"/>
                <w:color w:val="auto"/>
              </w:rPr>
            </w:pPr>
          </w:p>
        </w:tc>
      </w:tr>
      <w:tr>
        <w:trPr>
          <w:trHeight w:val="574"/>
        </w:trPr>
        <w:tc>
          <w:tcPr>
            <w:tcW w:w="1520" w:type="dxa"/>
            <w:vAlign w:val="bottom"/>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364" w:right="339" w:bottom="1440" w:gutter="0" w:footer="0" w:header="0"/>
        </w:sectPr>
      </w:pPr>
    </w:p>
    <w:bookmarkStart w:id="36" w:name="page37"/>
    <w:bookmarkEnd w:id="36"/>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120" w:type="dxa"/>
            <w:vAlign w:val="bottom"/>
          </w:tcPr>
          <w:p>
            <w:pPr>
              <w:ind w:left="180"/>
              <w:spacing w:after="0"/>
              <w:rPr>
                <w:sz w:val="20"/>
                <w:szCs w:val="20"/>
                <w:color w:val="auto"/>
              </w:rPr>
            </w:pPr>
            <w:r>
              <w:rPr>
                <w:rFonts w:ascii="Arial" w:cs="Arial" w:eastAsia="Arial" w:hAnsi="Arial"/>
                <w:sz w:val="18"/>
                <w:szCs w:val="18"/>
                <w:color w:val="auto"/>
              </w:rPr>
              <w:t>October 24, 2018</w:t>
            </w:r>
          </w:p>
        </w:tc>
        <w:tc>
          <w:tcPr>
            <w:tcW w:w="6500" w:type="dxa"/>
            <w:vAlign w:val="bottom"/>
            <w:gridSpan w:val="2"/>
          </w:tcPr>
          <w:p>
            <w:pPr>
              <w:ind w:left="1680"/>
              <w:spacing w:after="0"/>
              <w:rPr>
                <w:sz w:val="20"/>
                <w:szCs w:val="20"/>
                <w:color w:val="auto"/>
              </w:rPr>
            </w:pPr>
            <w:r>
              <w:rPr>
                <w:rFonts w:ascii="Arial" w:cs="Arial" w:eastAsia="Arial" w:hAnsi="Arial"/>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Tiffany B. Kice</w:t>
            </w:r>
          </w:p>
        </w:tc>
      </w:tr>
      <w:tr>
        <w:trPr>
          <w:trHeight w:val="27"/>
        </w:trPr>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Tiffany B. Kice</w:t>
            </w:r>
          </w:p>
        </w:tc>
      </w:tr>
      <w:tr>
        <w:trPr>
          <w:trHeight w:val="270"/>
        </w:trPr>
        <w:tc>
          <w:tcPr>
            <w:tcW w:w="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8" w:right="87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u w:val="single" w:color="auto"/>
          <w:color w:val="auto"/>
        </w:rPr>
        <w:t>SIXTEENTH MODIFICATION OF OFFICE LEASE</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SIXTEENTH MODIFICATION OF OFFICE LEASE (this “</w:t>
      </w:r>
      <w:r>
        <w:rPr>
          <w:rFonts w:ascii="Arial" w:cs="Arial" w:eastAsia="Arial" w:hAnsi="Arial"/>
          <w:sz w:val="22"/>
          <w:szCs w:val="22"/>
          <w:b w:val="1"/>
          <w:bCs w:val="1"/>
          <w:i w:val="1"/>
          <w:iCs w:val="1"/>
          <w:color w:val="auto"/>
        </w:rPr>
        <w:t>Sixteenth Modification</w:t>
      </w:r>
      <w:r>
        <w:rPr>
          <w:rFonts w:ascii="Arial" w:cs="Arial" w:eastAsia="Arial" w:hAnsi="Arial"/>
          <w:sz w:val="22"/>
          <w:szCs w:val="22"/>
          <w:color w:val="auto"/>
        </w:rPr>
        <w:t>”) is entered into as of the 5th day of July, 2018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CRESCENT TC INVESTORS, L.P., a Delaware limited partnership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and WESTWOOD MANAGEMENT CORP., a New York corporation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302" w:lineRule="auto"/>
        <w:tabs>
          <w:tab w:leader="none" w:pos="1076"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Crescent, a Texas joint venture, predecessor-in-interest to Landlord, and Tenant executed that certain Office Lease, dated April 9, 1990 (the “</w:t>
      </w:r>
      <w:r>
        <w:rPr>
          <w:rFonts w:ascii="Arial" w:cs="Arial" w:eastAsia="Arial" w:hAnsi="Arial"/>
          <w:sz w:val="19"/>
          <w:szCs w:val="19"/>
          <w:b w:val="1"/>
          <w:bCs w:val="1"/>
          <w:i w:val="1"/>
          <w:iCs w:val="1"/>
          <w:color w:val="auto"/>
        </w:rPr>
        <w:t>Original Lease</w:t>
      </w:r>
      <w:r>
        <w:rPr>
          <w:rFonts w:ascii="Arial" w:cs="Arial" w:eastAsia="Arial" w:hAnsi="Arial"/>
          <w:sz w:val="19"/>
          <w:szCs w:val="19"/>
          <w:color w:val="auto"/>
        </w:rPr>
        <w:t>”), covering certain space therein designated as Suite 1110, containing approximately 1,621 rentable square feet (the “</w:t>
      </w:r>
      <w:r>
        <w:rPr>
          <w:rFonts w:ascii="Arial" w:cs="Arial" w:eastAsia="Arial" w:hAnsi="Arial"/>
          <w:sz w:val="19"/>
          <w:szCs w:val="19"/>
          <w:b w:val="1"/>
          <w:bCs w:val="1"/>
          <w:i w:val="1"/>
          <w:iCs w:val="1"/>
          <w:color w:val="auto"/>
        </w:rPr>
        <w:t>Original Premises</w:t>
      </w:r>
      <w:r>
        <w:rPr>
          <w:rFonts w:ascii="Arial" w:cs="Arial" w:eastAsia="Arial" w:hAnsi="Arial"/>
          <w:sz w:val="19"/>
          <w:szCs w:val="19"/>
          <w:color w:val="auto"/>
        </w:rPr>
        <w:t>”), situated on the eleventh floor of 300 Crescent Court which is part of an office building commonly known as The Crescent®, located at 100, 200 and 300 Crescent Court, Dallas, Texas (the “</w:t>
      </w:r>
      <w:r>
        <w:rPr>
          <w:rFonts w:ascii="Arial" w:cs="Arial" w:eastAsia="Arial" w:hAnsi="Arial"/>
          <w:sz w:val="19"/>
          <w:szCs w:val="19"/>
          <w:b w:val="1"/>
          <w:bCs w:val="1"/>
          <w:i w:val="1"/>
          <w:iCs w:val="1"/>
          <w:color w:val="auto"/>
        </w:rPr>
        <w:t>Office Building</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656"/>
        <w:spacing w:after="0" w:line="284" w:lineRule="auto"/>
        <w:tabs>
          <w:tab w:leader="none" w:pos="108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Original Lease has been amended by (i) that certain First Modification of Office Lease dated September 11, 1991 (the “</w:t>
      </w:r>
      <w:r>
        <w:rPr>
          <w:rFonts w:ascii="Arial" w:cs="Arial" w:eastAsia="Arial" w:hAnsi="Arial"/>
          <w:sz w:val="19"/>
          <w:szCs w:val="19"/>
          <w:b w:val="1"/>
          <w:bCs w:val="1"/>
          <w:i w:val="1"/>
          <w:iCs w:val="1"/>
          <w:color w:val="auto"/>
        </w:rPr>
        <w:t>First Modification</w:t>
      </w:r>
      <w:r>
        <w:rPr>
          <w:rFonts w:ascii="Arial" w:cs="Arial" w:eastAsia="Arial" w:hAnsi="Arial"/>
          <w:sz w:val="19"/>
          <w:szCs w:val="19"/>
          <w:color w:val="auto"/>
        </w:rPr>
        <w:t>”), pursuant to which the Original Premises were expanded to include an additional 1,783 rentable square feet to consist of a total of 3,404 rentable square feet; (ii) that certain Second Modification of Office Lease dated September 27, 1991 (the “</w:t>
      </w:r>
      <w:r>
        <w:rPr>
          <w:rFonts w:ascii="Arial" w:cs="Arial" w:eastAsia="Arial" w:hAnsi="Arial"/>
          <w:sz w:val="19"/>
          <w:szCs w:val="19"/>
          <w:b w:val="1"/>
          <w:bCs w:val="1"/>
          <w:i w:val="1"/>
          <w:iCs w:val="1"/>
          <w:color w:val="auto"/>
        </w:rPr>
        <w:t>Second Modification</w:t>
      </w:r>
      <w:r>
        <w:rPr>
          <w:rFonts w:ascii="Arial" w:cs="Arial" w:eastAsia="Arial" w:hAnsi="Arial"/>
          <w:sz w:val="19"/>
          <w:szCs w:val="19"/>
          <w:color w:val="auto"/>
        </w:rPr>
        <w:t>”), pursuant to which an error in the amount of the monthly installments of Basic Rental was corrected; (iii) that certain Third Modification of Office Lease dated October 5, 1994 (the “</w:t>
      </w:r>
      <w:r>
        <w:rPr>
          <w:rFonts w:ascii="Arial" w:cs="Arial" w:eastAsia="Arial" w:hAnsi="Arial"/>
          <w:sz w:val="19"/>
          <w:szCs w:val="19"/>
          <w:b w:val="1"/>
          <w:bCs w:val="1"/>
          <w:i w:val="1"/>
          <w:iCs w:val="1"/>
          <w:color w:val="auto"/>
        </w:rPr>
        <w:t>Third Modification</w:t>
      </w:r>
      <w:r>
        <w:rPr>
          <w:rFonts w:ascii="Arial" w:cs="Arial" w:eastAsia="Arial" w:hAnsi="Arial"/>
          <w:sz w:val="19"/>
          <w:szCs w:val="19"/>
          <w:color w:val="auto"/>
        </w:rPr>
        <w:t>”), pursuant to which Tenant relocated to Suite 1320, containing approximately 5,322 rentable square feet located in 300 Crescent Court, Dallas, Texas (hereinafter referred to as the “</w:t>
      </w:r>
      <w:r>
        <w:rPr>
          <w:rFonts w:ascii="Arial" w:cs="Arial" w:eastAsia="Arial" w:hAnsi="Arial"/>
          <w:sz w:val="19"/>
          <w:szCs w:val="19"/>
          <w:b w:val="1"/>
          <w:bCs w:val="1"/>
          <w:i w:val="1"/>
          <w:iCs w:val="1"/>
          <w:color w:val="auto"/>
        </w:rPr>
        <w:t>New Premises</w:t>
      </w:r>
      <w:r>
        <w:rPr>
          <w:rFonts w:ascii="Arial" w:cs="Arial" w:eastAsia="Arial" w:hAnsi="Arial"/>
          <w:sz w:val="19"/>
          <w:szCs w:val="19"/>
          <w:color w:val="auto"/>
        </w:rPr>
        <w:t>”); (iv) that certain Letter Agreement dated June 15, 1995 (the “</w:t>
      </w:r>
      <w:r>
        <w:rPr>
          <w:rFonts w:ascii="Arial" w:cs="Arial" w:eastAsia="Arial" w:hAnsi="Arial"/>
          <w:sz w:val="19"/>
          <w:szCs w:val="19"/>
          <w:b w:val="1"/>
          <w:bCs w:val="1"/>
          <w:i w:val="1"/>
          <w:iCs w:val="1"/>
          <w:color w:val="auto"/>
        </w:rPr>
        <w:t>Letter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pursuant to which the term of the Original Lease was extended for an additional five (5) years, through and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March 31, 2000; (v) that certain Fourth Modification of Office Lease dated April 26, 1996 (the “</w:t>
      </w:r>
      <w:r>
        <w:rPr>
          <w:rFonts w:ascii="Arial" w:cs="Arial" w:eastAsia="Arial" w:hAnsi="Arial"/>
          <w:sz w:val="19"/>
          <w:szCs w:val="19"/>
          <w:b w:val="1"/>
          <w:bCs w:val="1"/>
          <w:i w:val="1"/>
          <w:iCs w:val="1"/>
          <w:color w:val="auto"/>
        </w:rPr>
        <w:t>Fourth Modification</w:t>
      </w:r>
      <w:r>
        <w:rPr>
          <w:rFonts w:ascii="Arial" w:cs="Arial" w:eastAsia="Arial" w:hAnsi="Arial"/>
          <w:sz w:val="19"/>
          <w:szCs w:val="19"/>
          <w:color w:val="auto"/>
        </w:rPr>
        <w:t>”), pursuant to which the New Premises were expanded to include an additional 2,691 rentable square feet located at 200 Crescent Court, Dallas, Texas (the “</w:t>
      </w:r>
      <w:r>
        <w:rPr>
          <w:rFonts w:ascii="Arial" w:cs="Arial" w:eastAsia="Arial" w:hAnsi="Arial"/>
          <w:sz w:val="19"/>
          <w:szCs w:val="19"/>
          <w:b w:val="1"/>
          <w:bCs w:val="1"/>
          <w:i w:val="1"/>
          <w:iCs w:val="1"/>
          <w:color w:val="auto"/>
        </w:rPr>
        <w:t>First Expansion Space</w:t>
      </w:r>
      <w:r>
        <w:rPr>
          <w:rFonts w:ascii="Arial" w:cs="Arial" w:eastAsia="Arial" w:hAnsi="Arial"/>
          <w:sz w:val="19"/>
          <w:szCs w:val="19"/>
          <w:color w:val="auto"/>
        </w:rPr>
        <w:t>”) and an additional 1,770 rentable square feet located in 300 Crescent Court, Dallas, Texas (the “</w:t>
      </w:r>
      <w:r>
        <w:rPr>
          <w:rFonts w:ascii="Arial" w:cs="Arial" w:eastAsia="Arial" w:hAnsi="Arial"/>
          <w:sz w:val="19"/>
          <w:szCs w:val="19"/>
          <w:b w:val="1"/>
          <w:bCs w:val="1"/>
          <w:i w:val="1"/>
          <w:iCs w:val="1"/>
          <w:color w:val="auto"/>
        </w:rPr>
        <w:t>Second Expansion Space</w:t>
      </w:r>
      <w:r>
        <w:rPr>
          <w:rFonts w:ascii="Arial" w:cs="Arial" w:eastAsia="Arial" w:hAnsi="Arial"/>
          <w:sz w:val="19"/>
          <w:szCs w:val="19"/>
          <w:color w:val="auto"/>
        </w:rPr>
        <w:t>”), and the term of the Original Lease was extended through June 30, 2001; (vi) that certain Fifth Modification of Office Lease dated May 30, 1996 (the “</w:t>
      </w:r>
      <w:r>
        <w:rPr>
          <w:rFonts w:ascii="Arial" w:cs="Arial" w:eastAsia="Arial" w:hAnsi="Arial"/>
          <w:sz w:val="19"/>
          <w:szCs w:val="19"/>
          <w:b w:val="1"/>
          <w:bCs w:val="1"/>
          <w:i w:val="1"/>
          <w:iCs w:val="1"/>
          <w:color w:val="auto"/>
        </w:rPr>
        <w:t>Fifth Modification</w:t>
      </w:r>
      <w:r>
        <w:rPr>
          <w:rFonts w:ascii="Arial" w:cs="Arial" w:eastAsia="Arial" w:hAnsi="Arial"/>
          <w:sz w:val="19"/>
          <w:szCs w:val="19"/>
          <w:color w:val="auto"/>
        </w:rPr>
        <w:t>”), pursuant to which the New Premises were expanded to include an additional 167 rentable square feet located at 200 Crescent Court, Dallas, Texas (the “</w:t>
      </w:r>
      <w:r>
        <w:rPr>
          <w:rFonts w:ascii="Arial" w:cs="Arial" w:eastAsia="Arial" w:hAnsi="Arial"/>
          <w:sz w:val="19"/>
          <w:szCs w:val="19"/>
          <w:b w:val="1"/>
          <w:bCs w:val="1"/>
          <w:i w:val="1"/>
          <w:iCs w:val="1"/>
          <w:color w:val="auto"/>
        </w:rPr>
        <w:t>Third Expansion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Space</w:t>
      </w:r>
      <w:r>
        <w:rPr>
          <w:rFonts w:ascii="Arial" w:cs="Arial" w:eastAsia="Arial" w:hAnsi="Arial"/>
          <w:sz w:val="19"/>
          <w:szCs w:val="19"/>
          <w:color w:val="auto"/>
        </w:rPr>
        <w:t>”); (vii) that certain Sixth Modification of Office Lease dated September 18, 1997 (the “</w:t>
      </w:r>
      <w:r>
        <w:rPr>
          <w:rFonts w:ascii="Arial" w:cs="Arial" w:eastAsia="Arial" w:hAnsi="Arial"/>
          <w:sz w:val="19"/>
          <w:szCs w:val="19"/>
          <w:b w:val="1"/>
          <w:bCs w:val="1"/>
          <w:i w:val="1"/>
          <w:iCs w:val="1"/>
          <w:color w:val="auto"/>
        </w:rPr>
        <w:t>Sixth Modification</w:t>
      </w:r>
      <w:r>
        <w:rPr>
          <w:rFonts w:ascii="Arial" w:cs="Arial" w:eastAsia="Arial" w:hAnsi="Arial"/>
          <w:sz w:val="19"/>
          <w:szCs w:val="19"/>
          <w:color w:val="auto"/>
        </w:rPr>
        <w:t>”),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the New Premises were expanded to include an additional 1,038 rentable square feet located at 200 Crescent Court, Dallas, Texas (the “</w:t>
      </w:r>
      <w:r>
        <w:rPr>
          <w:rFonts w:ascii="Arial" w:cs="Arial" w:eastAsia="Arial" w:hAnsi="Arial"/>
          <w:sz w:val="19"/>
          <w:szCs w:val="19"/>
          <w:b w:val="1"/>
          <w:bCs w:val="1"/>
          <w:i w:val="1"/>
          <w:iCs w:val="1"/>
          <w:color w:val="auto"/>
        </w:rPr>
        <w:t>Fourth Expansion Space</w:t>
      </w:r>
      <w:r>
        <w:rPr>
          <w:rFonts w:ascii="Arial" w:cs="Arial" w:eastAsia="Arial" w:hAnsi="Arial"/>
          <w:sz w:val="19"/>
          <w:szCs w:val="19"/>
          <w:color w:val="auto"/>
        </w:rPr>
        <w:t>”); (viii) that certain Seventh Modification of Office Lease dated June 24, 1998 (the “</w:t>
      </w:r>
      <w:r>
        <w:rPr>
          <w:rFonts w:ascii="Arial" w:cs="Arial" w:eastAsia="Arial" w:hAnsi="Arial"/>
          <w:sz w:val="19"/>
          <w:szCs w:val="19"/>
          <w:b w:val="1"/>
          <w:bCs w:val="1"/>
          <w:i w:val="1"/>
          <w:iCs w:val="1"/>
          <w:color w:val="auto"/>
        </w:rPr>
        <w:t>Seventh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Modification</w:t>
      </w:r>
      <w:r>
        <w:rPr>
          <w:rFonts w:ascii="Arial" w:cs="Arial" w:eastAsia="Arial" w:hAnsi="Arial"/>
          <w:sz w:val="19"/>
          <w:szCs w:val="19"/>
          <w:color w:val="auto"/>
        </w:rPr>
        <w:t>”), pursuant to which the New Premises were reduced by approximately 3,896 rentable square feet of space located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200 Crescent Court, Dallas, Texas (the “</w:t>
      </w:r>
      <w:r>
        <w:rPr>
          <w:rFonts w:ascii="Arial" w:cs="Arial" w:eastAsia="Arial" w:hAnsi="Arial"/>
          <w:sz w:val="19"/>
          <w:szCs w:val="19"/>
          <w:b w:val="1"/>
          <w:bCs w:val="1"/>
          <w:i w:val="1"/>
          <w:iCs w:val="1"/>
          <w:color w:val="auto"/>
        </w:rPr>
        <w:t>Released Space</w:t>
      </w:r>
      <w:r>
        <w:rPr>
          <w:rFonts w:ascii="Arial" w:cs="Arial" w:eastAsia="Arial" w:hAnsi="Arial"/>
          <w:sz w:val="19"/>
          <w:szCs w:val="19"/>
          <w:color w:val="auto"/>
        </w:rPr>
        <w:t>”) and expanded to include an additional 5,818 rentable square feet located on the thirteenth floor of 200 and 300 Crescent Court, Dallas, Texas (the “</w:t>
      </w:r>
      <w:r>
        <w:rPr>
          <w:rFonts w:ascii="Arial" w:cs="Arial" w:eastAsia="Arial" w:hAnsi="Arial"/>
          <w:sz w:val="19"/>
          <w:szCs w:val="19"/>
          <w:b w:val="1"/>
          <w:bCs w:val="1"/>
          <w:i w:val="1"/>
          <w:iCs w:val="1"/>
          <w:color w:val="auto"/>
        </w:rPr>
        <w:t>Fifth Expansion Space</w:t>
      </w:r>
      <w:r>
        <w:rPr>
          <w:rFonts w:ascii="Arial" w:cs="Arial" w:eastAsia="Arial" w:hAnsi="Arial"/>
          <w:sz w:val="19"/>
          <w:szCs w:val="19"/>
          <w:color w:val="auto"/>
        </w:rPr>
        <w:t>”); (ix) that certain Eighth Modification of Office Lease dated September 21, 1998 (the “</w:t>
      </w:r>
      <w:r>
        <w:rPr>
          <w:rFonts w:ascii="Arial" w:cs="Arial" w:eastAsia="Arial" w:hAnsi="Arial"/>
          <w:sz w:val="19"/>
          <w:szCs w:val="19"/>
          <w:b w:val="1"/>
          <w:bCs w:val="1"/>
          <w:i w:val="1"/>
          <w:iCs w:val="1"/>
          <w:color w:val="auto"/>
        </w:rPr>
        <w:t>Eighth Modification</w:t>
      </w:r>
      <w:r>
        <w:rPr>
          <w:rFonts w:ascii="Arial" w:cs="Arial" w:eastAsia="Arial" w:hAnsi="Arial"/>
          <w:sz w:val="19"/>
          <w:szCs w:val="19"/>
          <w:color w:val="auto"/>
        </w:rPr>
        <w:t>”), pursuant to which the New Premises were expanded to include an additional 665 rentable square feet located on the thirteenth floor of 200 Crescent Court, Dallas, Texas (the “</w:t>
      </w:r>
      <w:r>
        <w:rPr>
          <w:rFonts w:ascii="Arial" w:cs="Arial" w:eastAsia="Arial" w:hAnsi="Arial"/>
          <w:sz w:val="19"/>
          <w:szCs w:val="19"/>
          <w:b w:val="1"/>
          <w:bCs w:val="1"/>
          <w:i w:val="1"/>
          <w:iCs w:val="1"/>
          <w:color w:val="auto"/>
        </w:rPr>
        <w:t>Sixth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Corporation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1420"/>
          </w:cols>
          <w:pgMar w:left="240" w:top="625" w:right="239" w:bottom="1440" w:gutter="0" w:footer="0" w:header="0"/>
        </w:sectPr>
      </w:pPr>
    </w:p>
    <w:bookmarkStart w:id="38" w:name="page39"/>
    <w:bookmarkEnd w:id="38"/>
    <w:p>
      <w:pPr>
        <w:jc w:val="both"/>
        <w:spacing w:after="0" w:line="262" w:lineRule="auto"/>
        <w:rPr>
          <w:sz w:val="20"/>
          <w:szCs w:val="20"/>
          <w:color w:val="auto"/>
        </w:rPr>
      </w:pPr>
      <w:r>
        <w:rPr>
          <w:rFonts w:ascii="Arial" w:cs="Arial" w:eastAsia="Arial" w:hAnsi="Arial"/>
          <w:sz w:val="20"/>
          <w:szCs w:val="20"/>
          <w:b w:val="1"/>
          <w:bCs w:val="1"/>
          <w:i w:val="1"/>
          <w:iCs w:val="1"/>
          <w:color w:val="auto"/>
        </w:rPr>
        <w:t>Space</w:t>
      </w:r>
      <w:r>
        <w:rPr>
          <w:rFonts w:ascii="Arial" w:cs="Arial" w:eastAsia="Arial" w:hAnsi="Arial"/>
          <w:sz w:val="20"/>
          <w:szCs w:val="20"/>
          <w:color w:val="auto"/>
        </w:rPr>
        <w:t>”); (x) that certain Ninth Modification of Office Lease dated November 25, 2003 (the “</w:t>
      </w:r>
      <w:r>
        <w:rPr>
          <w:rFonts w:ascii="Arial" w:cs="Arial" w:eastAsia="Arial" w:hAnsi="Arial"/>
          <w:sz w:val="20"/>
          <w:szCs w:val="20"/>
          <w:b w:val="1"/>
          <w:bCs w:val="1"/>
          <w:i w:val="1"/>
          <w:iCs w:val="1"/>
          <w:color w:val="auto"/>
        </w:rPr>
        <w:t>Ninth Modification</w:t>
      </w:r>
      <w:r>
        <w:rPr>
          <w:rFonts w:ascii="Arial" w:cs="Arial" w:eastAsia="Arial" w:hAnsi="Arial"/>
          <w:sz w:val="20"/>
          <w:szCs w:val="20"/>
          <w:color w:val="auto"/>
        </w:rPr>
        <w:t>”), pursuant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the Lease Term was extended and the New Premises, together with the First Expansion Space, the Second Expansion Space, the Third Expansion Space, the Fourth Expansion Space, the Fifth Expansion Space and the Sixth Expansion Space, and as reduced by the Released Space, were substituted with approximately 22,002 rentable square feet located on the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of 200 Crescent Court (the “</w:t>
      </w:r>
      <w:r>
        <w:rPr>
          <w:rFonts w:ascii="Arial" w:cs="Arial" w:eastAsia="Arial" w:hAnsi="Arial"/>
          <w:sz w:val="20"/>
          <w:szCs w:val="20"/>
          <w:b w:val="1"/>
          <w:bCs w:val="1"/>
          <w:i w:val="1"/>
          <w:iCs w:val="1"/>
          <w:color w:val="auto"/>
        </w:rPr>
        <w:t>Relocated Premises</w:t>
      </w:r>
      <w:r>
        <w:rPr>
          <w:rFonts w:ascii="Arial" w:cs="Arial" w:eastAsia="Arial" w:hAnsi="Arial"/>
          <w:sz w:val="20"/>
          <w:szCs w:val="20"/>
          <w:color w:val="auto"/>
        </w:rPr>
        <w:t>”); (xi) that certain Tenth Modification of Office Lease dated February 24, 2004 (the “</w:t>
      </w:r>
      <w:r>
        <w:rPr>
          <w:rFonts w:ascii="Arial" w:cs="Arial" w:eastAsia="Arial" w:hAnsi="Arial"/>
          <w:sz w:val="20"/>
          <w:szCs w:val="20"/>
          <w:b w:val="1"/>
          <w:bCs w:val="1"/>
          <w:i w:val="1"/>
          <w:iCs w:val="1"/>
          <w:color w:val="auto"/>
        </w:rPr>
        <w:t>Tenth</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Modification</w:t>
      </w:r>
      <w:r>
        <w:rPr>
          <w:rFonts w:ascii="Arial" w:cs="Arial" w:eastAsia="Arial" w:hAnsi="Arial"/>
          <w:sz w:val="20"/>
          <w:szCs w:val="20"/>
          <w:color w:val="auto"/>
        </w:rPr>
        <w:t>”), pursuant to which the Relocated Premises were redefined to contain 21,587 rentable square feet of space; (xii)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certain Eleventh Modification of Office Lease dated December 9, 2010 (the “</w:t>
      </w:r>
      <w:r>
        <w:rPr>
          <w:rFonts w:ascii="Arial" w:cs="Arial" w:eastAsia="Arial" w:hAnsi="Arial"/>
          <w:sz w:val="20"/>
          <w:szCs w:val="20"/>
          <w:b w:val="1"/>
          <w:bCs w:val="1"/>
          <w:i w:val="1"/>
          <w:iCs w:val="1"/>
          <w:color w:val="auto"/>
        </w:rPr>
        <w:t>Eleventh Modification</w:t>
      </w:r>
      <w:r>
        <w:rPr>
          <w:rFonts w:ascii="Arial" w:cs="Arial" w:eastAsia="Arial" w:hAnsi="Arial"/>
          <w:sz w:val="20"/>
          <w:szCs w:val="20"/>
          <w:color w:val="auto"/>
        </w:rPr>
        <w:t>”), pursuant to which the Lease Term was extended and the Relocated Premises were expanded to include Suite 1300, containing approximately 3,968 rentable square feet, located on the 13th floor of 200 Crescent Court (the “</w:t>
      </w:r>
      <w:r>
        <w:rPr>
          <w:rFonts w:ascii="Arial" w:cs="Arial" w:eastAsia="Arial" w:hAnsi="Arial"/>
          <w:sz w:val="20"/>
          <w:szCs w:val="20"/>
          <w:b w:val="1"/>
          <w:bCs w:val="1"/>
          <w:i w:val="1"/>
          <w:iCs w:val="1"/>
          <w:color w:val="auto"/>
        </w:rPr>
        <w:t>Seventh Expansion Space</w:t>
      </w:r>
      <w:r>
        <w:rPr>
          <w:rFonts w:ascii="Arial" w:cs="Arial" w:eastAsia="Arial" w:hAnsi="Arial"/>
          <w:sz w:val="20"/>
          <w:szCs w:val="20"/>
          <w:color w:val="auto"/>
        </w:rPr>
        <w:t>”); (xiii) that certain Twelfth Modification of Office Lease dated August 17, 2012 (the “</w:t>
      </w:r>
      <w:r>
        <w:rPr>
          <w:rFonts w:ascii="Arial" w:cs="Arial" w:eastAsia="Arial" w:hAnsi="Arial"/>
          <w:sz w:val="20"/>
          <w:szCs w:val="20"/>
          <w:b w:val="1"/>
          <w:bCs w:val="1"/>
          <w:i w:val="1"/>
          <w:iCs w:val="1"/>
          <w:color w:val="auto"/>
        </w:rPr>
        <w:t>Twelfth Modification</w:t>
      </w:r>
      <w:r>
        <w:rPr>
          <w:rFonts w:ascii="Arial" w:cs="Arial" w:eastAsia="Arial" w:hAnsi="Arial"/>
          <w:sz w:val="20"/>
          <w:szCs w:val="20"/>
          <w:color w:val="auto"/>
        </w:rPr>
        <w:t>”), pursuant to which the Relocated Premises were expanded to include additional space located on the 13th floor of 200 Crescent Court containing approximately 2,683 rentable square feet (the “</w:t>
      </w:r>
      <w:r>
        <w:rPr>
          <w:rFonts w:ascii="Arial" w:cs="Arial" w:eastAsia="Arial" w:hAnsi="Arial"/>
          <w:sz w:val="20"/>
          <w:szCs w:val="20"/>
          <w:b w:val="1"/>
          <w:bCs w:val="1"/>
          <w:i w:val="1"/>
          <w:iCs w:val="1"/>
          <w:color w:val="auto"/>
        </w:rPr>
        <w:t>Eighth Expansion Space</w:t>
      </w:r>
      <w:r>
        <w:rPr>
          <w:rFonts w:ascii="Arial" w:cs="Arial" w:eastAsia="Arial" w:hAnsi="Arial"/>
          <w:sz w:val="20"/>
          <w:szCs w:val="20"/>
          <w:color w:val="auto"/>
        </w:rPr>
        <w:t>”); (xiv) that certain Thirteenth Modification of Office Lease dated October 9, 2014 (the “</w:t>
      </w:r>
      <w:r>
        <w:rPr>
          <w:rFonts w:ascii="Arial" w:cs="Arial" w:eastAsia="Arial" w:hAnsi="Arial"/>
          <w:sz w:val="20"/>
          <w:szCs w:val="20"/>
          <w:b w:val="1"/>
          <w:bCs w:val="1"/>
          <w:i w:val="1"/>
          <w:iCs w:val="1"/>
          <w:color w:val="auto"/>
        </w:rPr>
        <w:t>Thirteenth Modification</w:t>
      </w:r>
      <w:r>
        <w:rPr>
          <w:rFonts w:ascii="Arial" w:cs="Arial" w:eastAsia="Arial" w:hAnsi="Arial"/>
          <w:sz w:val="20"/>
          <w:szCs w:val="20"/>
          <w:color w:val="auto"/>
        </w:rPr>
        <w:t>”), pursuant to which the Relocated Premises were expanded to include additional space located on the 13th floor of 200 Crescent Court containing approximately 1,210 rentable square feet (the “</w:t>
      </w:r>
      <w:r>
        <w:rPr>
          <w:rFonts w:ascii="Arial" w:cs="Arial" w:eastAsia="Arial" w:hAnsi="Arial"/>
          <w:sz w:val="20"/>
          <w:szCs w:val="20"/>
          <w:b w:val="1"/>
          <w:bCs w:val="1"/>
          <w:i w:val="1"/>
          <w:iCs w:val="1"/>
          <w:color w:val="auto"/>
        </w:rPr>
        <w:t>Ninth Expansion Space</w:t>
      </w:r>
      <w:r>
        <w:rPr>
          <w:rFonts w:ascii="Arial" w:cs="Arial" w:eastAsia="Arial" w:hAnsi="Arial"/>
          <w:sz w:val="20"/>
          <w:szCs w:val="20"/>
          <w:color w:val="auto"/>
        </w:rPr>
        <w:t>”); (xv) that certain Fourteenth Modification of Office Lease dated February 5, 2015 (the “</w:t>
      </w:r>
      <w:r>
        <w:rPr>
          <w:rFonts w:ascii="Arial" w:cs="Arial" w:eastAsia="Arial" w:hAnsi="Arial"/>
          <w:sz w:val="20"/>
          <w:szCs w:val="20"/>
          <w:b w:val="1"/>
          <w:bCs w:val="1"/>
          <w:i w:val="1"/>
          <w:iCs w:val="1"/>
          <w:color w:val="auto"/>
        </w:rPr>
        <w:t>Fourteenth Modification</w:t>
      </w:r>
      <w:r>
        <w:rPr>
          <w:rFonts w:ascii="Arial" w:cs="Arial" w:eastAsia="Arial" w:hAnsi="Arial"/>
          <w:sz w:val="20"/>
          <w:szCs w:val="20"/>
          <w:color w:val="auto"/>
        </w:rPr>
        <w:t>”), pursuant to which the Relocated Premises were expanded to include additional space located on the 4th floor of 200 Crescent Court containing approximately 4,747 rentable square feet (the “</w:t>
      </w:r>
      <w:r>
        <w:rPr>
          <w:rFonts w:ascii="Arial" w:cs="Arial" w:eastAsia="Arial" w:hAnsi="Arial"/>
          <w:sz w:val="20"/>
          <w:szCs w:val="20"/>
          <w:b w:val="1"/>
          <w:bCs w:val="1"/>
          <w:i w:val="1"/>
          <w:iCs w:val="1"/>
          <w:color w:val="auto"/>
        </w:rPr>
        <w:t>Tenth Expansion Space</w:t>
      </w:r>
      <w:r>
        <w:rPr>
          <w:rFonts w:ascii="Arial" w:cs="Arial" w:eastAsia="Arial" w:hAnsi="Arial"/>
          <w:sz w:val="20"/>
          <w:szCs w:val="20"/>
          <w:color w:val="auto"/>
        </w:rPr>
        <w:t>”); and (xvi) that certain Fifteenth Modification of Office Lease dated June 30, 2015 (the “</w:t>
      </w:r>
      <w:r>
        <w:rPr>
          <w:rFonts w:ascii="Arial" w:cs="Arial" w:eastAsia="Arial" w:hAnsi="Arial"/>
          <w:sz w:val="20"/>
          <w:szCs w:val="20"/>
          <w:b w:val="1"/>
          <w:bCs w:val="1"/>
          <w:i w:val="1"/>
          <w:iCs w:val="1"/>
          <w:color w:val="auto"/>
        </w:rPr>
        <w:t>Fifteenth Modification</w:t>
      </w:r>
      <w:r>
        <w:rPr>
          <w:rFonts w:ascii="Arial" w:cs="Arial" w:eastAsia="Arial" w:hAnsi="Arial"/>
          <w:sz w:val="20"/>
          <w:szCs w:val="20"/>
          <w:color w:val="auto"/>
        </w:rPr>
        <w:t>”), pursuant to which the Lease Term was extended, the Relocated Premises were expanded to include additional space located on the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of 100 Crescent Court containing approximately 17,376 rentable square feet (the “</w:t>
      </w:r>
      <w:r>
        <w:rPr>
          <w:rFonts w:ascii="Arial" w:cs="Arial" w:eastAsia="Arial" w:hAnsi="Arial"/>
          <w:sz w:val="20"/>
          <w:szCs w:val="20"/>
          <w:b w:val="1"/>
          <w:bCs w:val="1"/>
          <w:i w:val="1"/>
          <w:iCs w:val="1"/>
          <w:color w:val="auto"/>
        </w:rPr>
        <w:t>Eleventh Expansion Space</w:t>
      </w:r>
      <w:r>
        <w:rPr>
          <w:rFonts w:ascii="Arial" w:cs="Arial" w:eastAsia="Arial" w:hAnsi="Arial"/>
          <w:sz w:val="20"/>
          <w:szCs w:val="20"/>
          <w:color w:val="auto"/>
        </w:rPr>
        <w:t>”) and the Seventh Expansion Space, Eighth Expansion Space, Ninth Expansion Space and Tenth Expansion Space were released by Tenant.</w:t>
      </w:r>
    </w:p>
    <w:p>
      <w:pPr>
        <w:spacing w:after="0" w:line="182" w:lineRule="exact"/>
        <w:rPr>
          <w:sz w:val="20"/>
          <w:szCs w:val="20"/>
          <w:color w:val="auto"/>
        </w:rPr>
      </w:pPr>
    </w:p>
    <w:p>
      <w:pPr>
        <w:jc w:val="both"/>
        <w:ind w:firstLine="656"/>
        <w:spacing w:after="0" w:line="260" w:lineRule="auto"/>
        <w:tabs>
          <w:tab w:leader="none" w:pos="1072"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Original Lease, as modified by the First Modification, the Second Modification, the Third Modification, the Letter Agreement, the Fourth Modification, the Fifth Modification, the Sixth Modification, the Seventh Modification, the Eighth Modification, the Ninth Modification, the Tenth Modification, the Eleventh Modification, the Twelfth Modification, the Thirteenth Modification, the Fourteenth Modification and the Fifteenth Modification, is hereinafter referred to as the “</w:t>
      </w:r>
      <w:r>
        <w:rPr>
          <w:rFonts w:ascii="Arial" w:cs="Arial" w:eastAsia="Arial" w:hAnsi="Arial"/>
          <w:sz w:val="21"/>
          <w:szCs w:val="21"/>
          <w:b w:val="1"/>
          <w:bCs w:val="1"/>
          <w:i w:val="1"/>
          <w:iCs w:val="1"/>
          <w:color w:val="auto"/>
        </w:rPr>
        <w:t>Lease</w:t>
      </w:r>
      <w:r>
        <w:rPr>
          <w:rFonts w:ascii="Arial" w:cs="Arial" w:eastAsia="Arial" w:hAnsi="Arial"/>
          <w:sz w:val="21"/>
          <w:szCs w:val="21"/>
          <w:color w:val="auto"/>
        </w:rPr>
        <w:t>”. The Relocated Premises, together with the Eleventh Expansion Space, collectively containing approximately 38,963 rentable square feet, are hereinafter referred to as the “</w:t>
      </w:r>
      <w:r>
        <w:rPr>
          <w:rFonts w:ascii="Arial" w:cs="Arial" w:eastAsia="Arial" w:hAnsi="Arial"/>
          <w:sz w:val="21"/>
          <w:szCs w:val="21"/>
          <w:b w:val="1"/>
          <w:bCs w:val="1"/>
          <w:i w:val="1"/>
          <w:iCs w:val="1"/>
          <w:color w:val="auto"/>
        </w:rPr>
        <w:t>Current Premises</w:t>
      </w:r>
      <w:r>
        <w:rPr>
          <w:rFonts w:ascii="Arial" w:cs="Arial" w:eastAsia="Arial" w:hAnsi="Arial"/>
          <w:sz w:val="21"/>
          <w:szCs w:val="21"/>
          <w:color w:val="auto"/>
        </w:rPr>
        <w:t>”. Unless otherwise expressly provided herein, capitalized terms used herein shall have the same meanings as designated in the Lease.</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Landlord and Tenant desire to further amend and modify the Lease in certain respects as provided herein.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1420"/>
          </w:cols>
          <w:pgMar w:left="240" w:top="631" w:right="239" w:bottom="1440" w:gutter="0" w:footer="0" w:header="0"/>
        </w:sectPr>
      </w:pPr>
    </w:p>
    <w:bookmarkStart w:id="39" w:name="page40"/>
    <w:bookmarkEnd w:id="39"/>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In consideration of the sum of Ten Dollars ($10.00), the mutual covenants and agreements contained herein and in the Lease, and for other good and valuable consideration, the receipt and sufficiency of which are hereby acknowledged, Landlord and Tenant hereby further amend and modify the Lease as follows:</w:t>
      </w:r>
    </w:p>
    <w:p>
      <w:pPr>
        <w:spacing w:after="0" w:line="186" w:lineRule="exact"/>
        <w:rPr>
          <w:sz w:val="20"/>
          <w:szCs w:val="20"/>
          <w:color w:val="auto"/>
        </w:rPr>
      </w:pPr>
    </w:p>
    <w:p>
      <w:pPr>
        <w:jc w:val="both"/>
        <w:ind w:firstLine="656"/>
        <w:spacing w:after="0" w:line="286" w:lineRule="auto"/>
        <w:tabs>
          <w:tab w:leader="none" w:pos="102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Premises</w:t>
      </w:r>
      <w:r>
        <w:rPr>
          <w:rFonts w:ascii="Arial" w:cs="Arial" w:eastAsia="Arial" w:hAnsi="Arial"/>
          <w:sz w:val="19"/>
          <w:szCs w:val="19"/>
          <w:color w:val="auto"/>
        </w:rPr>
        <w:t xml:space="preserve">. Effective as of September 1, 2018, the Lease is hereby modified and amended to include approximately 4,745 rentable square feet, located on the 12th floor of 100 Crescent Court as shown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Twelfth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Expansion Space</w:t>
      </w:r>
      <w:r>
        <w:rPr>
          <w:rFonts w:ascii="Arial" w:cs="Arial" w:eastAsia="Arial" w:hAnsi="Arial"/>
          <w:sz w:val="19"/>
          <w:szCs w:val="19"/>
          <w:color w:val="auto"/>
        </w:rPr>
        <w:t>”). If Landlord is delayed in delivering possession of the Twelfth Expansion Space due to any reason,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Landlord’s failure to Substantially Complete the Landlord Work by September 1, 2018, or for any other reason, such delay shall not be a default by Landlord, render this Sixteenth Modification void or voidable, or otherwise render Landlord liable for damages. Notwithstanding anything to the contrary contained in the foregoing, if Landlord has not delivered the Twelfth Expansion Space on or before December 1, 2018 with the Landlord Work Substantially Complete, subject to Tenant Delay, then Tenant shall, as its sole remedy, receive a credit against the Basic Rental and Additional Rental next due and owing after December 1, 2018, in an amount equal to the number of days of delay in Landlord’s delivery of the Twelfth Expansion Space between the period commencing December 1, 2018 and continuing through the date Landlord delivers the Twelfth Expansion Space with the Landlord Work Substantially Complete. Tenant hereby acknowledges and agrees that the Twelfth Expansion Space is leased by Tenant subject to all terms and conditions of the Lease, as modified by this Sixteenth Modification. From and after September 1, 2018, the term “</w:t>
      </w:r>
      <w:r>
        <w:rPr>
          <w:rFonts w:ascii="Arial" w:cs="Arial" w:eastAsia="Arial" w:hAnsi="Arial"/>
          <w:sz w:val="19"/>
          <w:szCs w:val="19"/>
          <w:b w:val="1"/>
          <w:bCs w:val="1"/>
          <w:i w:val="1"/>
          <w:iCs w:val="1"/>
          <w:color w:val="auto"/>
        </w:rPr>
        <w:t>Premises</w:t>
      </w:r>
      <w:r>
        <w:rPr>
          <w:rFonts w:ascii="Arial" w:cs="Arial" w:eastAsia="Arial" w:hAnsi="Arial"/>
          <w:sz w:val="19"/>
          <w:szCs w:val="19"/>
          <w:color w:val="auto"/>
        </w:rPr>
        <w:t>” wherever used in the Lease or in this Sixteenth Modification shall mean the Current Premises together with the Twelfth Expansion Space, collectively containing 43,708 rentable square feet.</w:t>
      </w:r>
    </w:p>
    <w:p>
      <w:pPr>
        <w:spacing w:after="0" w:line="163" w:lineRule="exact"/>
        <w:rPr>
          <w:rFonts w:ascii="Arial" w:cs="Arial" w:eastAsia="Arial" w:hAnsi="Arial"/>
          <w:sz w:val="19"/>
          <w:szCs w:val="19"/>
          <w:color w:val="auto"/>
        </w:rPr>
      </w:pPr>
    </w:p>
    <w:p>
      <w:pPr>
        <w:ind w:firstLine="656"/>
        <w:spacing w:after="0" w:line="263" w:lineRule="auto"/>
        <w:tabs>
          <w:tab w:leader="none" w:pos="1026"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Basic Rental for Twelfth Expansion Space</w:t>
      </w:r>
      <w:r>
        <w:rPr>
          <w:rFonts w:ascii="Arial" w:cs="Arial" w:eastAsia="Arial" w:hAnsi="Arial"/>
          <w:sz w:val="22"/>
          <w:szCs w:val="22"/>
          <w:color w:val="auto"/>
        </w:rPr>
        <w:t>. Effective as of September 1, 2018, the Basic Rental due and payable for the Twelfth Expansion Space shall be in the following amounts: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1420"/>
          </w:cols>
          <w:pgMar w:left="240" w:top="1440" w:right="239" w:bottom="1440" w:gutter="0" w:footer="0" w:header="0"/>
        </w:sectPr>
      </w:pPr>
    </w:p>
    <w:bookmarkStart w:id="40" w:name="page41"/>
    <w:bookmarkEnd w:id="40"/>
    <w:tbl>
      <w:tblPr>
        <w:tblLayout w:type="fixed"/>
        <w:tblInd w:w="850" w:type="dxa"/>
        <w:tblCellMar>
          <w:top w:w="0" w:type="dxa"/>
          <w:left w:w="0" w:type="dxa"/>
          <w:bottom w:w="0" w:type="dxa"/>
          <w:right w:w="0" w:type="dxa"/>
        </w:tblCellMar>
      </w:tblPr>
      <w:tr>
        <w:trPr>
          <w:trHeight w:val="243"/>
        </w:trPr>
        <w:tc>
          <w:tcPr>
            <w:tcW w:w="840" w:type="dxa"/>
            <w:vAlign w:val="bottom"/>
            <w:tcBorders>
              <w:top w:val="single" w:sz="8" w:color="00000A"/>
              <w:left w:val="single" w:sz="8" w:color="00000A"/>
            </w:tcBorders>
          </w:tcPr>
          <w:p>
            <w:pPr>
              <w:spacing w:after="0"/>
              <w:rPr>
                <w:sz w:val="21"/>
                <w:szCs w:val="21"/>
                <w:color w:val="auto"/>
              </w:rPr>
            </w:pPr>
          </w:p>
        </w:tc>
        <w:tc>
          <w:tcPr>
            <w:tcW w:w="1280" w:type="dxa"/>
            <w:vAlign w:val="bottom"/>
            <w:tcBorders>
              <w:top w:val="single" w:sz="8" w:color="00000A"/>
            </w:tcBorders>
          </w:tcPr>
          <w:p>
            <w:pPr>
              <w:spacing w:after="0"/>
              <w:rPr>
                <w:sz w:val="21"/>
                <w:szCs w:val="21"/>
                <w:color w:val="auto"/>
              </w:rPr>
            </w:pPr>
          </w:p>
        </w:tc>
        <w:tc>
          <w:tcPr>
            <w:tcW w:w="840" w:type="dxa"/>
            <w:vAlign w:val="bottom"/>
            <w:tcBorders>
              <w:top w:val="single" w:sz="8" w:color="00000A"/>
              <w:right w:val="single" w:sz="8" w:color="00000A"/>
            </w:tcBorders>
          </w:tcPr>
          <w:p>
            <w:pPr>
              <w:spacing w:after="0"/>
              <w:rPr>
                <w:sz w:val="21"/>
                <w:szCs w:val="21"/>
                <w:color w:val="auto"/>
              </w:rPr>
            </w:pPr>
          </w:p>
        </w:tc>
        <w:tc>
          <w:tcPr>
            <w:tcW w:w="200" w:type="dxa"/>
            <w:vAlign w:val="bottom"/>
            <w:tcBorders>
              <w:top w:val="single" w:sz="8" w:color="00000A"/>
            </w:tcBorders>
          </w:tcPr>
          <w:p>
            <w:pPr>
              <w:spacing w:after="0"/>
              <w:rPr>
                <w:sz w:val="21"/>
                <w:szCs w:val="21"/>
                <w:color w:val="auto"/>
              </w:rPr>
            </w:pPr>
          </w:p>
        </w:tc>
        <w:tc>
          <w:tcPr>
            <w:tcW w:w="20" w:type="dxa"/>
            <w:vAlign w:val="bottom"/>
            <w:tcBorders>
              <w:top w:val="single" w:sz="8" w:color="00000A"/>
            </w:tcBorders>
          </w:tcPr>
          <w:p>
            <w:pPr>
              <w:spacing w:after="0"/>
              <w:rPr>
                <w:sz w:val="21"/>
                <w:szCs w:val="21"/>
                <w:color w:val="auto"/>
              </w:rPr>
            </w:pPr>
          </w:p>
        </w:tc>
        <w:tc>
          <w:tcPr>
            <w:tcW w:w="2580" w:type="dxa"/>
            <w:vAlign w:val="bottom"/>
            <w:tcBorders>
              <w:top w:val="single" w:sz="8" w:color="00000A"/>
              <w:right w:val="single" w:sz="8" w:color="00000A"/>
            </w:tcBorders>
            <w:gridSpan w:val="3"/>
          </w:tcPr>
          <w:p>
            <w:pPr>
              <w:spacing w:after="0" w:line="243" w:lineRule="exact"/>
              <w:rPr>
                <w:sz w:val="20"/>
                <w:szCs w:val="20"/>
                <w:color w:val="auto"/>
              </w:rPr>
            </w:pPr>
            <w:r>
              <w:rPr>
                <w:rFonts w:ascii="Arial" w:cs="Arial" w:eastAsia="Arial" w:hAnsi="Arial"/>
                <w:sz w:val="22"/>
                <w:szCs w:val="22"/>
                <w:b w:val="1"/>
                <w:bCs w:val="1"/>
                <w:color w:val="auto"/>
                <w:w w:val="95"/>
              </w:rPr>
              <w:t>Annual Basic Rental Rate</w:t>
            </w:r>
          </w:p>
        </w:tc>
        <w:tc>
          <w:tcPr>
            <w:tcW w:w="2460" w:type="dxa"/>
            <w:vAlign w:val="bottom"/>
            <w:tcBorders>
              <w:top w:val="single" w:sz="8" w:color="00000A"/>
              <w:right w:val="single" w:sz="8" w:color="00000A"/>
            </w:tcBorders>
            <w:gridSpan w:val="5"/>
            <w:vMerge w:val="restart"/>
          </w:tcPr>
          <w:p>
            <w:pPr>
              <w:jc w:val="center"/>
              <w:ind w:right="20"/>
              <w:spacing w:after="0"/>
              <w:rPr>
                <w:sz w:val="20"/>
                <w:szCs w:val="20"/>
                <w:color w:val="auto"/>
              </w:rPr>
            </w:pPr>
            <w:r>
              <w:rPr>
                <w:rFonts w:ascii="Arial" w:cs="Arial" w:eastAsia="Arial" w:hAnsi="Arial"/>
                <w:sz w:val="22"/>
                <w:szCs w:val="22"/>
                <w:b w:val="1"/>
                <w:bCs w:val="1"/>
                <w:color w:val="auto"/>
                <w:w w:val="89"/>
              </w:rPr>
              <w:t>Monthly Basic Rental</w:t>
            </w:r>
          </w:p>
        </w:tc>
        <w:tc>
          <w:tcPr>
            <w:tcW w:w="0" w:type="dxa"/>
            <w:vAlign w:val="bottom"/>
          </w:tcPr>
          <w:p>
            <w:pPr>
              <w:spacing w:after="0"/>
              <w:rPr>
                <w:sz w:val="1"/>
                <w:szCs w:val="1"/>
                <w:color w:val="auto"/>
              </w:rPr>
            </w:pPr>
          </w:p>
        </w:tc>
      </w:tr>
      <w:tr>
        <w:trPr>
          <w:trHeight w:val="223"/>
        </w:trPr>
        <w:tc>
          <w:tcPr>
            <w:tcW w:w="840" w:type="dxa"/>
            <w:vAlign w:val="bottom"/>
            <w:tcBorders>
              <w:left w:val="single" w:sz="8" w:color="00000A"/>
            </w:tcBorders>
          </w:tcPr>
          <w:p>
            <w:pPr>
              <w:spacing w:after="0"/>
              <w:rPr>
                <w:sz w:val="19"/>
                <w:szCs w:val="19"/>
                <w:color w:val="auto"/>
              </w:rPr>
            </w:pPr>
          </w:p>
        </w:tc>
        <w:tc>
          <w:tcPr>
            <w:tcW w:w="2120" w:type="dxa"/>
            <w:vAlign w:val="bottom"/>
            <w:tcBorders>
              <w:right w:val="single" w:sz="8" w:color="00000A"/>
            </w:tcBorders>
            <w:gridSpan w:val="2"/>
            <w:vMerge w:val="restart"/>
          </w:tcPr>
          <w:p>
            <w:pPr>
              <w:spacing w:after="0"/>
              <w:rPr>
                <w:sz w:val="20"/>
                <w:szCs w:val="20"/>
                <w:color w:val="auto"/>
              </w:rPr>
            </w:pPr>
            <w:r>
              <w:rPr>
                <w:rFonts w:ascii="Arial" w:cs="Arial" w:eastAsia="Arial" w:hAnsi="Arial"/>
                <w:sz w:val="22"/>
                <w:szCs w:val="22"/>
                <w:b w:val="1"/>
                <w:bCs w:val="1"/>
                <w:color w:val="auto"/>
              </w:rPr>
              <w:t>Lease Months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Borders>
              <w:top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6"/>
              </w:rPr>
              <w:t>Per Rentable Square Foot</w:t>
            </w:r>
          </w:p>
        </w:tc>
        <w:tc>
          <w:tcPr>
            <w:tcW w:w="20" w:type="dxa"/>
            <w:vAlign w:val="bottom"/>
          </w:tcPr>
          <w:p>
            <w:pPr>
              <w:spacing w:after="0"/>
              <w:rPr>
                <w:sz w:val="19"/>
                <w:szCs w:val="19"/>
                <w:color w:val="auto"/>
              </w:rPr>
            </w:pPr>
          </w:p>
        </w:tc>
        <w:tc>
          <w:tcPr>
            <w:tcW w:w="200" w:type="dxa"/>
            <w:vAlign w:val="bottom"/>
            <w:tcBorders>
              <w:right w:val="single" w:sz="8" w:color="00000A"/>
            </w:tcBorders>
          </w:tcPr>
          <w:p>
            <w:pPr>
              <w:spacing w:after="0"/>
              <w:rPr>
                <w:sz w:val="19"/>
                <w:szCs w:val="19"/>
                <w:color w:val="auto"/>
              </w:rPr>
            </w:pPr>
          </w:p>
        </w:tc>
        <w:tc>
          <w:tcPr>
            <w:tcW w:w="2460" w:type="dxa"/>
            <w:vAlign w:val="bottom"/>
            <w:tcBorders>
              <w:top w:val="single" w:sz="8" w:color="00000A"/>
              <w:right w:val="single" w:sz="8" w:color="00000A"/>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00000A"/>
            </w:tcBorders>
          </w:tcPr>
          <w:p>
            <w:pPr>
              <w:spacing w:after="0"/>
              <w:rPr>
                <w:sz w:val="19"/>
                <w:szCs w:val="19"/>
                <w:color w:val="auto"/>
              </w:rPr>
            </w:pPr>
          </w:p>
        </w:tc>
        <w:tc>
          <w:tcPr>
            <w:tcW w:w="2120" w:type="dxa"/>
            <w:vAlign w:val="bottom"/>
            <w:tcBorders>
              <w:right w:val="single" w:sz="8" w:color="00000A"/>
            </w:tcBorders>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right w:val="single" w:sz="8" w:color="00000A"/>
            </w:tcBorders>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Borders>
              <w:top w:val="single" w:sz="8" w:color="auto"/>
            </w:tcBorders>
            <w:gridSpan w:val="3"/>
          </w:tcPr>
          <w:p>
            <w:pPr>
              <w:jc w:val="center"/>
              <w:spacing w:after="0" w:line="223" w:lineRule="exact"/>
              <w:rPr>
                <w:sz w:val="20"/>
                <w:szCs w:val="20"/>
                <w:color w:val="auto"/>
              </w:rPr>
            </w:pPr>
            <w:r>
              <w:rPr>
                <w:rFonts w:ascii="Arial" w:cs="Arial" w:eastAsia="Arial" w:hAnsi="Arial"/>
                <w:sz w:val="22"/>
                <w:szCs w:val="22"/>
                <w:b w:val="1"/>
                <w:bCs w:val="1"/>
                <w:color w:val="auto"/>
                <w:w w:val="89"/>
              </w:rPr>
              <w:t>Installment</w:t>
            </w:r>
          </w:p>
        </w:tc>
        <w:tc>
          <w:tcPr>
            <w:tcW w:w="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840" w:type="dxa"/>
            <w:vAlign w:val="bottom"/>
            <w:tcBorders>
              <w:left w:val="single" w:sz="8" w:color="00000A"/>
              <w:bottom w:val="single" w:sz="8" w:color="00000A"/>
            </w:tcBorders>
          </w:tcPr>
          <w:p>
            <w:pPr>
              <w:spacing w:after="0"/>
              <w:rPr>
                <w:sz w:val="4"/>
                <w:szCs w:val="4"/>
                <w:color w:val="auto"/>
              </w:rPr>
            </w:pPr>
          </w:p>
        </w:tc>
        <w:tc>
          <w:tcPr>
            <w:tcW w:w="1280" w:type="dxa"/>
            <w:vAlign w:val="bottom"/>
            <w:tcBorders>
              <w:top w:val="single" w:sz="8" w:color="auto"/>
              <w:bottom w:val="single" w:sz="8" w:color="00000A"/>
            </w:tcBorders>
          </w:tcPr>
          <w:p>
            <w:pPr>
              <w:spacing w:after="0"/>
              <w:rPr>
                <w:sz w:val="4"/>
                <w:szCs w:val="4"/>
                <w:color w:val="auto"/>
              </w:rPr>
            </w:pPr>
          </w:p>
        </w:tc>
        <w:tc>
          <w:tcPr>
            <w:tcW w:w="840" w:type="dxa"/>
            <w:vAlign w:val="bottom"/>
            <w:tcBorders>
              <w:bottom w:val="single" w:sz="8" w:color="00000A"/>
              <w:right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3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00" w:type="dxa"/>
            <w:vAlign w:val="bottom"/>
            <w:tcBorders>
              <w:bottom w:val="single" w:sz="8" w:color="00000A"/>
              <w:right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480" w:type="dxa"/>
            <w:vAlign w:val="bottom"/>
            <w:tcBorders>
              <w:bottom w:val="single" w:sz="8" w:color="00000A"/>
            </w:tcBorders>
          </w:tcPr>
          <w:p>
            <w:pPr>
              <w:spacing w:after="0"/>
              <w:rPr>
                <w:sz w:val="4"/>
                <w:szCs w:val="4"/>
                <w:color w:val="auto"/>
              </w:rPr>
            </w:pPr>
          </w:p>
        </w:tc>
        <w:tc>
          <w:tcPr>
            <w:tcW w:w="1040" w:type="dxa"/>
            <w:vAlign w:val="bottom"/>
            <w:tcBorders>
              <w:top w:val="single" w:sz="8" w:color="auto"/>
              <w:bottom w:val="single" w:sz="8" w:color="00000A"/>
            </w:tcBorders>
          </w:tcPr>
          <w:p>
            <w:pPr>
              <w:spacing w:after="0"/>
              <w:rPr>
                <w:sz w:val="4"/>
                <w:szCs w:val="4"/>
                <w:color w:val="auto"/>
              </w:rPr>
            </w:pPr>
          </w:p>
        </w:tc>
        <w:tc>
          <w:tcPr>
            <w:tcW w:w="480" w:type="dxa"/>
            <w:vAlign w:val="bottom"/>
            <w:tcBorders>
              <w:bottom w:val="single" w:sz="8" w:color="00000A"/>
            </w:tcBorders>
          </w:tcPr>
          <w:p>
            <w:pPr>
              <w:spacing w:after="0"/>
              <w:rPr>
                <w:sz w:val="4"/>
                <w:szCs w:val="4"/>
                <w:color w:val="auto"/>
              </w:rPr>
            </w:pPr>
          </w:p>
        </w:tc>
        <w:tc>
          <w:tcPr>
            <w:tcW w:w="24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8"/>
              </w:rPr>
              <w:t>9/1/2018 – 11/30/2018</w:t>
            </w:r>
          </w:p>
        </w:tc>
        <w:tc>
          <w:tcPr>
            <w:tcW w:w="2580" w:type="dxa"/>
            <w:vAlign w:val="bottom"/>
            <w:tcBorders>
              <w:bottom w:val="single" w:sz="8" w:color="00000A"/>
            </w:tcBorders>
            <w:gridSpan w:val="3"/>
          </w:tcPr>
          <w:p>
            <w:pPr>
              <w:jc w:val="center"/>
              <w:ind w:left="92"/>
              <w:spacing w:after="0"/>
              <w:rPr>
                <w:sz w:val="20"/>
                <w:szCs w:val="20"/>
                <w:color w:val="auto"/>
              </w:rPr>
            </w:pPr>
            <w:r>
              <w:rPr>
                <w:rFonts w:ascii="Arial" w:cs="Arial" w:eastAsia="Arial" w:hAnsi="Arial"/>
                <w:sz w:val="22"/>
                <w:szCs w:val="22"/>
                <w:color w:val="auto"/>
                <w:w w:val="89"/>
              </w:rPr>
              <w:t>$0</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1"/>
              </w:rPr>
              <w:t>$0</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12/1/2018 – 11/30/2019</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$36.00</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$14,235.00</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12/1/2019 – 11/30/2020</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$37.08</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$14,662.05</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12/1/2020 – 11/30/2021</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$38.19</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$15,100.96</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12/1/2021 – 11/30/2022</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$39.34</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$15,555.69</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12/1/2022 – 11/30/2023</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$40.52</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$16,022.28</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12/1/2023 – 11/30/2024</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$41.74</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$16,504.69</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12/1/2024 – 12/31/2025</w:t>
            </w:r>
          </w:p>
        </w:tc>
        <w:tc>
          <w:tcPr>
            <w:tcW w:w="2580" w:type="dxa"/>
            <w:vAlign w:val="bottom"/>
            <w:tcBorders>
              <w:bottom w:val="single" w:sz="8" w:color="00000A"/>
            </w:tcBorders>
            <w:gridSpan w:val="3"/>
          </w:tcPr>
          <w:p>
            <w:pPr>
              <w:jc w:val="center"/>
              <w:ind w:left="112"/>
              <w:spacing w:after="0"/>
              <w:rPr>
                <w:sz w:val="20"/>
                <w:szCs w:val="20"/>
                <w:color w:val="auto"/>
              </w:rPr>
            </w:pPr>
            <w:r>
              <w:rPr>
                <w:rFonts w:ascii="Arial" w:cs="Arial" w:eastAsia="Arial" w:hAnsi="Arial"/>
                <w:sz w:val="22"/>
                <w:szCs w:val="22"/>
                <w:color w:val="auto"/>
                <w:w w:val="89"/>
              </w:rPr>
              <w:t>$42.99</w:t>
            </w:r>
          </w:p>
        </w:tc>
        <w:tc>
          <w:tcPr>
            <w:tcW w:w="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740" w:type="dxa"/>
            <w:vAlign w:val="bottom"/>
            <w:tcBorders>
              <w:bottom w:val="single" w:sz="8" w:color="00000A"/>
            </w:tcBorders>
            <w:gridSpan w:val="3"/>
          </w:tcPr>
          <w:p>
            <w:pPr>
              <w:jc w:val="center"/>
              <w:ind w:left="592"/>
              <w:spacing w:after="0"/>
              <w:rPr>
                <w:sz w:val="20"/>
                <w:szCs w:val="20"/>
                <w:color w:val="auto"/>
              </w:rPr>
            </w:pPr>
            <w:r>
              <w:rPr>
                <w:rFonts w:ascii="Arial" w:cs="Arial" w:eastAsia="Arial" w:hAnsi="Arial"/>
                <w:sz w:val="22"/>
                <w:szCs w:val="22"/>
                <w:color w:val="auto"/>
                <w:w w:val="87"/>
              </w:rPr>
              <w:t>$16,998.96</w:t>
            </w:r>
          </w:p>
        </w:tc>
        <w:tc>
          <w:tcPr>
            <w:tcW w:w="4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Rent for the Twelfth Expansion Space shall be paid in addition to Rent for the Current Premises, and all Rent shall be payable in accordance with the terms and provisions of the Lease, as modified by this Sixteenth Modification.</w:t>
      </w:r>
    </w:p>
    <w:p>
      <w:pPr>
        <w:spacing w:after="0" w:line="105" w:lineRule="exact"/>
        <w:rPr>
          <w:sz w:val="20"/>
          <w:szCs w:val="20"/>
          <w:color w:val="auto"/>
        </w:rPr>
      </w:pPr>
    </w:p>
    <w:p>
      <w:pPr>
        <w:ind w:firstLine="656"/>
        <w:spacing w:after="0" w:line="263" w:lineRule="auto"/>
        <w:tabs>
          <w:tab w:leader="none" w:pos="113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Tenant’s Proportionate Share</w:t>
      </w:r>
      <w:r>
        <w:rPr>
          <w:rFonts w:ascii="Arial" w:cs="Arial" w:eastAsia="Arial" w:hAnsi="Arial"/>
          <w:sz w:val="22"/>
          <w:szCs w:val="22"/>
          <w:color w:val="auto"/>
        </w:rPr>
        <w:t>. Effective as of September 1, 2018, Tenant’s proportionate share shall be adjusted to include the Twelfth Expansion Space.</w:t>
      </w:r>
    </w:p>
    <w:p>
      <w:pPr>
        <w:spacing w:after="0" w:line="168" w:lineRule="exact"/>
        <w:rPr>
          <w:rFonts w:ascii="Arial" w:cs="Arial" w:eastAsia="Arial" w:hAnsi="Arial"/>
          <w:sz w:val="22"/>
          <w:szCs w:val="22"/>
          <w:color w:val="auto"/>
        </w:rPr>
      </w:pPr>
    </w:p>
    <w:p>
      <w:pPr>
        <w:jc w:val="both"/>
        <w:ind w:firstLine="656"/>
        <w:spacing w:after="0" w:line="261" w:lineRule="auto"/>
        <w:tabs>
          <w:tab w:leader="none" w:pos="102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Actual Operating Expenses</w:t>
      </w:r>
      <w:r>
        <w:rPr>
          <w:rFonts w:ascii="Arial" w:cs="Arial" w:eastAsia="Arial" w:hAnsi="Arial"/>
          <w:sz w:val="21"/>
          <w:szCs w:val="21"/>
          <w:color w:val="auto"/>
        </w:rPr>
        <w:t xml:space="preserve">. The Basic Rental rates in </w:t>
      </w:r>
      <w:r>
        <w:rPr>
          <w:rFonts w:ascii="Arial" w:cs="Arial" w:eastAsia="Arial" w:hAnsi="Arial"/>
          <w:sz w:val="21"/>
          <w:szCs w:val="21"/>
          <w:b w:val="1"/>
          <w:bCs w:val="1"/>
          <w:color w:val="auto"/>
        </w:rPr>
        <w:t>Paragraph 2</w:t>
      </w:r>
      <w:r>
        <w:rPr>
          <w:rFonts w:ascii="Arial" w:cs="Arial" w:eastAsia="Arial" w:hAnsi="Arial"/>
          <w:sz w:val="21"/>
          <w:szCs w:val="21"/>
          <w:color w:val="auto"/>
        </w:rPr>
        <w:t xml:space="preserve"> above have been determined on a “net” lease basis. Accordingly, effective as of September 1, 2018, Tenant shall pay Tenant’s proportionate share of Actual Operating Expenses with respect to the Twelfth Expansion Space, without adjustment for a base year or expense stop. Notwithstanding anything to the contrary contained in the foregoing, provided no uncured event of default exists under the Lease beyond applicable notice and cure periods, Landlord agrees to abate Tenant’s proportionate share of Actual Operating Expenses (but not the electrical costs described in </w:t>
      </w:r>
      <w:r>
        <w:rPr>
          <w:rFonts w:ascii="Arial" w:cs="Arial" w:eastAsia="Arial" w:hAnsi="Arial"/>
          <w:sz w:val="21"/>
          <w:szCs w:val="21"/>
          <w:b w:val="1"/>
          <w:bCs w:val="1"/>
          <w:color w:val="auto"/>
        </w:rPr>
        <w:t>Paragraph 7(b)</w:t>
      </w:r>
      <w:r>
        <w:rPr>
          <w:rFonts w:ascii="Arial" w:cs="Arial" w:eastAsia="Arial" w:hAnsi="Arial"/>
          <w:sz w:val="21"/>
          <w:szCs w:val="21"/>
          <w:color w:val="auto"/>
        </w:rPr>
        <w:t xml:space="preserve"> of the Lease) due with respect to the Twelfth Expansion Space for the period commencing September 1, 2018 and continuing through November 30, 2018.</w:t>
      </w:r>
    </w:p>
    <w:p>
      <w:pPr>
        <w:spacing w:after="0" w:line="180" w:lineRule="exact"/>
        <w:rPr>
          <w:rFonts w:ascii="Arial" w:cs="Arial" w:eastAsia="Arial" w:hAnsi="Arial"/>
          <w:sz w:val="21"/>
          <w:szCs w:val="21"/>
          <w:color w:val="auto"/>
        </w:rPr>
      </w:pPr>
    </w:p>
    <w:p>
      <w:pPr>
        <w:jc w:val="both"/>
        <w:ind w:firstLine="656"/>
        <w:spacing w:after="0" w:line="246" w:lineRule="auto"/>
        <w:tabs>
          <w:tab w:leader="none" w:pos="1243"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Condition of Twelfth Expansion Space</w:t>
      </w:r>
      <w:r>
        <w:rPr>
          <w:rFonts w:ascii="Arial" w:cs="Arial" w:eastAsia="Arial" w:hAnsi="Arial"/>
          <w:sz w:val="22"/>
          <w:szCs w:val="22"/>
          <w:color w:val="auto"/>
        </w:rPr>
        <w:t xml:space="preserve">. TENANT ACCEPTS THE TWELFTH EXPANSION SPACE IN ITS CURRENT “AS IS” CONDITION AND CONFIGURATION, AND ACKNOWLEDGES THAT LANDLORD MAKES NO REPRESENTATIONS OR WARRANTIES WITH RESPECT THERETO, NOR IS TENANT RELYING ON ANY REPRESENTATIONS OR WARRANTIES PURPORTEDLY MADE BY LANDLORD OR LANDLORD’S AGENTS AND EMPLOYEES. However, Landlord agrees to cause leasehold improvements to be constructed in the Twelfth Expansion Space pursuant to the Work Letter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which shall be executed by Landlord, Tenant, and Landlord’s construction manager, Crescent Property Services, LLC.</w:t>
      </w:r>
    </w:p>
    <w:p>
      <w:pPr>
        <w:spacing w:after="0" w:line="197" w:lineRule="exact"/>
        <w:rPr>
          <w:rFonts w:ascii="Arial" w:cs="Arial" w:eastAsia="Arial" w:hAnsi="Arial"/>
          <w:sz w:val="22"/>
          <w:szCs w:val="22"/>
          <w:color w:val="auto"/>
        </w:rPr>
      </w:pPr>
    </w:p>
    <w:p>
      <w:pPr>
        <w:jc w:val="both"/>
        <w:ind w:firstLine="656"/>
        <w:spacing w:after="0" w:line="312" w:lineRule="auto"/>
        <w:tabs>
          <w:tab w:leader="none" w:pos="1053"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Parking</w:t>
      </w:r>
      <w:r>
        <w:rPr>
          <w:rFonts w:ascii="Arial" w:cs="Arial" w:eastAsia="Arial" w:hAnsi="Arial"/>
          <w:sz w:val="19"/>
          <w:szCs w:val="19"/>
          <w:color w:val="auto"/>
        </w:rPr>
        <w:t xml:space="preserve">. Effective as of September 1, 2018, Tenant shall have the right to lease up to 14 additional unreserved parking spaces in the Parking Facilities in accordance the Parking Agreement attached to the Ninth Modification as </w:t>
      </w:r>
      <w:r>
        <w:rPr>
          <w:rFonts w:ascii="Arial" w:cs="Arial" w:eastAsia="Arial" w:hAnsi="Arial"/>
          <w:sz w:val="19"/>
          <w:szCs w:val="19"/>
          <w:b w:val="1"/>
          <w:bCs w:val="1"/>
          <w:u w:val="single" w:color="auto"/>
          <w:color w:val="auto"/>
        </w:rPr>
        <w:t>Rider No. 3</w:t>
      </w:r>
      <w:r>
        <w:rPr>
          <w:rFonts w:ascii="Arial" w:cs="Arial" w:eastAsia="Arial" w:hAnsi="Arial"/>
          <w:sz w:val="19"/>
          <w:szCs w:val="19"/>
          <w:color w:val="auto"/>
        </w:rPr>
        <w:t>, as modified by the Eleventh Modification, the Twelfth Modification, the Thirteenth Modification, the Fourteenth Modification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1420"/>
          </w:cols>
          <w:pgMar w:left="240" w:top="754" w:right="23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22"/>
          <w:szCs w:val="22"/>
          <w:color w:val="auto"/>
        </w:rPr>
        <w:t xml:space="preserve">and the Fifteenth Modification. The rates payable for any unreserved and reserved parking spaces leased by Tenant shall be as set forth in </w:t>
      </w:r>
      <w:r>
        <w:rPr>
          <w:rFonts w:ascii="Arial" w:cs="Arial" w:eastAsia="Arial" w:hAnsi="Arial"/>
          <w:sz w:val="22"/>
          <w:szCs w:val="22"/>
          <w:b w:val="1"/>
          <w:bCs w:val="1"/>
          <w:color w:val="auto"/>
        </w:rPr>
        <w:t>Paragraph 11</w:t>
      </w:r>
      <w:r>
        <w:rPr>
          <w:rFonts w:ascii="Arial" w:cs="Arial" w:eastAsia="Arial" w:hAnsi="Arial"/>
          <w:sz w:val="22"/>
          <w:szCs w:val="22"/>
          <w:color w:val="auto"/>
        </w:rPr>
        <w:t xml:space="preserve"> of the Eleventh Modification.</w:t>
      </w:r>
    </w:p>
    <w:p>
      <w:pPr>
        <w:spacing w:after="0" w:line="169" w:lineRule="exact"/>
        <w:rPr>
          <w:sz w:val="20"/>
          <w:szCs w:val="20"/>
          <w:color w:val="auto"/>
        </w:rPr>
      </w:pPr>
    </w:p>
    <w:p>
      <w:pPr>
        <w:ind w:firstLine="656"/>
        <w:spacing w:after="0" w:line="269" w:lineRule="auto"/>
        <w:tabs>
          <w:tab w:leader="none" w:pos="106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Right of First Refusal</w:t>
      </w:r>
      <w:r>
        <w:rPr>
          <w:rFonts w:ascii="Arial" w:cs="Arial" w:eastAsia="Arial" w:hAnsi="Arial"/>
          <w:sz w:val="22"/>
          <w:szCs w:val="22"/>
          <w:color w:val="auto"/>
        </w:rPr>
        <w:t xml:space="preserve">. Tenant’s right of first refusal pursuant to </w:t>
      </w:r>
      <w:r>
        <w:rPr>
          <w:rFonts w:ascii="Arial" w:cs="Arial" w:eastAsia="Arial" w:hAnsi="Arial"/>
          <w:sz w:val="22"/>
          <w:szCs w:val="22"/>
          <w:b w:val="1"/>
          <w:bCs w:val="1"/>
          <w:u w:val="single" w:color="auto"/>
          <w:color w:val="auto"/>
        </w:rPr>
        <w:t>Rider No. 1</w:t>
      </w:r>
      <w:r>
        <w:rPr>
          <w:rFonts w:ascii="Arial" w:cs="Arial" w:eastAsia="Arial" w:hAnsi="Arial"/>
          <w:sz w:val="22"/>
          <w:szCs w:val="22"/>
          <w:color w:val="auto"/>
        </w:rPr>
        <w:t xml:space="preserve"> attached to the Fifteenth Modification is hereby deleted in its entirety.</w:t>
      </w:r>
    </w:p>
    <w:p>
      <w:pPr>
        <w:spacing w:after="0" w:line="168" w:lineRule="exact"/>
        <w:rPr>
          <w:rFonts w:ascii="Arial" w:cs="Arial" w:eastAsia="Arial" w:hAnsi="Arial"/>
          <w:sz w:val="22"/>
          <w:szCs w:val="22"/>
          <w:color w:val="auto"/>
        </w:rPr>
      </w:pPr>
    </w:p>
    <w:p>
      <w:pPr>
        <w:jc w:val="both"/>
        <w:ind w:firstLine="656"/>
        <w:spacing w:after="0" w:line="250" w:lineRule="auto"/>
        <w:tabs>
          <w:tab w:leader="none" w:pos="109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Sublease</w:t>
      </w:r>
      <w:r>
        <w:rPr>
          <w:rFonts w:ascii="Arial" w:cs="Arial" w:eastAsia="Arial" w:hAnsi="Arial"/>
          <w:sz w:val="22"/>
          <w:szCs w:val="22"/>
          <w:color w:val="auto"/>
        </w:rPr>
        <w:t>. Notwithstanding any provision contained in the Lease to the contrary, (a) Landlord hereby consents to the sublease by Tenant of up to 50% of the Twelfth Expansion Space to Justin State Bank, and (b) such sublease shall not cause a termination of or otherwise affect or limit any of Tenant’s rights or options pursuant to the Lease, as modified by this Sixteenth Modification.</w:t>
      </w:r>
    </w:p>
    <w:p>
      <w:pPr>
        <w:spacing w:after="0" w:line="188" w:lineRule="exact"/>
        <w:rPr>
          <w:rFonts w:ascii="Arial" w:cs="Arial" w:eastAsia="Arial" w:hAnsi="Arial"/>
          <w:sz w:val="22"/>
          <w:szCs w:val="22"/>
          <w:color w:val="auto"/>
        </w:rPr>
      </w:pPr>
    </w:p>
    <w:p>
      <w:pPr>
        <w:jc w:val="both"/>
        <w:ind w:firstLine="656"/>
        <w:spacing w:after="0" w:line="259" w:lineRule="auto"/>
        <w:tabs>
          <w:tab w:leader="none" w:pos="1026"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Broker</w:t>
      </w:r>
      <w:r>
        <w:rPr>
          <w:rFonts w:ascii="Arial" w:cs="Arial" w:eastAsia="Arial" w:hAnsi="Arial"/>
          <w:sz w:val="21"/>
          <w:szCs w:val="21"/>
          <w:color w:val="auto"/>
        </w:rPr>
        <w:t>. Tenant represents and warrants that no broker or agent has represented Tenant in connection with this Sixteenth Modification, other than Jones Lang LaSalle Brokerage, Inc. (“</w:t>
      </w:r>
      <w:r>
        <w:rPr>
          <w:rFonts w:ascii="Arial" w:cs="Arial" w:eastAsia="Arial" w:hAnsi="Arial"/>
          <w:sz w:val="21"/>
          <w:szCs w:val="21"/>
          <w:b w:val="1"/>
          <w:bCs w:val="1"/>
          <w:i w:val="1"/>
          <w:iCs w:val="1"/>
          <w:color w:val="auto"/>
        </w:rPr>
        <w:t>JLL</w:t>
      </w:r>
      <w:r>
        <w:rPr>
          <w:rFonts w:ascii="Arial" w:cs="Arial" w:eastAsia="Arial" w:hAnsi="Arial"/>
          <w:sz w:val="21"/>
          <w:szCs w:val="21"/>
          <w:color w:val="auto"/>
        </w:rPr>
        <w:t>”), whose commission shall be paid by Landlord in accordance with a separate agreement between Landlord and JLL. Each party shall indemnify and defend the other party against any Claims for real estate commissions or fees in connection with this Sixteenth Modification made by any party claiming through the indemnifying party (except that Landlord shall be responsible for paying the commission becoming due to JLL as provided in the preceding sentence). The foregoing indemnification obligation of each indemnifying party shall include indemnification of any affiliates or subsidiaries of the foregoing, and all of their respective officers, directors, employees, shareholders, members, partners, agents and contractors (and, in the case of Landlord as the indemnified party, shall include Landlord’s mortgagees and the manager of the Office Building).</w:t>
      </w:r>
    </w:p>
    <w:p>
      <w:pPr>
        <w:spacing w:after="0" w:line="180" w:lineRule="exact"/>
        <w:rPr>
          <w:rFonts w:ascii="Arial" w:cs="Arial" w:eastAsia="Arial" w:hAnsi="Arial"/>
          <w:sz w:val="21"/>
          <w:szCs w:val="21"/>
          <w:color w:val="auto"/>
        </w:rPr>
      </w:pPr>
    </w:p>
    <w:p>
      <w:pPr>
        <w:jc w:val="both"/>
        <w:ind w:firstLine="656"/>
        <w:spacing w:after="0" w:line="265" w:lineRule="auto"/>
        <w:tabs>
          <w:tab w:leader="none" w:pos="1216"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ERISA Representation</w:t>
      </w:r>
      <w:r>
        <w:rPr>
          <w:rFonts w:ascii="Arial" w:cs="Arial" w:eastAsia="Arial" w:hAnsi="Arial"/>
          <w:sz w:val="21"/>
          <w:szCs w:val="21"/>
          <w:color w:val="auto"/>
        </w:rPr>
        <w:t>. Tenant represents that (i) neither Tenant nor any entity controlling or controlled by Tenant owns a ten percent (10%) or more interest (within the meaning of Prohibited Transaction Class Exemption 84-14) in JPMorgan Chase Bank, N.A. (“</w:t>
      </w:r>
      <w:r>
        <w:rPr>
          <w:rFonts w:ascii="Arial" w:cs="Arial" w:eastAsia="Arial" w:hAnsi="Arial"/>
          <w:sz w:val="21"/>
          <w:szCs w:val="21"/>
          <w:b w:val="1"/>
          <w:bCs w:val="1"/>
          <w:i w:val="1"/>
          <w:iCs w:val="1"/>
          <w:color w:val="auto"/>
        </w:rPr>
        <w:t>JPMorgan</w:t>
      </w:r>
      <w:r>
        <w:rPr>
          <w:rFonts w:ascii="Arial" w:cs="Arial" w:eastAsia="Arial" w:hAnsi="Arial"/>
          <w:sz w:val="21"/>
          <w:szCs w:val="21"/>
          <w:color w:val="auto"/>
        </w:rPr>
        <w:t>”) or any of JPMorgan’s affiliates, and (ii) neither JPMorgan, nor any of its affiliates, owns a ten percent (10%) or more interest in Tenant or any entity controlling or controlled by Tenant.</w:t>
      </w:r>
    </w:p>
    <w:p>
      <w:pPr>
        <w:spacing w:after="0" w:line="175" w:lineRule="exact"/>
        <w:rPr>
          <w:rFonts w:ascii="Arial" w:cs="Arial" w:eastAsia="Arial" w:hAnsi="Arial"/>
          <w:sz w:val="21"/>
          <w:szCs w:val="21"/>
          <w:color w:val="auto"/>
        </w:rPr>
      </w:pPr>
    </w:p>
    <w:p>
      <w:pPr>
        <w:jc w:val="both"/>
        <w:ind w:firstLine="656"/>
        <w:spacing w:after="0" w:line="248" w:lineRule="auto"/>
        <w:tabs>
          <w:tab w:leader="none" w:pos="1289"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Time of the Essence</w:t>
      </w:r>
      <w:r>
        <w:rPr>
          <w:rFonts w:ascii="Arial" w:cs="Arial" w:eastAsia="Arial" w:hAnsi="Arial"/>
          <w:sz w:val="22"/>
          <w:szCs w:val="22"/>
          <w:color w:val="auto"/>
        </w:rPr>
        <w:t>. Time is of the essence with respect to Tenant’s execution and delivery of this Sixteenth Modification to Landlord. If Tenant fails to execute and deliver a signed copy of this Sixteenth Modification to Landlord by 5:00 p.m. (Dallas, Texas time), on July 6, 2018, it shall be deemed null and void and shall have no force or effect, unless otherwise agreed in writing by Landlord. Landlord’s acceptance, execution and return of this document shall constitute Landlord’s agreement to waive Tenant’s failure to meet the foregoing deadline.</w:t>
      </w:r>
    </w:p>
    <w:p>
      <w:pPr>
        <w:spacing w:after="0" w:line="192" w:lineRule="exact"/>
        <w:rPr>
          <w:rFonts w:ascii="Arial" w:cs="Arial" w:eastAsia="Arial" w:hAnsi="Arial"/>
          <w:sz w:val="22"/>
          <w:szCs w:val="22"/>
          <w:color w:val="auto"/>
        </w:rPr>
      </w:pPr>
    </w:p>
    <w:p>
      <w:pPr>
        <w:jc w:val="both"/>
        <w:ind w:firstLine="656"/>
        <w:spacing w:after="0" w:line="292" w:lineRule="auto"/>
        <w:tabs>
          <w:tab w:leader="none" w:pos="125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Sixteenth Modification shall become effective only upon full execution and delivery of this Sixteenth Modification by Landlord and Tenant. This Sixteenth Modification contains the parties’ entire agreement regarding the subject matter covered by this Sixteenth Modification, and supersedes all prior correspondence, negotiations, and agreements, if any, whether oral or written, between the parties concerning such subject matter. There are no contemporaneous oral agreements, and there are no representations or warranties between the parties not contained in this Sixteenth Modification. Except as modified by this Sixteenth Modification, the terms and provisions of the Lease shall remain in full force and effect, and the Lease, as modified by this Sixteenth Modification, shall be binding upon and shall inure to the benefit of the parties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-5-</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1420"/>
          </w:cols>
          <w:pgMar w:left="240" w:top="631" w:right="2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22"/>
          <w:szCs w:val="22"/>
          <w:color w:val="auto"/>
        </w:rPr>
        <w:t>hereto, their successors and permitted assigns. In case of a conflict between the Lease and this Sixteenth Modification, the terms of this Sixteenth Modification shall control.</w:t>
      </w:r>
    </w:p>
    <w:p>
      <w:pPr>
        <w:spacing w:after="0" w:line="175" w:lineRule="exact"/>
        <w:rPr>
          <w:sz w:val="20"/>
          <w:szCs w:val="20"/>
          <w:color w:val="auto"/>
        </w:rPr>
      </w:pPr>
    </w:p>
    <w:p>
      <w:pPr>
        <w:jc w:val="both"/>
        <w:ind w:firstLine="656"/>
        <w:spacing w:after="0" w:line="288" w:lineRule="auto"/>
        <w:tabs>
          <w:tab w:leader="none" w:pos="1229"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Landlord and Tenant hereby ratify and confirm their respective obligations under the Lease and each party represents and warrants to the other that to its current actual knowledge, it has no defenses thereto. Additionally, Tenant further confirms and ratifies that, as of the date hereof, (a) the Lease is and remains in good standing and full force and effect, and</w:t>
      </w:r>
    </w:p>
    <w:p>
      <w:pPr>
        <w:spacing w:after="0" w:line="1" w:lineRule="exact"/>
        <w:rPr>
          <w:rFonts w:ascii="Arial" w:cs="Arial" w:eastAsia="Arial" w:hAnsi="Arial"/>
          <w:sz w:val="19"/>
          <w:szCs w:val="19"/>
          <w:color w:val="auto"/>
        </w:rPr>
      </w:pPr>
    </w:p>
    <w:p>
      <w:pPr>
        <w:jc w:val="both"/>
        <w:ind w:firstLine="8"/>
        <w:spacing w:after="0" w:line="245" w:lineRule="auto"/>
        <w:tabs>
          <w:tab w:leader="none" w:pos="32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its current actual knowledge, Tenant has no claims, counterclaims, set-offs or defenses against Landlord arising out of the Lease or in any way relating thereto. Landlord confirms that, to its current actual knowledge, Tenant is not in default under the Lease.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signatures on following page</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1420"/>
          </w:cols>
          <w:pgMar w:left="240" w:top="631" w:right="2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CRESCENT TC INVESTORS, 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partnership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By:Crescent TCI GP,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Dianna Russo</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Dianna Russo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WESTWOOD MANAGEMENT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O. Casey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Brian O. Casey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0219"/>
          </w:cols>
          <w:pgMar w:left="240" w:top="631" w:right="1440" w:bottom="1440" w:gutter="0" w:footer="0" w:header="0"/>
        </w:sectPr>
      </w:pPr>
    </w:p>
    <w:bookmarkStart w:id="44" w:name="page45"/>
    <w:bookmarkEnd w:id="44"/>
    <w:p>
      <w:pPr>
        <w:jc w:val="center"/>
        <w:ind w:right="-12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OUTLINE AND LOCATION OF TWELFTH 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5351145" cy="3344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 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20750729v.5</w:t>
      </w:r>
    </w:p>
    <w:p>
      <w:pPr>
        <w:sectPr>
          <w:pgSz w:w="11900" w:h="16838" w:orient="portrait"/>
          <w:cols w:equalWidth="0" w:num="1">
            <w:col w:w="10219"/>
          </w:cols>
          <w:pgMar w:left="240" w:top="625"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WORK LETTER</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Work Letter is attached as an Exhibit to an Sixteenth Modification of Office Lease (the “</w:t>
      </w:r>
      <w:r>
        <w:rPr>
          <w:rFonts w:ascii="Arial" w:cs="Arial" w:eastAsia="Arial" w:hAnsi="Arial"/>
          <w:sz w:val="19"/>
          <w:szCs w:val="19"/>
          <w:b w:val="1"/>
          <w:bCs w:val="1"/>
          <w:i w:val="1"/>
          <w:iCs w:val="1"/>
          <w:color w:val="auto"/>
        </w:rPr>
        <w:t>Sixteenth Modification</w:t>
      </w:r>
      <w:r>
        <w:rPr>
          <w:rFonts w:ascii="Arial" w:cs="Arial" w:eastAsia="Arial" w:hAnsi="Arial"/>
          <w:sz w:val="19"/>
          <w:szCs w:val="19"/>
          <w:color w:val="auto"/>
        </w:rPr>
        <w:t>”) between CRESCENT TC INVESTORS, L.P., as Landlord, and WESTWOOD MANAGEMENT CORP., as Tenant. Unless otherwise specified, all capitalized terms used in this Work Letter shall have the same meanings as in the Lease (as defined in the Sixteenth Modification), as modified by the Sixteenth Modification. In the event of any conflict between the Lease, as modified by the Sixteenth Modification, and this Work Letter, the latter shall control. Pursuant to the terms of the Property Management Agreement executed by Landlord and Crescent Property Services, LLC (“</w:t>
      </w:r>
      <w:r>
        <w:rPr>
          <w:rFonts w:ascii="Arial" w:cs="Arial" w:eastAsia="Arial" w:hAnsi="Arial"/>
          <w:sz w:val="19"/>
          <w:szCs w:val="19"/>
          <w:b w:val="1"/>
          <w:bCs w:val="1"/>
          <w:i w:val="1"/>
          <w:iCs w:val="1"/>
          <w:color w:val="auto"/>
        </w:rPr>
        <w:t>CPS</w:t>
      </w:r>
      <w:r>
        <w:rPr>
          <w:rFonts w:ascii="Arial" w:cs="Arial" w:eastAsia="Arial" w:hAnsi="Arial"/>
          <w:sz w:val="19"/>
          <w:szCs w:val="19"/>
          <w:color w:val="auto"/>
        </w:rPr>
        <w:t>”), CPS has agreed to perform certain obligations as Landlord’s agent and on Landlord’s behalf, including the obligations set forth below. The term “</w:t>
      </w:r>
      <w:r>
        <w:rPr>
          <w:rFonts w:ascii="Arial" w:cs="Arial" w:eastAsia="Arial" w:hAnsi="Arial"/>
          <w:sz w:val="19"/>
          <w:szCs w:val="19"/>
          <w:b w:val="1"/>
          <w:bCs w:val="1"/>
          <w:i w:val="1"/>
          <w:iCs w:val="1"/>
          <w:color w:val="auto"/>
        </w:rPr>
        <w:t>Premises</w:t>
      </w:r>
      <w:r>
        <w:rPr>
          <w:rFonts w:ascii="Arial" w:cs="Arial" w:eastAsia="Arial" w:hAnsi="Arial"/>
          <w:sz w:val="19"/>
          <w:szCs w:val="19"/>
          <w:color w:val="auto"/>
        </w:rPr>
        <w:t>” as used in this Work Letter, shall mean the Current Premises together with the Twelfth Expansion Space.</w:t>
      </w:r>
    </w:p>
    <w:p>
      <w:pPr>
        <w:spacing w:after="0" w:line="4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Approved Construction Documents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294" w:lineRule="auto"/>
        <w:tabs>
          <w:tab w:leader="none" w:pos="1286"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Tenant’s Information</w:t>
      </w:r>
      <w:r>
        <w:rPr>
          <w:rFonts w:ascii="Arial" w:cs="Arial" w:eastAsia="Arial" w:hAnsi="Arial"/>
          <w:sz w:val="19"/>
          <w:szCs w:val="19"/>
          <w:color w:val="auto"/>
        </w:rPr>
        <w:t>. Within twenty (20) Business Days after the Effective Date of this Sixteenth Modification, Tenant shall submit to CPS (i) the name of a representative of Tenant who has been designated as the person responsible for receiving all information from and delivering all information to CPS relating to the construction of the Landlord Work (as defined below), and (ii) preliminary space plans (the “</w:t>
      </w:r>
      <w:r>
        <w:rPr>
          <w:rFonts w:ascii="Arial" w:cs="Arial" w:eastAsia="Arial" w:hAnsi="Arial"/>
          <w:sz w:val="19"/>
          <w:szCs w:val="19"/>
          <w:b w:val="1"/>
          <w:bCs w:val="1"/>
          <w:i w:val="1"/>
          <w:iCs w:val="1"/>
          <w:color w:val="auto"/>
        </w:rPr>
        <w:t>Space Plans</w:t>
      </w:r>
      <w:r>
        <w:rPr>
          <w:rFonts w:ascii="Arial" w:cs="Arial" w:eastAsia="Arial" w:hAnsi="Arial"/>
          <w:sz w:val="19"/>
          <w:szCs w:val="19"/>
          <w:color w:val="auto"/>
        </w:rPr>
        <w:t>”), prepared by an architect approved by Landlord, providing a preliminary, conceptual layout and description of the Tenant’s partitions. Landlord hereby approves of Corgan and DLR Group/Staffelbach as architects to prepare the Space Plans and Construction Documents (defined below).</w:t>
      </w:r>
    </w:p>
    <w:p>
      <w:pPr>
        <w:spacing w:after="0" w:line="149" w:lineRule="exact"/>
        <w:rPr>
          <w:rFonts w:ascii="Arial" w:cs="Arial" w:eastAsia="Arial" w:hAnsi="Arial"/>
          <w:sz w:val="19"/>
          <w:szCs w:val="19"/>
          <w:color w:val="auto"/>
        </w:rPr>
      </w:pPr>
    </w:p>
    <w:p>
      <w:pPr>
        <w:jc w:val="both"/>
        <w:ind w:firstLine="656"/>
        <w:spacing w:after="0" w:line="258" w:lineRule="auto"/>
        <w:tabs>
          <w:tab w:leader="none" w:pos="1247"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Construction Documents</w:t>
      </w:r>
      <w:r>
        <w:rPr>
          <w:rFonts w:ascii="Arial" w:cs="Arial" w:eastAsia="Arial" w:hAnsi="Arial"/>
          <w:sz w:val="21"/>
          <w:szCs w:val="21"/>
          <w:color w:val="auto"/>
        </w:rPr>
        <w:t>. No later than sixty (60) Business Days after the date CPS approves of the Space Plans, Tenant shall submit to CPS complete, finished and detailed architectural, mechanical, electrical and plumbing drawings and specifications for the Twelfth Expansion Space to include Tenant’s partition and furniture layout, reflected ceiling, telephone and electrical outlets and equipment rooms, doors (including hardware and keying schedule), glass partitions, windows (if any), critical dimensions, structural loading requirements, millwork, finish schedules, air conditioning and heating systems, ductwork and electrical facilities, together with all supporting information and delivery schedules (the “</w:t>
      </w:r>
      <w:r>
        <w:rPr>
          <w:rFonts w:ascii="Arial" w:cs="Arial" w:eastAsia="Arial" w:hAnsi="Arial"/>
          <w:sz w:val="21"/>
          <w:szCs w:val="21"/>
          <w:b w:val="1"/>
          <w:bCs w:val="1"/>
          <w:i w:val="1"/>
          <w:iCs w:val="1"/>
          <w:color w:val="auto"/>
        </w:rPr>
        <w:t>Construction Documents</w:t>
      </w:r>
      <w:r>
        <w:rPr>
          <w:rFonts w:ascii="Arial" w:cs="Arial" w:eastAsia="Arial" w:hAnsi="Arial"/>
          <w:sz w:val="21"/>
          <w:szCs w:val="21"/>
          <w:color w:val="auto"/>
        </w:rPr>
        <w:t>”). The Construction Documents shall be prepared by architects and/or engineers selected by Tenant and approved by Landlord in writing in advance, which approval shall not be unreasonably withheld, conditioned or delayed. The Construction Documents shall comply with Laws and shall be presented in a format reasonably acceptable to CPS for filing with the appropriate governmental authorities for required permits and licenses.</w:t>
      </w:r>
    </w:p>
    <w:p>
      <w:pPr>
        <w:spacing w:after="0" w:line="186" w:lineRule="exact"/>
        <w:rPr>
          <w:sz w:val="20"/>
          <w:szCs w:val="20"/>
          <w:color w:val="auto"/>
        </w:rPr>
      </w:pPr>
    </w:p>
    <w:p>
      <w:pPr>
        <w:jc w:val="both"/>
        <w:ind w:firstLine="656"/>
        <w:spacing w:after="0" w:line="302" w:lineRule="auto"/>
        <w:tabs>
          <w:tab w:leader="none" w:pos="130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CPS’s Approval</w:t>
      </w:r>
      <w:r>
        <w:rPr>
          <w:rFonts w:ascii="Arial" w:cs="Arial" w:eastAsia="Arial" w:hAnsi="Arial"/>
          <w:sz w:val="19"/>
          <w:szCs w:val="19"/>
          <w:color w:val="auto"/>
        </w:rPr>
        <w:t>. Within ten (10) Business Days following receipt of Tenant’s Space Plans and within ten (10) Business Days following receipt of the Construction Documents, CPS (or its designated architectural and/or engineering firm) shall approve or disapprove such documents in writing. CPS’s approval shall not be unreasonably withheld. In the event CPS fails to respond with its approval or disapproval within such ten (10) Business Day period, Tenant may deliver to</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1"/>
          <w:szCs w:val="21"/>
          <w:color w:val="auto"/>
        </w:rPr>
        <w:t>B - i</w:t>
      </w:r>
    </w:p>
    <w:p>
      <w:pPr>
        <w:sectPr>
          <w:pgSz w:w="11900" w:h="16838" w:orient="portrait"/>
          <w:cols w:equalWidth="0" w:num="1">
            <w:col w:w="11420"/>
          </w:cols>
          <w:pgMar w:left="240" w:top="625" w:right="2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9"/>
          <w:szCs w:val="19"/>
          <w:color w:val="auto"/>
        </w:rPr>
        <w:t>CPS a second written request for approval, which request shall state in bold, conspicuous and all capital letters “</w:t>
      </w:r>
      <w:r>
        <w:rPr>
          <w:rFonts w:ascii="Arial" w:cs="Arial" w:eastAsia="Arial" w:hAnsi="Arial"/>
          <w:sz w:val="19"/>
          <w:szCs w:val="19"/>
          <w:b w:val="1"/>
          <w:bCs w:val="1"/>
          <w:color w:val="auto"/>
        </w:rPr>
        <w:t>CPS’S</w:t>
      </w:r>
      <w:r>
        <w:rPr>
          <w:rFonts w:ascii="Arial" w:cs="Arial" w:eastAsia="Arial" w:hAnsi="Arial"/>
          <w:sz w:val="19"/>
          <w:szCs w:val="19"/>
          <w:color w:val="auto"/>
        </w:rPr>
        <w:t xml:space="preserve"> </w:t>
      </w:r>
      <w:r>
        <w:rPr>
          <w:rFonts w:ascii="Arial" w:cs="Arial" w:eastAsia="Arial" w:hAnsi="Arial"/>
          <w:sz w:val="19"/>
          <w:szCs w:val="19"/>
          <w:b w:val="1"/>
          <w:bCs w:val="1"/>
          <w:color w:val="auto"/>
        </w:rPr>
        <w:t>RESPONSE IS REQUIRED WITHIN 5 BUSINESS DAYS OR PLANS WILL BE DEEMED APPROVED</w:t>
      </w:r>
      <w:r>
        <w:rPr>
          <w:rFonts w:ascii="Arial" w:cs="Arial" w:eastAsia="Arial" w:hAnsi="Arial"/>
          <w:sz w:val="19"/>
          <w:szCs w:val="19"/>
          <w:color w:val="auto"/>
        </w:rPr>
        <w:t>”.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CPS fails to respond to such notice within five (5) Business Days after CPS’s receipt of such second request, the applicable plans and specifications shall be deemed approved. If CPS disapproves, CPS shall provide Tenant in writing specific reasons for such disapproval. Tenant shall submit corrected Construction Documents within ten (10) days of receipt of CPS’s disapproval notice. CPS shall approve or disapprove the corrected Construction Documents within five (5) additional days from receipt thereof. Upon CPS’s approval or deemed approval, the Construction Documents shall become the “</w:t>
      </w:r>
      <w:r>
        <w:rPr>
          <w:rFonts w:ascii="Arial" w:cs="Arial" w:eastAsia="Arial" w:hAnsi="Arial"/>
          <w:sz w:val="19"/>
          <w:szCs w:val="19"/>
          <w:b w:val="1"/>
          <w:bCs w:val="1"/>
          <w:i w:val="1"/>
          <w:iCs w:val="1"/>
          <w:color w:val="auto"/>
        </w:rPr>
        <w:t>Approved Construction Documents</w:t>
      </w:r>
      <w:r>
        <w:rPr>
          <w:rFonts w:ascii="Arial" w:cs="Arial" w:eastAsia="Arial" w:hAnsi="Arial"/>
          <w:sz w:val="19"/>
          <w:szCs w:val="19"/>
          <w:color w:val="auto"/>
        </w:rPr>
        <w:t>”.</w:t>
      </w:r>
    </w:p>
    <w:p>
      <w:pPr>
        <w:spacing w:after="0" w:line="145" w:lineRule="exact"/>
        <w:rPr>
          <w:sz w:val="20"/>
          <w:szCs w:val="20"/>
          <w:color w:val="auto"/>
        </w:rPr>
      </w:pPr>
    </w:p>
    <w:p>
      <w:pPr>
        <w:jc w:val="both"/>
        <w:ind w:firstLine="8"/>
        <w:spacing w:after="0" w:line="288" w:lineRule="auto"/>
        <w:tabs>
          <w:tab w:leader="none" w:pos="378"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Competitive Bids</w:t>
      </w:r>
      <w:r>
        <w:rPr>
          <w:rFonts w:ascii="Arial" w:cs="Arial" w:eastAsia="Arial" w:hAnsi="Arial"/>
          <w:sz w:val="19"/>
          <w:szCs w:val="19"/>
          <w:b w:val="1"/>
          <w:bCs w:val="1"/>
          <w:color w:val="auto"/>
        </w:rPr>
        <w:t xml:space="preserve">. </w:t>
      </w:r>
      <w:r>
        <w:rPr>
          <w:rFonts w:ascii="Arial" w:cs="Arial" w:eastAsia="Arial" w:hAnsi="Arial"/>
          <w:sz w:val="19"/>
          <w:szCs w:val="19"/>
          <w:color w:val="auto"/>
        </w:rPr>
        <w:t>CPS and Tenant shall mutually select and approve a maximum of five (5) but not less than three (3)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contractors who will provide competitive lump sum bids for the Landlord’s Work according to the Approved Construction Documents. Only subcontractors from Landlord’s approved subcontractor list shall be allowed to work on the mechanical, electrical and plumbing components of the Building; provided however, Landlord’s approved subcontractor list shall include not less than three (3) subcontractors in each of the mechanical, electrical, and plumbing trades. Only Landlord’s designated subcontractor for fire alarm components shall be allowed to work on the same. Tenant shall have the right, but not the obligation, to be involved in the bid process with all rights of CPS including selection of the bidders, bid receipt and review, and all bid and award processes including, but not limited to, contractor interviews, preparation of bid invitation, receipt and qualification of bids, and selection of the low qualified bidder. CPS shall enter into a contract with the mutually selected low qualified bidder on Landlord’s standard form of contract. Landlord hereby approves of Balfour Beatty Construction, Pacific Builders, Inc., K2 Construction, Inc. and James R. Thompson, Inc. as general contractors; provided, however, any general contractor from Landlord’s approved list of contractors for the Building will be acceptable for the Landlord Work.</w:t>
      </w:r>
    </w:p>
    <w:p>
      <w:pPr>
        <w:spacing w:after="0" w:line="149" w:lineRule="exact"/>
        <w:rPr>
          <w:rFonts w:ascii="Arial" w:cs="Arial" w:eastAsia="Arial" w:hAnsi="Arial"/>
          <w:sz w:val="19"/>
          <w:szCs w:val="19"/>
          <w:color w:val="auto"/>
        </w:rPr>
      </w:pPr>
    </w:p>
    <w:p>
      <w:pPr>
        <w:jc w:val="both"/>
        <w:ind w:firstLine="8"/>
        <w:spacing w:after="0" w:line="287" w:lineRule="auto"/>
        <w:tabs>
          <w:tab w:leader="none" w:pos="419"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Landlord’s Contributions</w:t>
      </w:r>
      <w:r>
        <w:rPr>
          <w:rFonts w:ascii="Arial" w:cs="Arial" w:eastAsia="Arial" w:hAnsi="Arial"/>
          <w:sz w:val="19"/>
          <w:szCs w:val="19"/>
          <w:color w:val="auto"/>
        </w:rPr>
        <w:t>. Landlord will provide a construction allowance equal to (a) the product of $50.00, multiplied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rentable square feet in the Twelfth Expansion Space, which equals $237,250.00 (the “</w:t>
      </w:r>
      <w:r>
        <w:rPr>
          <w:rFonts w:ascii="Arial" w:cs="Arial" w:eastAsia="Arial" w:hAnsi="Arial"/>
          <w:sz w:val="19"/>
          <w:szCs w:val="19"/>
          <w:b w:val="1"/>
          <w:bCs w:val="1"/>
          <w:i w:val="1"/>
          <w:iCs w:val="1"/>
          <w:color w:val="auto"/>
        </w:rPr>
        <w:t>Construction Allowance</w:t>
      </w:r>
      <w:r>
        <w:rPr>
          <w:rFonts w:ascii="Arial" w:cs="Arial" w:eastAsia="Arial" w:hAnsi="Arial"/>
          <w:sz w:val="19"/>
          <w:szCs w:val="19"/>
          <w:color w:val="auto"/>
        </w:rPr>
        <w:t xml:space="preserve">”), toward the cost of constructing the Landlord Work. The Construction Allowance shall be available for use upon the full execution of this Sixteenth Modification. Payments shall be made directly to Landlord’s and Tenant’s contractors and consultants performing the Landlord Work. The Construction Allowance shall first be distributed to fund the Construction Supervisory Fee (as set forth in </w:t>
      </w:r>
      <w:r>
        <w:rPr>
          <w:rFonts w:ascii="Arial" w:cs="Arial" w:eastAsia="Arial" w:hAnsi="Arial"/>
          <w:sz w:val="19"/>
          <w:szCs w:val="19"/>
          <w:b w:val="1"/>
          <w:bCs w:val="1"/>
          <w:color w:val="auto"/>
        </w:rPr>
        <w:t xml:space="preserve">Paragraph 5(B) </w:t>
      </w:r>
      <w:r>
        <w:rPr>
          <w:rFonts w:ascii="Arial" w:cs="Arial" w:eastAsia="Arial" w:hAnsi="Arial"/>
          <w:sz w:val="19"/>
          <w:szCs w:val="19"/>
          <w:color w:val="auto"/>
        </w:rPr>
        <w:t>below), then to the cost of the Landlord Work and any Change Order thereto. The cost of the following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in the cost of the Landlord Work and may be paid out of the Construction Allowance, to the extent sufficient funds are available for such purpose: (a) all space planning, design, consulting or review services and construction drawings related to the Landlord Work, (b) extension of electrical wiring from Landlord’s designated location(s) to the Twelfth Expansion Space, (c) purchasing and installing all building equipment for the Twelfth Expansion Space (including any submeters and other above building standard electrical equipment approved by CPS), (d) required metering, re-circuiting or re-wiring for metering, equipment rental, engineering design services, consulting services, studies, and construction services, (e) materials and labor incurred in connection with the performance of the Landlord Work, (f) telecommunications and data cabling, (g) moving expenses, (h) staging and temporary facilities, (i) security systems, (j) audio-visual systems, (k) construction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1"/>
          <w:szCs w:val="21"/>
          <w:color w:val="auto"/>
        </w:rPr>
        <w:t>B - ii</w:t>
      </w:r>
    </w:p>
    <w:p>
      <w:pPr>
        <w:sectPr>
          <w:pgSz w:w="11900" w:h="16838" w:orient="portrait"/>
          <w:cols w:equalWidth="0" w:num="1">
            <w:col w:w="11420"/>
          </w:cols>
          <w:pgMar w:left="240" w:top="625" w:right="239" w:bottom="1440" w:gutter="0" w:footer="0" w:header="0"/>
        </w:sectPr>
      </w:pPr>
    </w:p>
    <w:bookmarkStart w:id="47" w:name="page48"/>
    <w:bookmarkEnd w:id="47"/>
    <w:p>
      <w:pPr>
        <w:jc w:val="both"/>
        <w:spacing w:after="0" w:line="266" w:lineRule="auto"/>
        <w:rPr>
          <w:sz w:val="20"/>
          <w:szCs w:val="20"/>
          <w:color w:val="auto"/>
        </w:rPr>
      </w:pPr>
      <w:r>
        <w:rPr>
          <w:rFonts w:ascii="Arial" w:cs="Arial" w:eastAsia="Arial" w:hAnsi="Arial"/>
          <w:sz w:val="20"/>
          <w:szCs w:val="20"/>
          <w:color w:val="auto"/>
        </w:rPr>
        <w:t xml:space="preserve">supervisory fees as provided in </w:t>
      </w:r>
      <w:r>
        <w:rPr>
          <w:rFonts w:ascii="Arial" w:cs="Arial" w:eastAsia="Arial" w:hAnsi="Arial"/>
          <w:sz w:val="20"/>
          <w:szCs w:val="20"/>
          <w:b w:val="1"/>
          <w:bCs w:val="1"/>
          <w:color w:val="auto"/>
        </w:rPr>
        <w:t>Paragraph 5(b)</w:t>
      </w:r>
      <w:r>
        <w:rPr>
          <w:rFonts w:ascii="Arial" w:cs="Arial" w:eastAsia="Arial" w:hAnsi="Arial"/>
          <w:sz w:val="20"/>
          <w:szCs w:val="20"/>
          <w:color w:val="auto"/>
        </w:rPr>
        <w:t xml:space="preserve"> hereof, (l) communications and data cabling, (m) Tenant’s legal fees in negotiating this Sixteenth Modification, and (n) purchasing and installing workstations, furniture, fixtures and other equipment for the Twelfth Expansion Space to the extent sufficient funds are available, by reimbursement to Tenant for such actual third party costs within 30 days after receipt of an invoice therefor; provided, however, if Tenant so requests, Landlord shall pay such amounts directly to Tenant’s vendors within 30 days after Tenant has provided Landlord an invoice addressed to Landlord from such vendor together with evidence of Tenant’s approval thereof and other necessary documentation to reasonably establish the amount owed to the such vendor. Costs to Tenant or applied to the Construction Allowance shall exclude, (i) bonding, (ii) work or change orders not approved in advance by Tenant, (iii) overtime or accelerated work schedules that are not approved in advance by Tenant, (iv) Landlord’s Requirements, and (v) construction supervisory or management fees other than as provided in </w:t>
      </w:r>
      <w:r>
        <w:rPr>
          <w:rFonts w:ascii="Arial" w:cs="Arial" w:eastAsia="Arial" w:hAnsi="Arial"/>
          <w:sz w:val="20"/>
          <w:szCs w:val="20"/>
          <w:b w:val="1"/>
          <w:bCs w:val="1"/>
          <w:color w:val="auto"/>
        </w:rPr>
        <w:t>Paragraph 5(b)</w:t>
      </w:r>
      <w:r>
        <w:rPr>
          <w:rFonts w:ascii="Arial" w:cs="Arial" w:eastAsia="Arial" w:hAnsi="Arial"/>
          <w:sz w:val="20"/>
          <w:szCs w:val="20"/>
          <w:color w:val="auto"/>
        </w:rPr>
        <w:t xml:space="preserve"> hereof. In addition, and provided that there are sufficient funds available in the Construction Allowance after completion of the Landlord Work as provided herein, Tenant may utilize the remaining portion of the Construction Allowance toward a credit against Basic Rental (the “</w:t>
      </w:r>
      <w:r>
        <w:rPr>
          <w:rFonts w:ascii="Arial" w:cs="Arial" w:eastAsia="Arial" w:hAnsi="Arial"/>
          <w:sz w:val="20"/>
          <w:szCs w:val="20"/>
          <w:b w:val="1"/>
          <w:bCs w:val="1"/>
          <w:i w:val="1"/>
          <w:iCs w:val="1"/>
          <w:color w:val="auto"/>
        </w:rPr>
        <w:t>Rent Credit</w:t>
      </w:r>
      <w:r>
        <w:rPr>
          <w:rFonts w:ascii="Arial" w:cs="Arial" w:eastAsia="Arial" w:hAnsi="Arial"/>
          <w:sz w:val="20"/>
          <w:szCs w:val="20"/>
          <w:color w:val="auto"/>
        </w:rPr>
        <w:t>”) in an amount up to a maximum amount of $2.00 per rentable square foot in the Twelfth Expansion Space per year. Subject to the foregoing regarding the Rent Credit (which right to utilize the Rent Credit shall extend beyond the end of the twelfth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month following the Effective Date of this Sixteenth Modification), if the Construction Allowance made available to Tenant under this Work Letter is not utilized for its intended purpose within twelve (12) months of the Effective Date of this Sixteenth Modification solely as a result of Tenant Delay, then any then-remaining balance thereof shall be forfeited with no further obligation on the part of Landlord. In no event shall the Construction Allowance be used to fund Landlord’s Requirements set forth in </w:t>
      </w:r>
      <w:r>
        <w:rPr>
          <w:rFonts w:ascii="Arial" w:cs="Arial" w:eastAsia="Arial" w:hAnsi="Arial"/>
          <w:sz w:val="20"/>
          <w:szCs w:val="20"/>
          <w:b w:val="1"/>
          <w:bCs w:val="1"/>
          <w:color w:val="auto"/>
        </w:rPr>
        <w:t>Paragraph 7</w:t>
      </w:r>
      <w:r>
        <w:rPr>
          <w:rFonts w:ascii="Arial" w:cs="Arial" w:eastAsia="Arial" w:hAnsi="Arial"/>
          <w:sz w:val="20"/>
          <w:szCs w:val="20"/>
          <w:color w:val="auto"/>
        </w:rPr>
        <w:t>.</w:t>
      </w:r>
    </w:p>
    <w:p>
      <w:pPr>
        <w:spacing w:after="0" w:line="170"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286" w:lineRule="auto"/>
        <w:tabs>
          <w:tab w:leader="none" w:pos="134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General Terms</w:t>
      </w:r>
      <w:r>
        <w:rPr>
          <w:rFonts w:ascii="Arial" w:cs="Arial" w:eastAsia="Arial" w:hAnsi="Arial"/>
          <w:sz w:val="19"/>
          <w:szCs w:val="19"/>
          <w:color w:val="auto"/>
        </w:rPr>
        <w:t>. Subject to the terms of this Work Letter, CPS agrees to cause leasehold improvements to be constructed in the Twelfth Expansion Space (the “</w:t>
      </w:r>
      <w:r>
        <w:rPr>
          <w:rFonts w:ascii="Arial" w:cs="Arial" w:eastAsia="Arial" w:hAnsi="Arial"/>
          <w:sz w:val="19"/>
          <w:szCs w:val="19"/>
          <w:b w:val="1"/>
          <w:bCs w:val="1"/>
          <w:i w:val="1"/>
          <w:iCs w:val="1"/>
          <w:color w:val="auto"/>
        </w:rPr>
        <w:t>Landlord Work</w:t>
      </w:r>
      <w:r>
        <w:rPr>
          <w:rFonts w:ascii="Arial" w:cs="Arial" w:eastAsia="Arial" w:hAnsi="Arial"/>
          <w:sz w:val="19"/>
          <w:szCs w:val="19"/>
          <w:color w:val="auto"/>
        </w:rPr>
        <w:t>”) in a good and workmanlike manner in accordance with the Approved Construction Documents. CPS shall (i) provide as-built drawings of the Twelfth Expansion Space and accurate Building structure and systems information required for preparation of the Construction Documents, and (ii) construct, or by contractors it engages as mutually approved by Landlord and Tenant, cause to be constructed the Landlord Work and all work required in connection therewith, substantially in accordance with the Approved Construction Plans. Services to be mutually provided by CPS and Tenant’s Representative will include: (1) preparing budgets and advising Tenant on costs and building conditions affecting cost and schedule, (2) CPS shall review Tenant’s plans and specifications for comment and approval by CPS, (3) arrange for and attend contractor pre-construction interviews for selection of bidders, (4) in collaboration with Tenant’s Representative, receive/analyze/summarize contractors bids/proposals and provide recommendations, (5) advise on cost and time saving adjustments to meet budget and schedule objectives, (6) attend and arrange for documenting weekly progress meetings during construction, (7) coordinate Building access and operations with that of the Landlord Work and Tenant’s work, (8) provide regular construction cost updates (construction cost summaries and accounting against the Construction Allowance) to Tenant including submitting and processing Change Orders to Tenant for approval, (9) arrange for preparation of schedules including updates, and (10) arrange for the delivery of close-out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2"/>
          <w:szCs w:val="22"/>
          <w:color w:val="auto"/>
        </w:rPr>
        <w:t>B - iii</w:t>
      </w:r>
    </w:p>
    <w:p>
      <w:pPr>
        <w:sectPr>
          <w:pgSz w:w="11900" w:h="16838" w:orient="portrait"/>
          <w:cols w:equalWidth="0" w:num="1">
            <w:col w:w="11420"/>
          </w:cols>
          <w:pgMar w:left="240" w:top="625" w:right="2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2"/>
          <w:szCs w:val="22"/>
          <w:color w:val="auto"/>
        </w:rPr>
        <w:t>documentation including as-builts, certificate of occupancy, operation and maintenance manuals, warranties, final waivers and release of liens.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Tenant acknowledges that neither Landlord nor CPS is an architect or engineer, and that the Landlord Work will be designed and performed by independent architects, engineers and contractors. Accordingly, Landlord and CPS do not guarantee or warrant that the Approved Construction Documents will comply with Laws or be free from errors or omissions, or that the Landlord Work will be free from defects, and neither Landlord nor CPS will have any liability therefor. However, Landlord will warrant the construction and installation of the Landlord Work for a period of 12 months after the date such Landlord Work is Substantially Complete on the same basis under which Landlord requires its contractors and architects to warrant such work. In addition, CPS’s approval of the Construction Documents or the Landlord Work shall not be interpreted to waive or otherwise modify the terms and provisions of the Lease. Except with respect to the economic terms set forth in </w:t>
      </w:r>
      <w:r>
        <w:rPr>
          <w:rFonts w:ascii="Arial" w:cs="Arial" w:eastAsia="Arial" w:hAnsi="Arial"/>
          <w:sz w:val="19"/>
          <w:szCs w:val="19"/>
          <w:b w:val="1"/>
          <w:bCs w:val="1"/>
          <w:color w:val="auto"/>
        </w:rPr>
        <w:t>Paragraph 3</w:t>
      </w:r>
      <w:r>
        <w:rPr>
          <w:rFonts w:ascii="Arial" w:cs="Arial" w:eastAsia="Arial" w:hAnsi="Arial"/>
          <w:sz w:val="19"/>
          <w:szCs w:val="19"/>
          <w:color w:val="auto"/>
        </w:rPr>
        <w:t xml:space="preserve"> of this Work Letter, the terms and provisions contained in this Work Letter shall survive the completion of the Landlord Work and shall govern in all applicable circumstances arising under the Lease throughout the term of the Lease, including the construction of future improvements in the Premises. Tenant acknowledges that the Approved Construction Documents must comply with (i) the definitions used by CPS for the electrical terms used in this Work Letter, (ii) the electrical and HVAC design capacities of the Building, (iii) Landlord’s policies concerning communications and fire alarm services, provided that the policies concerning communications do not limit competitive bidding to multiple subcontractors, and (iv) Landlord’s policies concerning Tenant’s electrical design parameters, including harmonic distortion. Upon Tenant’s request, CPS will provide Tenant a written statement outlining items (i) through (iv) above.</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Tenant shall have broad design and construction rights in connection with the construction of the Twelfth Expansion Space, subject at all times to Tenant's compliance with Building Rules and Regulations, including, without limitation, all construction rules and regulations and subject to Landlord’s approval, which approval shall not be unreasonably denied, conditioned, or delayed. Such construction rights shall include, but shall not be limited to, the following: (i) the use of existing, or the installation of new, communication conduit within and between the floors; provided, however, installation of any additional conduit for Tenant's use will be at Tenant's sole cost and expense or funded from the Construction Allowance. Tenant shall have unrestricted access to its pro rata share of the Building telecom risers and pathways (horizontal and vertical), conduits and cabling. Landlord shall not restrict Tenant from (i) access to the current eight (8) communication carriers serving the Building nor shall Landlord charge any fees for carriers access to the Building or the Building risers and pathways that exceeds the normal and customary fees currently being charged (a list of the carriers and a description of the risers and equipment space of such carriers is available from Landlord at Tenant’s request); (ii) purchasing and installing Tenant's own cosmetic/decorative materials, including, but not limited to, floor coverings, paint and wall coverings; (iii) performing core drilling outside the Building’s normal business hours, (iv) adding structural support, as designed by a structural engineer in order to increase floor loading; (v) subject to Landlord's review and prior approval, installation of Tenant's own security card system for access to the Twelfth Expansion Space from the Building lobbies (in this regard, Landlord shall permit Tenant, at Tenant's sole cost and expense, to link its security system to the Building's security system to the extent compatible therewith); (vi) with the exception of core drilling and offensive noise or odor generating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1"/>
          <w:szCs w:val="21"/>
          <w:color w:val="auto"/>
        </w:rPr>
        <w:t>B - iv</w:t>
      </w:r>
    </w:p>
    <w:p>
      <w:pPr>
        <w:sectPr>
          <w:pgSz w:w="11900" w:h="16838" w:orient="portrait"/>
          <w:cols w:equalWidth="0" w:num="1">
            <w:col w:w="11420"/>
          </w:cols>
          <w:pgMar w:left="240" w:top="631" w:right="239" w:bottom="1440" w:gutter="0" w:footer="0" w:header="0"/>
        </w:sectPr>
      </w:pPr>
    </w:p>
    <w:bookmarkStart w:id="49" w:name="page50"/>
    <w:bookmarkEnd w:id="49"/>
    <w:p>
      <w:pPr>
        <w:jc w:val="both"/>
        <w:spacing w:after="0" w:line="312" w:lineRule="auto"/>
        <w:rPr>
          <w:sz w:val="20"/>
          <w:szCs w:val="20"/>
          <w:color w:val="auto"/>
        </w:rPr>
      </w:pPr>
      <w:r>
        <w:rPr>
          <w:rFonts w:ascii="Arial" w:cs="Arial" w:eastAsia="Arial" w:hAnsi="Arial"/>
          <w:sz w:val="19"/>
          <w:szCs w:val="19"/>
          <w:color w:val="auto"/>
        </w:rPr>
        <w:t>activities, construction of the Landlord Work and that of Tenant’s contractors during the Building’s normal business hours; (vii) access to the Building loading dock and vertical transportation 24/7 at no additional cost, and (viii) reasonable access to floors contiguous to the Twelfth Expansion Space for the purpose of installing the Landlord Work and that of Tenant’s contractors.</w:t>
      </w:r>
    </w:p>
    <w:p>
      <w:pPr>
        <w:spacing w:after="0" w:line="174" w:lineRule="exact"/>
        <w:rPr>
          <w:sz w:val="20"/>
          <w:szCs w:val="20"/>
          <w:color w:val="auto"/>
        </w:rPr>
      </w:pPr>
    </w:p>
    <w:p>
      <w:pPr>
        <w:jc w:val="both"/>
        <w:ind w:firstLine="656"/>
        <w:spacing w:after="0" w:line="290" w:lineRule="auto"/>
        <w:tabs>
          <w:tab w:leader="none" w:pos="116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ADA Compliance</w:t>
      </w:r>
      <w:r>
        <w:rPr>
          <w:rFonts w:ascii="Arial" w:cs="Arial" w:eastAsia="Arial" w:hAnsi="Arial"/>
          <w:sz w:val="19"/>
          <w:szCs w:val="19"/>
          <w:color w:val="auto"/>
        </w:rPr>
        <w:t>. Landlord shall, as an Actual Operating Expense, be responsible for ADA (and any applicable state accessibility standard) compliance for the core areas of the Building (including elevators, Common Areas, and service areas), the Project’s parking facilities and all points of access into the Project. Tenant shall, at its expense, be responsible for ADA (and any applicable state accessibility standard) compliance in the Premises, including restrooms on any floor now or hereafter leased or occupied in its entirety by Tenant, its Affiliates or transferees. Neither Landlord nor CPS shall be responsible for determining whether Tenant is a public accommodation under ADA or whether the Approved Construction Documents comply with ADA requirements, including submission of the Approved Construction Documents for review by appropriate state agencies. Such determinations, if desired by Tenant, shall be the sole responsibility of Tenant.</w:t>
      </w:r>
    </w:p>
    <w:p>
      <w:pPr>
        <w:spacing w:after="0" w:line="156" w:lineRule="exact"/>
        <w:rPr>
          <w:rFonts w:ascii="Arial" w:cs="Arial" w:eastAsia="Arial" w:hAnsi="Arial"/>
          <w:sz w:val="19"/>
          <w:szCs w:val="19"/>
          <w:color w:val="auto"/>
        </w:rPr>
      </w:pPr>
    </w:p>
    <w:p>
      <w:pPr>
        <w:jc w:val="both"/>
        <w:ind w:firstLine="656"/>
        <w:spacing w:after="0" w:line="284" w:lineRule="auto"/>
        <w:tabs>
          <w:tab w:leader="none" w:pos="12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Substantial Completion</w:t>
      </w:r>
      <w:r>
        <w:rPr>
          <w:rFonts w:ascii="Arial" w:cs="Arial" w:eastAsia="Arial" w:hAnsi="Arial"/>
          <w:sz w:val="19"/>
          <w:szCs w:val="19"/>
          <w:color w:val="auto"/>
        </w:rPr>
        <w:t>. The Landlord Work shall be deemed to be “</w:t>
      </w:r>
      <w:r>
        <w:rPr>
          <w:rFonts w:ascii="Arial" w:cs="Arial" w:eastAsia="Arial" w:hAnsi="Arial"/>
          <w:sz w:val="19"/>
          <w:szCs w:val="19"/>
          <w:b w:val="1"/>
          <w:bCs w:val="1"/>
          <w:i w:val="1"/>
          <w:iCs w:val="1"/>
          <w:color w:val="auto"/>
        </w:rPr>
        <w:t>Substantially Complete</w:t>
      </w:r>
      <w:r>
        <w:rPr>
          <w:rFonts w:ascii="Arial" w:cs="Arial" w:eastAsia="Arial" w:hAnsi="Arial"/>
          <w:sz w:val="19"/>
          <w:szCs w:val="19"/>
          <w:color w:val="auto"/>
        </w:rPr>
        <w:t>” with respect to the Twelfth Expansion Space on the date that (i) all Landlord Work with respect to the Twelfth Expansion Space (other than any details of construction, mechanical adjustment or any other similar matter, the noncompletion of which does not materially interfere with Tenant’s use or occupancy of the Twelfth Expansion Space) has been performed in accordance with the Approved Construction Documents (as modified by any Change Order approved in writing by Landlord and Tenant), (ii) CPS has obtained all required final inspection approvals and/or necessary certificates allowing occupancy from all applicable authorities, (iii) all Building systems and equipment and that of the Landlord Work are fully tested and operational; and (iv) Tenant has had access to the Twelfth Expansion Space to install furniture, fixtures and equipment for a period of ten (10) Business Days. Prior to the Twelfth Expansion Space (or any portion thereof) being delivered to Tenant, a representative of Landlord and a representative of Tenant shall walk through the Twelfth Expansion Space (or such portion thereof) and jointly prepare a list of minor items which, in the mutual opinion of Landlord and Tenant, have not been fully completed or which require repair (the “</w:t>
      </w:r>
      <w:r>
        <w:rPr>
          <w:rFonts w:ascii="Arial" w:cs="Arial" w:eastAsia="Arial" w:hAnsi="Arial"/>
          <w:sz w:val="19"/>
          <w:szCs w:val="19"/>
          <w:b w:val="1"/>
          <w:bCs w:val="1"/>
          <w:i w:val="1"/>
          <w:iCs w:val="1"/>
          <w:color w:val="auto"/>
        </w:rPr>
        <w:t>Punch List Items</w:t>
      </w:r>
      <w:r>
        <w:rPr>
          <w:rFonts w:ascii="Arial" w:cs="Arial" w:eastAsia="Arial" w:hAnsi="Arial"/>
          <w:sz w:val="19"/>
          <w:szCs w:val="19"/>
          <w:color w:val="auto"/>
        </w:rPr>
        <w:t xml:space="preserve">”). Landlord shall cause its contractor to complete or repair the Punch List Items within 30 days after the date of the “walk-through”. Tenant shall not be entitled to any abatement of any rental obligations as pertains to the Twelfth Expansion Space pending completion of the Punch List Items. In the event that Tenant takes possession of any portion of the Twelfth Expansion Space following the construction of Landlord Work in such portion of the Twelfth Expansion Space in the absence of having created a punch list, Tenant will be deemed to have waived its right to create a punch list with respect to such portion of the Twelfth Expansion Space and shall be deemed to have accepted such portion of the Twelfth Expansion Space in its "AS IS" condition; provided, that Tenant will not be deemed to have waived any of Landlord’s warranty or repair obligations under the Lease. Time is of the essence in connection with the obligations of CPS and Tenant under this Work Letter. Except as provided in </w:t>
      </w:r>
      <w:r>
        <w:rPr>
          <w:rFonts w:ascii="Arial" w:cs="Arial" w:eastAsia="Arial" w:hAnsi="Arial"/>
          <w:sz w:val="19"/>
          <w:szCs w:val="19"/>
          <w:b w:val="1"/>
          <w:bCs w:val="1"/>
          <w:color w:val="auto"/>
        </w:rPr>
        <w:t>Paragraph 1</w:t>
      </w:r>
      <w:r>
        <w:rPr>
          <w:rFonts w:ascii="Arial" w:cs="Arial" w:eastAsia="Arial" w:hAnsi="Arial"/>
          <w:sz w:val="19"/>
          <w:szCs w:val="19"/>
          <w:color w:val="auto"/>
        </w:rPr>
        <w:t xml:space="preserve"> of the Sixteenth Modification, neither Landlord nor CPS shall be liable or responsible for any claims incurred (or alleged) by Tenant due to any delay in achieving Substantial Completion for any reason. Tenant’s sole and exclusive remedy for any delay in achieving Substantial Completion for any reason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19"/>
          <w:szCs w:val="19"/>
          <w:color w:val="auto"/>
        </w:rPr>
        <w:t>B - v</w:t>
      </w:r>
    </w:p>
    <w:p>
      <w:pPr>
        <w:sectPr>
          <w:pgSz w:w="11900" w:h="16838" w:orient="portrait"/>
          <w:cols w:equalWidth="0" w:num="1">
            <w:col w:w="11420"/>
          </w:cols>
          <w:pgMar w:left="240" w:top="631" w:right="239" w:bottom="1440" w:gutter="0" w:footer="0" w:header="0"/>
        </w:sectPr>
      </w:pPr>
    </w:p>
    <w:bookmarkStart w:id="50" w:name="page51"/>
    <w:bookmarkEnd w:id="50"/>
    <w:p>
      <w:pPr>
        <w:jc w:val="both"/>
        <w:spacing w:after="0" w:line="246" w:lineRule="auto"/>
        <w:rPr>
          <w:sz w:val="20"/>
          <w:szCs w:val="20"/>
          <w:color w:val="auto"/>
        </w:rPr>
      </w:pPr>
      <w:r>
        <w:rPr>
          <w:rFonts w:ascii="Arial" w:cs="Arial" w:eastAsia="Arial" w:hAnsi="Arial"/>
          <w:sz w:val="22"/>
          <w:szCs w:val="22"/>
          <w:color w:val="auto"/>
        </w:rPr>
        <w:t xml:space="preserve">than Tenant Delay (defined below) shall be as provided in </w:t>
      </w:r>
      <w:r>
        <w:rPr>
          <w:rFonts w:ascii="Arial" w:cs="Arial" w:eastAsia="Arial" w:hAnsi="Arial"/>
          <w:sz w:val="22"/>
          <w:szCs w:val="22"/>
          <w:u w:val="single" w:color="auto"/>
          <w:color w:val="auto"/>
        </w:rPr>
        <w:t>Paragraph 1</w:t>
      </w:r>
      <w:r>
        <w:rPr>
          <w:rFonts w:ascii="Arial" w:cs="Arial" w:eastAsia="Arial" w:hAnsi="Arial"/>
          <w:sz w:val="22"/>
          <w:szCs w:val="22"/>
          <w:color w:val="auto"/>
        </w:rPr>
        <w:t xml:space="preserve"> of the Sixteenth Modification. “</w:t>
      </w:r>
      <w:r>
        <w:rPr>
          <w:rFonts w:ascii="Arial" w:cs="Arial" w:eastAsia="Arial" w:hAnsi="Arial"/>
          <w:sz w:val="22"/>
          <w:szCs w:val="22"/>
          <w:b w:val="1"/>
          <w:bCs w:val="1"/>
          <w:i w:val="1"/>
          <w:iCs w:val="1"/>
          <w:color w:val="auto"/>
        </w:rPr>
        <w:t>Tenant Delay</w:t>
      </w:r>
      <w:r>
        <w:rPr>
          <w:rFonts w:ascii="Arial" w:cs="Arial" w:eastAsia="Arial" w:hAnsi="Arial"/>
          <w:sz w:val="22"/>
          <w:szCs w:val="22"/>
          <w:color w:val="auto"/>
        </w:rPr>
        <w:t>” means any act or omission of Tenant or its agents, employees, vendors or contractors that actually delays the Substantial Completion of the Landlord Work, including: (i) Tenant’s failure to furnish information or approvals within any time period specified in this Lease, including the failure to prepare or approve preliminary or final plans by any applicable due date; (ii) Tenant’s selection of long-lead equipment or materials; (iii) changes requested or made by Tenant to previously approved plans and specifications; or (iv) performance of work in the Twelfth Expansion Space by Tenant or Tenant’s contractor(s) that creates an actual delay in the performance of the Landlord Work. CPS shall diligently pursue the completion of the Landlord Work and Landlord’s Requirements.</w:t>
      </w:r>
    </w:p>
    <w:p>
      <w:pPr>
        <w:spacing w:after="0" w:line="18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Costs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color w:val="auto"/>
        </w:rPr>
      </w:pPr>
    </w:p>
    <w:p>
      <w:pPr>
        <w:jc w:val="both"/>
        <w:ind w:firstLine="656"/>
        <w:spacing w:after="0" w:line="287" w:lineRule="auto"/>
        <w:tabs>
          <w:tab w:leader="none" w:pos="1191"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Change Orders and Cost Overruns</w:t>
      </w:r>
      <w:r>
        <w:rPr>
          <w:rFonts w:ascii="Arial" w:cs="Arial" w:eastAsia="Arial" w:hAnsi="Arial"/>
          <w:sz w:val="19"/>
          <w:szCs w:val="19"/>
          <w:color w:val="auto"/>
        </w:rPr>
        <w:t>. CPS’s and Tenant’s written approval is required in advance of all changes to, and deviations from, the Approved Construction Documents (each, a “</w:t>
      </w:r>
      <w:r>
        <w:rPr>
          <w:rFonts w:ascii="Arial" w:cs="Arial" w:eastAsia="Arial" w:hAnsi="Arial"/>
          <w:sz w:val="19"/>
          <w:szCs w:val="19"/>
          <w:b w:val="1"/>
          <w:bCs w:val="1"/>
          <w:i w:val="1"/>
          <w:iCs w:val="1"/>
          <w:color w:val="auto"/>
        </w:rPr>
        <w:t>Change Order</w:t>
      </w:r>
      <w:r>
        <w:rPr>
          <w:rFonts w:ascii="Arial" w:cs="Arial" w:eastAsia="Arial" w:hAnsi="Arial"/>
          <w:sz w:val="19"/>
          <w:szCs w:val="19"/>
          <w:color w:val="auto"/>
        </w:rPr>
        <w:t>”), including any (i) omission, removal, alteration or other modification of any portion of the Landlord Work, (ii) additional architectural or engineering services, (iii) changes to materials, whether building standard materials, specially ordered materials, or specially fabricated materials, or (iv) cancellation or modification of supply or fabrication orders. Except as otherwise expressly provided in this Work Letter, all costs of the Landlord Work in excess of the Construction Allowance including Change Orders requested by Tenant and approved by CPS which increase the cost of the Landlord Work (collectively, “</w:t>
      </w:r>
      <w:r>
        <w:rPr>
          <w:rFonts w:ascii="Arial" w:cs="Arial" w:eastAsia="Arial" w:hAnsi="Arial"/>
          <w:sz w:val="19"/>
          <w:szCs w:val="19"/>
          <w:b w:val="1"/>
          <w:bCs w:val="1"/>
          <w:i w:val="1"/>
          <w:iCs w:val="1"/>
          <w:color w:val="auto"/>
        </w:rPr>
        <w:t>Cost Overruns</w:t>
      </w:r>
      <w:r>
        <w:rPr>
          <w:rFonts w:ascii="Arial" w:cs="Arial" w:eastAsia="Arial" w:hAnsi="Arial"/>
          <w:sz w:val="19"/>
          <w:szCs w:val="19"/>
          <w:color w:val="auto"/>
        </w:rPr>
        <w:t>”) shall be paid by Tenant to Landlord within 10 days of receipt of Landlord’s invoice. In addition, at either Landlord’s or CPS’s election, Tenant shall prepay any projected Cost Overruns within 10 days of receipt of Landlord’s invoice for same (subject to reconciliation between the parties, in case of any underpayment or overpayment by Tenant, once the actual total costs of construction are determined). CPS may stop or decline to commence all or any portion of the Landlord Work until such payment (or prepayment) of Cost Overruns is received. Tenant’s failure to pay, when due, any Cost Overruns or the cost of any Change Order shall constitute an event of default under the Lease, as modified by the Sixteenth Modification, subject to applicable notice and cure periods.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56"/>
        <w:spacing w:after="0" w:line="246" w:lineRule="auto"/>
        <w:tabs>
          <w:tab w:leader="none" w:pos="1314"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Construction Supervisory Fee</w:t>
      </w:r>
      <w:r>
        <w:rPr>
          <w:rFonts w:ascii="Arial" w:cs="Arial" w:eastAsia="Arial" w:hAnsi="Arial"/>
          <w:sz w:val="22"/>
          <w:szCs w:val="22"/>
          <w:color w:val="auto"/>
        </w:rPr>
        <w:t>. Within 10 days following the date of invoice, Tenant shall, for supervision and administration of the construction and installation of the Landlord Work depicted in the Approved Construction Documents plus any approved Change Orders related thereto, pay Landlord a construction supervisory fee equal to 2% of the hard construction costs of the Landlord Work, as defined by the contract for construction with the selected general contractor. Such fee may be paid from the unused portion of the Construction Allowance (if any). Tenant’s failure to pay such construction supervisory fee when due shall constitute an event of default under the Lease, as modified by the Sixteenth Modification, subject to applicable notice and cure periods.</w:t>
      </w:r>
    </w:p>
    <w:p>
      <w:pPr>
        <w:spacing w:after="0" w:line="191" w:lineRule="exact"/>
        <w:rPr>
          <w:rFonts w:ascii="Arial" w:cs="Arial" w:eastAsia="Arial" w:hAnsi="Arial"/>
          <w:sz w:val="22"/>
          <w:szCs w:val="22"/>
          <w:color w:val="auto"/>
        </w:rPr>
      </w:pPr>
    </w:p>
    <w:p>
      <w:pPr>
        <w:jc w:val="both"/>
        <w:ind w:firstLine="8"/>
        <w:spacing w:after="0" w:line="267" w:lineRule="auto"/>
        <w:tabs>
          <w:tab w:leader="none" w:pos="419" w:val="left"/>
        </w:tabs>
        <w:numPr>
          <w:ilvl w:val="0"/>
          <w:numId w:val="25"/>
        </w:numPr>
        <w:rPr>
          <w:rFonts w:ascii="Arial" w:cs="Arial" w:eastAsia="Arial" w:hAnsi="Arial"/>
          <w:sz w:val="21"/>
          <w:szCs w:val="21"/>
          <w:color w:val="auto"/>
        </w:rPr>
      </w:pPr>
      <w:r>
        <w:rPr>
          <w:rFonts w:ascii="Arial" w:cs="Arial" w:eastAsia="Arial" w:hAnsi="Arial"/>
          <w:sz w:val="21"/>
          <w:szCs w:val="21"/>
          <w:b w:val="1"/>
          <w:bCs w:val="1"/>
          <w:u w:val="single" w:color="auto"/>
          <w:color w:val="auto"/>
        </w:rPr>
        <w:t>Acceptance</w:t>
      </w:r>
      <w:r>
        <w:rPr>
          <w:rFonts w:ascii="Arial" w:cs="Arial" w:eastAsia="Arial" w:hAnsi="Arial"/>
          <w:sz w:val="21"/>
          <w:szCs w:val="21"/>
          <w:color w:val="auto"/>
        </w:rPr>
        <w:t>. By taking possession of the Twelfth Expansion Space for the purpose of conducting its business, Tenant agrees</w:t>
      </w:r>
      <w:r>
        <w:rPr>
          <w:rFonts w:ascii="Arial" w:cs="Arial" w:eastAsia="Arial" w:hAnsi="Arial"/>
          <w:sz w:val="21"/>
          <w:szCs w:val="21"/>
          <w:b w:val="1"/>
          <w:bCs w:val="1"/>
          <w:color w:val="auto"/>
        </w:rPr>
        <w:t xml:space="preserve"> </w:t>
      </w:r>
      <w:r>
        <w:rPr>
          <w:rFonts w:ascii="Arial" w:cs="Arial" w:eastAsia="Arial" w:hAnsi="Arial"/>
          <w:sz w:val="21"/>
          <w:szCs w:val="21"/>
          <w:color w:val="auto"/>
        </w:rPr>
        <w:t>and acknowledges that (a) the Twelfth Expansion Space is usable by Tenant as intended; (b) neither Landlord nor CPS has any further obligation to perform any Landlord Work or other construction (except Punch List Items, if any agreed upon by CPS and Tenant in writing) with respect to the Twelfth Expansion Space; and (c) both the Building and the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1"/>
          <w:szCs w:val="21"/>
          <w:color w:val="auto"/>
        </w:rPr>
        <w:t>B - vi</w:t>
      </w:r>
    </w:p>
    <w:p>
      <w:pPr>
        <w:sectPr>
          <w:pgSz w:w="11900" w:h="16838" w:orient="portrait"/>
          <w:cols w:equalWidth="0" w:num="1">
            <w:col w:w="11420"/>
          </w:cols>
          <w:pgMar w:left="240" w:top="631" w:right="23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22"/>
          <w:szCs w:val="22"/>
          <w:color w:val="auto"/>
        </w:rPr>
        <w:t>Twelfth Expansion Space are satisfactory in all respects. The foregoing shall not constitute a release or waiver of any of Landlord’s warranty or repair obligations under the Lease.</w:t>
      </w:r>
    </w:p>
    <w:p>
      <w:pPr>
        <w:spacing w:after="0" w:line="209" w:lineRule="exact"/>
        <w:rPr>
          <w:sz w:val="20"/>
          <w:szCs w:val="20"/>
          <w:color w:val="auto"/>
        </w:rPr>
      </w:pPr>
    </w:p>
    <w:p>
      <w:pPr>
        <w:jc w:val="both"/>
        <w:ind w:firstLine="8"/>
        <w:spacing w:after="0" w:line="315" w:lineRule="auto"/>
        <w:tabs>
          <w:tab w:leader="none" w:pos="513"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Landlord’s Requirements</w:t>
      </w:r>
      <w:r>
        <w:rPr>
          <w:rFonts w:ascii="Arial" w:cs="Arial" w:eastAsia="Arial" w:hAnsi="Arial"/>
          <w:sz w:val="19"/>
          <w:szCs w:val="19"/>
          <w:color w:val="auto"/>
        </w:rPr>
        <w:t>. At Landlord’s sole cost and expense (and not to be paid from the Construction Allowance),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remedy any floor slab condition in the Twelfth Expansion Space that exceeds ½ inch up or down deviation within 10 feet (“</w:t>
      </w:r>
      <w:r>
        <w:rPr>
          <w:rFonts w:ascii="Arial" w:cs="Arial" w:eastAsia="Arial" w:hAnsi="Arial"/>
          <w:sz w:val="19"/>
          <w:szCs w:val="19"/>
          <w:b w:val="1"/>
          <w:bCs w:val="1"/>
          <w:i w:val="1"/>
          <w:iCs w:val="1"/>
          <w:color w:val="auto"/>
        </w:rPr>
        <w:t>Landlord’s Requirements</w:t>
      </w:r>
      <w:r>
        <w:rPr>
          <w:rFonts w:ascii="Arial" w:cs="Arial" w:eastAsia="Arial" w:hAnsi="Arial"/>
          <w:sz w:val="19"/>
          <w:szCs w:val="19"/>
          <w:color w:val="auto"/>
        </w:rPr>
        <w:t>”). Landlord will cause the Landlord’s Requirements to be completed by August 15, 2018.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signatures on following page</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1"/>
          <w:szCs w:val="21"/>
          <w:color w:val="auto"/>
        </w:rPr>
        <w:t>B - vii</w:t>
      </w:r>
    </w:p>
    <w:p>
      <w:pPr>
        <w:sectPr>
          <w:pgSz w:w="11900" w:h="16838" w:orient="portrait"/>
          <w:cols w:equalWidth="0" w:num="1">
            <w:col w:w="11420"/>
          </w:cols>
          <w:pgMar w:left="240" w:top="631" w:right="239" w:bottom="1440" w:gutter="0" w:footer="0" w:header="0"/>
        </w:sectPr>
      </w:pPr>
    </w:p>
    <w:bookmarkStart w:id="52" w:name="page53"/>
    <w:bookmarkEnd w:id="52"/>
    <w:p>
      <w:pPr>
        <w:ind w:left="3900"/>
        <w:spacing w:after="0"/>
        <w:rPr>
          <w:sz w:val="20"/>
          <w:szCs w:val="20"/>
          <w:color w:val="auto"/>
        </w:rPr>
      </w:pPr>
      <w:r>
        <w:rPr>
          <w:rFonts w:ascii="Arial" w:cs="Arial" w:eastAsia="Arial" w:hAnsi="Arial"/>
          <w:sz w:val="22"/>
          <w:szCs w:val="22"/>
          <w:b w:val="1"/>
          <w:bCs w:val="1"/>
          <w:u w:val="single" w:color="auto"/>
          <w:color w:val="auto"/>
        </w:rPr>
        <w:t>CPS</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CRESCENT PROPERTY SERVICES,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3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L. Zogg, Jr.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John L. Zogg, Jr.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Managing Director</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WESTWOOD MANAGEMENT CORP.,</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New York corporation</w:t>
      </w:r>
    </w:p>
    <w:p>
      <w:pPr>
        <w:spacing w:after="0" w:line="200" w:lineRule="exact"/>
        <w:rPr>
          <w:sz w:val="20"/>
          <w:szCs w:val="20"/>
          <w:color w:val="auto"/>
        </w:rPr>
      </w:pPr>
    </w:p>
    <w:p>
      <w:pPr>
        <w:spacing w:after="0" w:line="3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O. Casey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Brian O. Casey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CEO</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AGREED, ACKNOWLEDGED AND ACCEPTED</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Landlord as of the 11th day of July,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2018:</w:t>
      </w:r>
    </w:p>
    <w:p>
      <w:pPr>
        <w:spacing w:after="0" w:line="236" w:lineRule="exact"/>
        <w:rPr>
          <w:sz w:val="20"/>
          <w:szCs w:val="20"/>
          <w:color w:val="auto"/>
        </w:rPr>
      </w:pPr>
    </w:p>
    <w:p>
      <w:pPr>
        <w:ind w:left="1300" w:right="2959" w:firstLine="2593"/>
        <w:spacing w:after="0" w:line="269" w:lineRule="auto"/>
        <w:rPr>
          <w:sz w:val="20"/>
          <w:szCs w:val="20"/>
          <w:color w:val="auto"/>
        </w:rPr>
      </w:pPr>
      <w:r>
        <w:rPr>
          <w:rFonts w:ascii="Arial" w:cs="Arial" w:eastAsia="Arial" w:hAnsi="Arial"/>
          <w:sz w:val="22"/>
          <w:szCs w:val="22"/>
          <w:b w:val="1"/>
          <w:bCs w:val="1"/>
          <w:color w:val="auto"/>
        </w:rPr>
        <w:t xml:space="preserve">CRESCENT TC INVESTORS, L.P., </w:t>
      </w:r>
      <w:r>
        <w:rPr>
          <w:rFonts w:ascii="Arial" w:cs="Arial" w:eastAsia="Arial" w:hAnsi="Arial"/>
          <w:sz w:val="22"/>
          <w:szCs w:val="22"/>
          <w:color w:val="auto"/>
        </w:rPr>
        <w:t>a Delaware limited partnership</w:t>
      </w:r>
    </w:p>
    <w:p>
      <w:pPr>
        <w:spacing w:after="0" w:line="22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Crescent TCI GP, LLC,</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 Delaware limited liability company,</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32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Dianna Russo</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Dianna Russo</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Crescent®/Westwood Management Corp.</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20750729v.5</w:t>
      </w:r>
      <w:r>
        <w:rPr>
          <w:sz w:val="20"/>
          <w:szCs w:val="20"/>
          <w:color w:val="auto"/>
        </w:rPr>
        <w:tab/>
      </w:r>
      <w:r>
        <w:rPr>
          <w:rFonts w:ascii="Arial" w:cs="Arial" w:eastAsia="Arial" w:hAnsi="Arial"/>
          <w:sz w:val="22"/>
          <w:szCs w:val="22"/>
          <w:color w:val="auto"/>
        </w:rPr>
        <w:t>B - viii</w:t>
      </w:r>
    </w:p>
    <w:p>
      <w:pPr>
        <w:sectPr>
          <w:pgSz w:w="11900" w:h="16838" w:orient="portrait"/>
          <w:cols w:equalWidth="0" w:num="1">
            <w:col w:w="10219"/>
          </w:cols>
          <w:pgMar w:left="240" w:top="1138"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260" w:right="48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260" w:right="56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5" w:lineRule="exact"/>
        <w:rPr>
          <w:rFonts w:ascii="Arial" w:cs="Arial" w:eastAsia="Arial" w:hAnsi="Arial"/>
          <w:sz w:val="18"/>
          <w:szCs w:val="18"/>
          <w:color w:val="auto"/>
        </w:rPr>
      </w:pPr>
    </w:p>
    <w:p>
      <w:pPr>
        <w:ind w:left="1260" w:right="52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160" w:firstLine="500"/>
        <w:spacing w:after="0" w:line="264" w:lineRule="auto"/>
        <w:tabs>
          <w:tab w:leader="none" w:pos="17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260" w:right="60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24,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Tiffany B. Kice, certify that:</w:t>
      </w:r>
    </w:p>
    <w:p>
      <w:pPr>
        <w:spacing w:after="0" w:line="252" w:lineRule="exact"/>
        <w:rPr>
          <w:sz w:val="20"/>
          <w:szCs w:val="20"/>
          <w:color w:val="auto"/>
        </w:rPr>
      </w:pPr>
    </w:p>
    <w:p>
      <w:pPr>
        <w:ind w:left="1300" w:hanging="126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300" w:right="120" w:hanging="1265"/>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420" w:hanging="1265"/>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1300" w:right="280" w:hanging="1265"/>
        <w:spacing w:after="0" w:line="29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9" w:lineRule="exact"/>
        <w:rPr>
          <w:rFonts w:ascii="Arial" w:cs="Arial" w:eastAsia="Arial" w:hAnsi="Arial"/>
          <w:sz w:val="16"/>
          <w:szCs w:val="16"/>
          <w:color w:val="auto"/>
        </w:rPr>
      </w:pPr>
    </w:p>
    <w:p>
      <w:pPr>
        <w:ind w:left="980" w:right="160" w:firstLine="500"/>
        <w:spacing w:after="0" w:line="264" w:lineRule="auto"/>
        <w:tabs>
          <w:tab w:leader="none" w:pos="17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300" w:right="340" w:hanging="1265"/>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24, 2018</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31750</wp:posOffset>
            </wp:positionV>
            <wp:extent cx="2564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September 30, 2018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24, 2018</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September 30, 2018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(15U.S.C. 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24, 2018</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 and Treasurer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lvl w:ilvl="1">
      <w:lvlJc w:val="left"/>
      <w:lvlText w:val="(%2)"/>
      <w:numFmt w:val="decimal"/>
      <w:start w:val="1"/>
    </w:lvl>
  </w:abstractNum>
  <w:abstractNum w:abstractNumId="4">
    <w:nsid w:val="3F2DBA31"/>
    <w:multiLevelType w:val="hybridMultilevel"/>
    <w:lvl w:ilvl="0">
      <w:lvlJc w:val="left"/>
      <w:lvlText w:val="%1."/>
      <w:numFmt w:val="decimal"/>
      <w:start w:val="6"/>
    </w:lvl>
    <w:lvl w:ilvl="1">
      <w:lvlJc w:val="left"/>
      <w:lvlText w:val="%2"/>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lvl w:ilvl="1">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upperLetter"/>
      <w:start w:val="1"/>
    </w:lvl>
  </w:abstractNum>
  <w:abstractNum w:abstractNumId="13">
    <w:nsid w:val="2D1D5AE9"/>
    <w:multiLevelType w:val="hybridMultilevel"/>
    <w:lvl w:ilvl="0">
      <w:lvlJc w:val="left"/>
      <w:lvlText w:val="%1."/>
      <w:numFmt w:val="upperLetter"/>
      <w:start w:val="3"/>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3"/>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lowerLetter"/>
      <w:start w:val="1"/>
    </w:lvl>
    <w:lvl w:ilvl="1">
      <w:lvlJc w:val="left"/>
      <w:lvlText w:val="%2."/>
      <w:numFmt w:val="decimal"/>
      <w:start w:val="13"/>
    </w:lvl>
  </w:abstractNum>
  <w:abstractNum w:abstractNumId="18">
    <w:nsid w:val="4353D0CD"/>
    <w:multiLevelType w:val="hybridMultilevel"/>
    <w:lvl w:ilvl="0">
      <w:lvlJc w:val="left"/>
      <w:lvlText w:val="(%1)"/>
      <w:numFmt w:val="lowerLetter"/>
      <w:start w:val="2"/>
    </w:lvl>
    <w:lvl w:ilvl="1">
      <w:lvlJc w:val="left"/>
      <w:lvlText w:val="%2"/>
      <w:numFmt w:val="decimal"/>
      <w:start w:val="1"/>
    </w:lvl>
  </w:abstractNum>
  <w:abstractNum w:abstractNumId="19">
    <w:nsid w:val="B03E0C6"/>
    <w:multiLevelType w:val="hybridMultilevel"/>
    <w:lvl w:ilvl="0">
      <w:lvlJc w:val="left"/>
      <w:lvlText w:val="%1."/>
      <w:numFmt w:val="decimal"/>
      <w:start w:val="1"/>
    </w:lvl>
    <w:lvl w:ilvl="1">
      <w:lvlJc w:val="left"/>
      <w:lvlText w:val="(%2)"/>
      <w:numFmt w:val="upperLetter"/>
      <w:start w:val="1"/>
    </w:lvl>
  </w:abstractNum>
  <w:abstractNum w:abstractNumId="20">
    <w:nsid w:val="189A769B"/>
    <w:multiLevelType w:val="hybridMultilevel"/>
    <w:lvl w:ilvl="0">
      <w:lvlJc w:val="left"/>
      <w:lvlText w:val="(%1)"/>
      <w:numFmt w:val="upperLetter"/>
      <w:start w:val="2"/>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decimal"/>
      <w:start w:val="4"/>
    </w:lvl>
    <w:lvl w:ilvl="1">
      <w:lvlJc w:val="left"/>
      <w:lvlText w:val="(%2)"/>
      <w:numFmt w:val="upperLetter"/>
      <w:start w:val="1"/>
    </w:lvl>
  </w:abstractNum>
  <w:abstractNum w:abstractNumId="23">
    <w:nsid w:val="2CA88611"/>
    <w:multiLevelType w:val="hybridMultilevel"/>
    <w:lvl w:ilvl="0">
      <w:lvlJc w:val="left"/>
      <w:lvlText w:val="(%1)"/>
      <w:numFmt w:val="upperLetter"/>
      <w:start w:val="2"/>
    </w:lvl>
  </w:abstractNum>
  <w:abstractNum w:abstractNumId="24">
    <w:nsid w:val="836C40E"/>
    <w:multiLevelType w:val="hybridMultilevel"/>
    <w:lvl w:ilvl="0">
      <w:lvlJc w:val="left"/>
      <w:lvlText w:val="%1."/>
      <w:numFmt w:val="decimal"/>
      <w:start w:val="5"/>
    </w:lvl>
    <w:lvl w:ilvl="1">
      <w:lvlJc w:val="left"/>
      <w:lvlText w:val="(%2)"/>
      <w:numFmt w:val="upperLetter"/>
      <w:start w:val="1"/>
    </w:lvl>
  </w:abstractNum>
  <w:abstractNum w:abstractNumId="25">
    <w:nsid w:val="2901D82"/>
    <w:multiLevelType w:val="hybridMultilevel"/>
    <w:lvl w:ilvl="0">
      <w:lvlJc w:val="left"/>
      <w:lvlText w:val="%1."/>
      <w:numFmt w:val="decimal"/>
      <w:start w:val="7"/>
    </w:lvl>
  </w:abstractNum>
  <w:abstractNum w:abstractNumId="26">
    <w:nsid w:val="3A95F874"/>
    <w:multiLevelType w:val="hybridMultilevel"/>
    <w:lvl w:ilvl="0">
      <w:lvlJc w:val="left"/>
      <w:lvlText w:val="%1."/>
      <w:numFmt w:val="decimal"/>
      <w:start w:val="1"/>
    </w:lvl>
    <w:lvl w:ilvl="1">
      <w:lvlJc w:val="left"/>
      <w:lvlText w:val="(%2)"/>
      <w:numFmt w:val="lowerLetter"/>
      <w:start w:val="2"/>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2019-12-28T18:59:07Z</dcterms:created>
  <dcterms:modified xsi:type="dcterms:W3CDTF">2019-12-28T18:59:07Z</dcterms:modified>
</cp:coreProperties>
</file>