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rPr/>
      </w:pPr>
      <w:r>
        <w:rPr>
          <w:color w:val="000000"/>
        </w:rPr>
        <w:t> </w:t>
      </w: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CURRENT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May 1, 2024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WESTWOOD HOLDINGS GROUP,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bidi w:val="0"/>
        <w:spacing w:before="0" w:after="0"/>
        <w:jc w:val="left"/>
        <w:rPr/>
      </w:pPr>
      <w:r>
        <w:rPr/>
      </w:r>
    </w:p>
    <w:tbl>
      <w:tblPr>
        <w:tblW w:w="8092" w:type="dxa"/>
        <w:jc w:val="left"/>
        <w:tblInd w:w="0" w:type="dxa"/>
        <w:tblLayout w:type="fixed"/>
        <w:tblCellMar>
          <w:top w:w="28" w:type="dxa"/>
          <w:left w:w="28" w:type="dxa"/>
          <w:bottom w:w="28" w:type="dxa"/>
          <w:right w:w="28" w:type="dxa"/>
        </w:tblCellMar>
      </w:tblPr>
      <w:tblGrid>
        <w:gridCol w:w="812"/>
        <w:gridCol w:w="715"/>
        <w:gridCol w:w="722"/>
        <w:gridCol w:w="109"/>
        <w:gridCol w:w="109"/>
        <w:gridCol w:w="109"/>
        <w:gridCol w:w="762"/>
        <w:gridCol w:w="762"/>
        <w:gridCol w:w="770"/>
        <w:gridCol w:w="109"/>
        <w:gridCol w:w="109"/>
        <w:gridCol w:w="109"/>
        <w:gridCol w:w="845"/>
        <w:gridCol w:w="845"/>
        <w:gridCol w:w="1205"/>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001-31234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75-2969997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 Crescent Court, Suite 1200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Dallas, Texas 75201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(214) 756-6900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20"/>
        </w:rPr>
        <w:t xml:space="preserve">see </w:t>
      </w:r>
      <w:r>
        <w:rPr>
          <w:rFonts w:ascii="Times New Roman;sans-serif" w:hAnsi="Times New Roman;sans-serif"/>
          <w:b w:val="false"/>
          <w:color w:val="000000"/>
          <w:sz w:val="20"/>
        </w:rPr>
        <w:t>General Instruction A.2. below):</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1252"/>
        <w:gridCol w:w="1103"/>
        <w:gridCol w:w="1109"/>
        <w:gridCol w:w="539"/>
        <w:gridCol w:w="539"/>
        <w:gridCol w:w="541"/>
        <w:gridCol w:w="1138"/>
        <w:gridCol w:w="1138"/>
        <w:gridCol w:w="1609"/>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WHG</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12" w:before="180" w:after="283"/>
        <w:jc w:val="left"/>
        <w:rPr/>
      </w:pPr>
      <w:r>
        <w:rPr>
          <w:rFonts w:ascii="Times New Roman;sans-serif" w:hAnsi="Times New Roman;sans-serif"/>
          <w:b w:val="false"/>
          <w:color w:val="000000"/>
          <w:sz w:val="18"/>
        </w:rPr>
        <w:t>Emerging growth company  </w:t>
      </w:r>
      <w:r>
        <w:rPr>
          <w:color w:val="000000"/>
        </w:rPr>
        <w:t>☐</w:t>
      </w:r>
    </w:p>
    <w:p>
      <w:pPr>
        <w:pStyle w:val="TextBody"/>
        <w:bidi w:val="0"/>
        <w:spacing w:lineRule="auto" w:line="312" w:before="180" w:after="283"/>
        <w:jc w:val="left"/>
        <w:rPr/>
      </w:pPr>
      <w:r>
        <w:rPr>
          <w:rFonts w:ascii="Times New Roman;sans-serif" w:hAnsi="Times New Roman;sans-serif"/>
          <w:b w:val="false"/>
          <w:color w:val="000000"/>
          <w:sz w:val="20"/>
        </w:rPr>
        <w:t>If an emerging growth company, indicate by checkmark if the registrant has elected not to use the extended transition period for complying with any new revised financial accounting standards provided pursuant to Section 13(a) of the Exchange Act.</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On May 1, 2024, Westwood Holdings Group, Inc. (“Westwood”) announced its financial results for the quarter ended March 31, 2024, a copy of which is furnished with this Current Report on Form 8-K as Exhibit 99.1.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ITEM 7.01:    REGULATION FD DISCLOSURE</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Westwood announced today that its Board of Directors has approved the payment of a quarterly cash dividend of $0.15 per common share, payable on July 1, 2024 to stockholders of record on June 3,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    Exhibits: The following exhibit is furnished with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Number                    Description</w:t>
      </w:r>
    </w:p>
    <w:p>
      <w:pPr>
        <w:pStyle w:val="TextBody"/>
        <w:bidi w:val="0"/>
        <w:spacing w:before="0" w:after="0"/>
        <w:jc w:val="left"/>
        <w:rPr/>
      </w:pPr>
      <w:r>
        <w:rPr/>
      </w:r>
    </w:p>
    <w:p>
      <w:pPr>
        <w:pStyle w:val="TextBody"/>
        <w:bidi w:val="0"/>
        <w:spacing w:lineRule="auto" w:line="288" w:before="0" w:after="0"/>
        <w:ind w:left="0" w:right="0" w:hanging="1440"/>
        <w:jc w:val="left"/>
        <w:rPr/>
      </w:pPr>
      <w:r>
        <w:rPr>
          <w:rFonts w:ascii="Times New Roman;sans-serif" w:hAnsi="Times New Roman;sans-serif"/>
          <w:b w:val="false"/>
          <w:color w:val="000000"/>
          <w:sz w:val="22"/>
        </w:rPr>
        <w:t>99.1    </w:t>
      </w:r>
      <w:hyperlink w:anchor="a1q24earningsrelease.htm">
        <w:r>
          <w:rPr>
            <w:rStyle w:val="InternetLink"/>
            <w:rFonts w:ascii="Times New Roman;sans-serif" w:hAnsi="Times New Roman;sans-serif"/>
            <w:b w:val="false"/>
            <w:color w:val="0000FF"/>
            <w:sz w:val="22"/>
            <w:u w:val="single"/>
          </w:rPr>
          <w:t>Press Release Dated May 1, 2004</w:t>
        </w:r>
      </w:hyperlink>
    </w:p>
    <w:p>
      <w:pPr>
        <w:pStyle w:val="TextBody"/>
        <w:bidi w:val="0"/>
        <w:spacing w:lineRule="auto" w:line="288" w:before="0" w:after="0"/>
        <w:ind w:left="0" w:right="0" w:hanging="1440"/>
        <w:jc w:val="left"/>
        <w:rPr>
          <w:rFonts w:ascii="Times New Roman;sans-serif" w:hAnsi="Times New Roman;sans-serif"/>
          <w:b w:val="false"/>
          <w:color w:val="000000"/>
          <w:sz w:val="22"/>
        </w:rPr>
      </w:pPr>
      <w:r>
        <w:rPr>
          <w:rFonts w:ascii="Times New Roman;sans-serif" w:hAnsi="Times New Roman;sans-serif"/>
          <w:b w:val="false"/>
          <w:color w:val="000000"/>
          <w:sz w:val="22"/>
        </w:rPr>
        <w:t>104    Cover Page Interactive Date File (embedded within the Inline XBRL document)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May 1, 2024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40" w:type="dxa"/>
        <w:jc w:val="right"/>
        <w:tblInd w:w="0" w:type="dxa"/>
        <w:tblLayout w:type="fixed"/>
        <w:tblCellMar>
          <w:top w:w="28" w:type="dxa"/>
          <w:left w:w="28" w:type="dxa"/>
          <w:bottom w:w="28" w:type="dxa"/>
          <w:right w:w="28" w:type="dxa"/>
        </w:tblCellMar>
      </w:tblPr>
      <w:tblGrid>
        <w:gridCol w:w="151"/>
        <w:gridCol w:w="134"/>
        <w:gridCol w:w="135"/>
        <w:gridCol w:w="1001"/>
        <w:gridCol w:w="1001"/>
        <w:gridCol w:w="141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524125"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24125" cy="800100"/>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Westwood Holdings Group, Inc. Reports First Quarter 2024 Results</w:t>
      </w:r>
    </w:p>
    <w:p>
      <w:pPr>
        <w:pStyle w:val="TextBody"/>
        <w:bidi w:val="0"/>
        <w:spacing w:lineRule="auto" w:line="288" w:before="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Strong Performance across Westwood's suite of products</w:t>
      </w:r>
    </w:p>
    <w:p>
      <w:pPr>
        <w:pStyle w:val="TextBody"/>
        <w:bidi w:val="0"/>
        <w:spacing w:lineRule="auto" w:line="288" w:before="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Successful Launch of MDST on the NYSE (April, 2024)</w:t>
      </w:r>
    </w:p>
    <w:p>
      <w:pPr>
        <w:pStyle w:val="TextBody"/>
        <w:bidi w:val="0"/>
        <w:spacing w:lineRule="auto" w:line="288" w:before="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Successful Launch of WEEI on NASDAQ (May, 2024)</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120" w:after="220"/>
        <w:jc w:val="left"/>
        <w:rPr>
          <w:rFonts w:ascii="Times New Roman;sans-serif" w:hAnsi="Times New Roman;sans-serif"/>
          <w:b w:val="false"/>
          <w:color w:val="000000"/>
          <w:sz w:val="24"/>
        </w:rPr>
      </w:pPr>
      <w:r>
        <w:rPr>
          <w:rFonts w:ascii="Times New Roman;sans-serif" w:hAnsi="Times New Roman;sans-serif"/>
          <w:b w:val="false"/>
          <w:color w:val="000000"/>
          <w:sz w:val="24"/>
        </w:rPr>
        <w:t>Dallas, TX, May 1, 2024 – Westwood Holdings Group, Inc. (NYSE: WHG) today reported first quarter 2024 earnings. Significant items included:</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SMidCap, SmallCap Value, MidCap Value, Platinum, Enhanced Balanced, High Income, Credit Opportunities and Global Real Estate strategies all beat their primary benchmarks.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SmidCap and Enhanced Balanced posted top quartile rankings.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The prospectus for our first actively-managed Exchange-Traded Funds ("ETFs") went effective in March and both ETFs were launched early in the second quarter.</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Quarterly revenues totaled $22.7 million versus the fourth quarter's $23.2 million and $22.7 million a year ago. Comprehensive income of $2.3 million compared with the fourth quarter's $2.6 million and $0.7 million in 2023's first quarter.</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Our comprehensive income included a $2.3 million after tax gain following a decrease in the fair value of contingent consideration for our 2022 Salient acquisition.</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Non-GAAP Economic Earnings of $3.0 million compared with the fourth quarter's $3.6 million and $1.7 million in the first quarter of 2023.</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Westwood held $46.6 million in cash and short-term investments as of March 31, 2024, down $6.5 million from the fourth quarter. Stockholders' equity totaled $121.8 million and we have no debt.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We declared a cash dividend of $0.15 per common share, payable on July 1, 2024 to stockholders of record on June 3, 2024.</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Brian Casey, Westwood’s CEO, commented, "To promote future growth, significant investments were made during the quarter to facilitate the second quarter’s successful listing of two ETFs and to build necessary infrastructure to launch Managed Investment Solutions ("MIS") later this year. As noted above, many of our products turned in performances ahead of their respective benchmarks and our assets under management ("AUM") and assets under advisement ("AUA") reached $17.2 billion, our highest level over the past six years."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Revenues were comparable to the fourth quarter and last year's first quarter.</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Firmwide assets under management and advisement totaled $17.2 billion, consisting of AUM of $16.2 billion and AUA of $1.0 billion.</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First quarter comprehensive income of $2.3 million compared to the fourth quarter's $2.6 million due to higher employee compensation and benefits expense offset by changes in the fair value of contingent consideration. Diluted earnings per share ("EPS") of $0.27 compared to $0.32 for the fourth quarter. Non-</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GAAP Economic Earnings of $3.0 million, or $0.36 per share, compared with $3.6 million, or $0.43 per share, in the fourth quarter.</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First quarter comprehensive income of $2.3 million compared to last year's first quarter net income of $0.7 million due to changes in the fair value of contingent consideration offset by higher income taxes. Diluted EPS of $0.27 compared with $0.09 per share for 2023's first quarter. Non-GAAP Economic Earnings were $3.0 million, or $0.36 per share, compared with $1.7 million, or $0.22 per share, in the first quarter of 2023.</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Economic Earnings and Economic EPS are non-GAAP performance measures and are explained and reconciled with the most comparable GAAP numbers in the attached tables.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Westwood will host a conference call to discuss first quarter 2024 results and other business matters at 4:30 p.m. Eastern time today. To join the conference call, please register here:</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https://register.vevent.com/register/BI525615f3be7946a8be8bb4934ce4eb68</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After registering, you will be provided with a dial-in number containing a personalized PIN.</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Webcast Link: https://edge.media-server.com/mmc/p/ckyaak4u</w:t>
      </w:r>
    </w:p>
    <w:p>
      <w:pPr>
        <w:pStyle w:val="TextBody"/>
        <w:bidi w:val="0"/>
        <w:spacing w:lineRule="auto" w:line="288" w:before="120" w:after="283"/>
        <w:jc w:val="both"/>
        <w:rPr>
          <w:rFonts w:ascii="Times New Roman;sans-serif" w:hAnsi="Times New Roman;sans-serif"/>
          <w:b/>
          <w:color w:val="000000"/>
          <w:sz w:val="24"/>
        </w:rPr>
      </w:pPr>
      <w:r>
        <w:rPr>
          <w:rFonts w:ascii="Times New Roman;sans-serif" w:hAnsi="Times New Roman;sans-serif"/>
          <w:b/>
          <w:color w:val="000000"/>
          <w:sz w:val="24"/>
        </w:rPr>
        <w:t>ABOUT WESTWOOD HOLDINGS GROUP</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Westwood Holdings Group, Inc. is a focused investment management boutique and wealth management firm.</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Founded in 1983, Westwood offers a broad array of investment solutions to institutional investors, private wealth clients and financial intermediaries. The firm specializes in several distinct investment capabilities: U.S. Value Equity, Multi-Asset, Energy &amp; Real Assets, Income Alternatives, Tactical Absolute Return and Managed Investment Solutions, which are available through separate accounts, the Westwood Funds® family of mutual funds, exchange-traded funds ("ETFs") and other pooled vehicles. Westwood benefits from significant, broad-based employee ownership and trades on the New York Stock Exchange under the symbol "WHG." Based in Dallas, Westwood also maintains offices in Chicago, Houston and San Francisco.</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more information on Westwood, please visit westwoodgroup.com.</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2023 and its quarterly report on Form 10-Q for the quarter ended March 31, 2024.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SOURCE: Westwood Holdings Group,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(WHG-G)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CONTACT: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Westwood Holdings Group,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Terry Forbes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Treasurer</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(214) 756-6900</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COMPREHENSIVE INCOME</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 thousands, except per share and share amounts)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(unaudited)</w:t>
      </w:r>
    </w:p>
    <w:tbl>
      <w:tblPr>
        <w:tblW w:w="10191" w:type="dxa"/>
        <w:jc w:val="left"/>
        <w:tblInd w:w="0" w:type="dxa"/>
        <w:tblLayout w:type="fixed"/>
        <w:tblCellMar>
          <w:top w:w="28" w:type="dxa"/>
          <w:left w:w="28" w:type="dxa"/>
          <w:bottom w:w="28" w:type="dxa"/>
          <w:right w:w="28" w:type="dxa"/>
        </w:tblCellMar>
      </w:tblPr>
      <w:tblGrid>
        <w:gridCol w:w="1940"/>
        <w:gridCol w:w="1708"/>
        <w:gridCol w:w="1721"/>
        <w:gridCol w:w="266"/>
        <w:gridCol w:w="876"/>
        <w:gridCol w:w="147"/>
        <w:gridCol w:w="109"/>
        <w:gridCol w:w="109"/>
        <w:gridCol w:w="109"/>
        <w:gridCol w:w="318"/>
        <w:gridCol w:w="1050"/>
        <w:gridCol w:w="177"/>
        <w:gridCol w:w="109"/>
        <w:gridCol w:w="109"/>
        <w:gridCol w:w="109"/>
        <w:gridCol w:w="262"/>
        <w:gridCol w:w="866"/>
        <w:gridCol w:w="206"/>
      </w:tblGrid>
      <w:tr>
        <w:trPr/>
        <w:tc>
          <w:tcPr>
            <w:tcW w:w="1940"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Advisory fees: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Asset-based</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Performance-based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fees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performance-based fees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22,732 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23,229 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benefits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Westwood mutual funds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technology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from change in fair value of contingent consideration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expenses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operating income</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appreciation (depreciation) on private investments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before income taxes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provision</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comprehensive income</w:t>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2,583 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Comprehensive income attributable to noncontrolling interest</w:t>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attributable to Westwood Holdings Group, Inc.</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Earnings per Westwood Holdings Group, Inc. share:</w:t>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shares outstanding:</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8,007,896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7,853,921</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8,392,496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8,184,736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7,968,504</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Earnings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EPS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per share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 except par value and share amounts)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885"/>
        <w:gridCol w:w="2170"/>
        <w:gridCol w:w="2180"/>
        <w:gridCol w:w="221"/>
        <w:gridCol w:w="830"/>
        <w:gridCol w:w="123"/>
        <w:gridCol w:w="109"/>
        <w:gridCol w:w="109"/>
        <w:gridCol w:w="109"/>
        <w:gridCol w:w="247"/>
        <w:gridCol w:w="928"/>
        <w:gridCol w:w="137"/>
        <w:gridCol w:w="157"/>
      </w:tblGrid>
      <w:tr>
        <w:trPr/>
        <w:tc>
          <w:tcPr>
            <w:tcW w:w="288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at fair value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income taxes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72,238 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investments at fair value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$9,421 and $10,078</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assets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82,559 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82,929 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149,042 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155,167 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 payable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dividends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25,000,000 shares, issued 12,125,042 and 11,856,737, respectively and outstanding 9,330,762 and 9,140,760, respectively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 2,794,280 and 2,715,977, respectively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(85,990)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Westwood Holdings Group, Inc. stockholders’ equity</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121,840 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120,401 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Noncontrolling interest in consolidated subsidiary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149,042 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155,167 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tbl>
      <w:tblPr>
        <w:tblW w:w="9083" w:type="dxa"/>
        <w:jc w:val="center"/>
        <w:tblInd w:w="0" w:type="dxa"/>
        <w:tblLayout w:type="fixed"/>
        <w:tblCellMar>
          <w:top w:w="28" w:type="dxa"/>
          <w:left w:w="28" w:type="dxa"/>
          <w:bottom w:w="28" w:type="dxa"/>
          <w:right w:w="28" w:type="dxa"/>
        </w:tblCellMar>
      </w:tblPr>
      <w:tblGrid>
        <w:gridCol w:w="2339"/>
        <w:gridCol w:w="2057"/>
        <w:gridCol w:w="2068"/>
        <w:gridCol w:w="226"/>
        <w:gridCol w:w="745"/>
        <w:gridCol w:w="125"/>
        <w:gridCol w:w="125"/>
        <w:gridCol w:w="125"/>
        <w:gridCol w:w="125"/>
        <w:gridCol w:w="226"/>
        <w:gridCol w:w="745"/>
        <w:gridCol w:w="177"/>
      </w:tblGrid>
      <w:tr>
        <w:trPr/>
        <w:tc>
          <w:tcPr>
            <w:tcW w:w="233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(used in) operating activities:</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(appreciation) depreciation on investments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asset disposition</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change of contingent consideration</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(purchases) sales of trading securities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 payable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net of cash acquired</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returned for payment of taxes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CHANGE IN CASH AND CASH EQUIVALENTS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income taxes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dividends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operating lease right-of-use assets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WESTWOOD HOLDINGS GROUP,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 of Comprehensive Income Attributable to Westwood Holdings Group, Inc. to Economic Earnings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 thousands, except per share and share amounts)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supplemental information, we are providing non-GAAP performance measures that we refer to as Economic Earnings and Economic EPS. We provide these measures in addition to, not as a substitute for, Comprehensive income attributable to Westwood Holdings Group, Inc.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Comprehensive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Economic Earnings as Comprehensive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pStyle w:val="TextBody"/>
        <w:bidi w:val="0"/>
        <w:spacing w:before="120" w:after="283"/>
        <w:jc w:val="left"/>
        <w:rPr/>
      </w:pPr>
      <w:r>
        <w:rPr/>
      </w:r>
    </w:p>
    <w:tbl>
      <w:tblPr>
        <w:tblW w:w="9982" w:type="dxa"/>
        <w:jc w:val="center"/>
        <w:tblInd w:w="0" w:type="dxa"/>
        <w:tblLayout w:type="fixed"/>
        <w:tblCellMar>
          <w:top w:w="28" w:type="dxa"/>
          <w:left w:w="28" w:type="dxa"/>
          <w:bottom w:w="28" w:type="dxa"/>
          <w:right w:w="28" w:type="dxa"/>
        </w:tblCellMar>
      </w:tblPr>
      <w:tblGrid>
        <w:gridCol w:w="1907"/>
        <w:gridCol w:w="1676"/>
        <w:gridCol w:w="1681"/>
        <w:gridCol w:w="287"/>
        <w:gridCol w:w="814"/>
        <w:gridCol w:w="159"/>
        <w:gridCol w:w="109"/>
        <w:gridCol w:w="109"/>
        <w:gridCol w:w="109"/>
        <w:gridCol w:w="341"/>
        <w:gridCol w:w="969"/>
        <w:gridCol w:w="190"/>
        <w:gridCol w:w="109"/>
        <w:gridCol w:w="109"/>
        <w:gridCol w:w="109"/>
        <w:gridCol w:w="282"/>
        <w:gridCol w:w="801"/>
        <w:gridCol w:w="221"/>
      </w:tblGrid>
      <w:tr>
        <w:trPr/>
        <w:tc>
          <w:tcPr>
            <w:tcW w:w="19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Comprehensive income attributable to Westwood Holdings Group, Inc.</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2,576 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impact of adjustments to GAAP comprehensive income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Earnings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3,554 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1,718 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Earnings per share</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0.27 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0.31 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0.09 </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impact of adjustments to GAAP comprehensive income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EPS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0.22 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 weighted average shares</w:t>
            </w:r>
          </w:p>
        </w:tc>
        <w:tc>
          <w:tcPr>
            <w:tcW w:w="12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8,392,496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8,184,736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7,968,504</w:t>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31" w:type="dxa"/>
            <w:gridSpan w:val="6"/>
            <w:tcBorders/>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2958</Words>
  <Characters>17264</Characters>
  <CharactersWithSpaces>19978</CharactersWithSpaces>
  <Paragraphs>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