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April 3, 2006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Mr. John P. Nolan</w:t>
      </w:r>
    </w:p>
    <w:p>
      <w:pPr>
        <w:spacing w:after="0" w:line="238" w:lineRule="auto"/>
        <w:rPr>
          <w:sz w:val="20"/>
          <w:szCs w:val="20"/>
          <w:color w:val="auto"/>
        </w:rPr>
      </w:pPr>
      <w:r>
        <w:rPr>
          <w:rFonts w:ascii="Courier New" w:cs="Courier New" w:eastAsia="Courier New" w:hAnsi="Courier New"/>
          <w:sz w:val="18"/>
          <w:szCs w:val="18"/>
          <w:color w:val="auto"/>
        </w:rPr>
        <w:t>Accounting Branch Chief</w:t>
      </w:r>
    </w:p>
    <w:p>
      <w:pPr>
        <w:spacing w:after="0"/>
        <w:rPr>
          <w:sz w:val="20"/>
          <w:szCs w:val="20"/>
          <w:color w:val="auto"/>
        </w:rPr>
      </w:pPr>
      <w:r>
        <w:rPr>
          <w:rFonts w:ascii="Courier New" w:cs="Courier New" w:eastAsia="Courier New" w:hAnsi="Courier New"/>
          <w:sz w:val="18"/>
          <w:szCs w:val="18"/>
          <w:color w:val="auto"/>
        </w:rPr>
        <w:t>United States Securities and Exchange Commission</w:t>
      </w:r>
    </w:p>
    <w:p>
      <w:pPr>
        <w:spacing w:after="0" w:line="237" w:lineRule="auto"/>
        <w:rPr>
          <w:sz w:val="20"/>
          <w:szCs w:val="20"/>
          <w:color w:val="auto"/>
        </w:rPr>
      </w:pPr>
      <w:r>
        <w:rPr>
          <w:rFonts w:ascii="Courier New" w:cs="Courier New" w:eastAsia="Courier New" w:hAnsi="Courier New"/>
          <w:sz w:val="18"/>
          <w:szCs w:val="18"/>
          <w:color w:val="auto"/>
        </w:rPr>
        <w:t>Division of Corporation Finance-Disclosure Operations</w:t>
      </w:r>
    </w:p>
    <w:p>
      <w:pPr>
        <w:spacing w:after="0" w:line="238" w:lineRule="auto"/>
        <w:rPr>
          <w:sz w:val="20"/>
          <w:szCs w:val="20"/>
          <w:color w:val="auto"/>
        </w:rPr>
      </w:pPr>
      <w:r>
        <w:rPr>
          <w:rFonts w:ascii="Courier New" w:cs="Courier New" w:eastAsia="Courier New" w:hAnsi="Courier New"/>
          <w:sz w:val="18"/>
          <w:szCs w:val="18"/>
          <w:color w:val="auto"/>
        </w:rPr>
        <w:t>100 F Street, NE</w:t>
      </w:r>
    </w:p>
    <w:p>
      <w:pPr>
        <w:spacing w:after="0"/>
        <w:tabs>
          <w:tab w:leader="none" w:pos="1880" w:val="left"/>
        </w:tabs>
        <w:rPr>
          <w:sz w:val="20"/>
          <w:szCs w:val="20"/>
          <w:color w:val="auto"/>
        </w:rPr>
      </w:pPr>
      <w:r>
        <w:rPr>
          <w:rFonts w:ascii="Courier New" w:cs="Courier New" w:eastAsia="Courier New" w:hAnsi="Courier New"/>
          <w:sz w:val="18"/>
          <w:szCs w:val="18"/>
          <w:color w:val="auto"/>
        </w:rPr>
        <w:t>Washington, D.C.</w:t>
        <w:tab/>
        <w:t>20549</w:t>
      </w:r>
    </w:p>
    <w:p>
      <w:pPr>
        <w:spacing w:after="0" w:line="201" w:lineRule="exact"/>
        <w:rPr>
          <w:sz w:val="24"/>
          <w:szCs w:val="24"/>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Re:</w:t>
      </w:r>
      <w:r>
        <w:rPr>
          <w:sz w:val="20"/>
          <w:szCs w:val="20"/>
          <w:color w:val="auto"/>
        </w:rPr>
        <w:tab/>
      </w:r>
      <w:r>
        <w:rPr>
          <w:rFonts w:ascii="Courier New" w:cs="Courier New" w:eastAsia="Courier New" w:hAnsi="Courier New"/>
          <w:sz w:val="18"/>
          <w:szCs w:val="18"/>
          <w:color w:val="auto"/>
        </w:rPr>
        <w:t>Westwood Holdings Group, Inc.</w:t>
      </w:r>
    </w:p>
    <w:p>
      <w:pPr>
        <w:spacing w:after="0" w:line="4" w:lineRule="exact"/>
        <w:rPr>
          <w:sz w:val="24"/>
          <w:szCs w:val="24"/>
          <w:color w:val="auto"/>
        </w:rPr>
      </w:pPr>
    </w:p>
    <w:p>
      <w:pPr>
        <w:ind w:left="860" w:right="3779"/>
        <w:spacing w:after="0" w:line="235" w:lineRule="auto"/>
        <w:rPr>
          <w:sz w:val="20"/>
          <w:szCs w:val="20"/>
          <w:color w:val="auto"/>
        </w:rPr>
      </w:pPr>
      <w:r>
        <w:rPr>
          <w:rFonts w:ascii="Courier New" w:cs="Courier New" w:eastAsia="Courier New" w:hAnsi="Courier New"/>
          <w:sz w:val="18"/>
          <w:szCs w:val="18"/>
          <w:color w:val="auto"/>
        </w:rPr>
        <w:t>Form 10-K for the Fiscal Year Ended December 31, 2005 File No. 1-31234</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Dear Mr. Nolan:</w:t>
      </w:r>
    </w:p>
    <w:p>
      <w:pPr>
        <w:spacing w:after="0" w:line="207" w:lineRule="exact"/>
        <w:rPr>
          <w:sz w:val="24"/>
          <w:szCs w:val="24"/>
          <w:color w:val="auto"/>
        </w:rPr>
      </w:pPr>
    </w:p>
    <w:p>
      <w:pPr>
        <w:ind w:right="1779" w:firstLine="843"/>
        <w:spacing w:after="0" w:line="290" w:lineRule="auto"/>
        <w:rPr>
          <w:sz w:val="20"/>
          <w:szCs w:val="20"/>
          <w:color w:val="auto"/>
        </w:rPr>
      </w:pPr>
      <w:r>
        <w:rPr>
          <w:rFonts w:ascii="Courier New" w:cs="Courier New" w:eastAsia="Courier New" w:hAnsi="Courier New"/>
          <w:sz w:val="16"/>
          <w:szCs w:val="16"/>
          <w:color w:val="auto"/>
        </w:rPr>
        <w:t>This letter is in response to your letter dated March 30, 2006 regarding your review of our Form 10-K for the fiscal year ended December 31, 2005.</w:t>
      </w:r>
    </w:p>
    <w:p>
      <w:pPr>
        <w:spacing w:after="0" w:line="170" w:lineRule="exact"/>
        <w:rPr>
          <w:sz w:val="24"/>
          <w:szCs w:val="24"/>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We agree with your comment and will include in our future filings language that will clearly describe the accounting cycle for our advanced billed clients and its impact on our deferred revenue balance as of the periods reported.</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Westwood Holdings Group, Inc. ("the Company") acknowledges that:</w:t>
      </w:r>
    </w:p>
    <w:p>
      <w:pPr>
        <w:spacing w:after="0" w:line="207" w:lineRule="exact"/>
        <w:rPr>
          <w:sz w:val="24"/>
          <w:szCs w:val="24"/>
          <w:color w:val="auto"/>
        </w:rPr>
      </w:pPr>
    </w:p>
    <w:p>
      <w:pPr>
        <w:ind w:right="2099" w:firstLine="8"/>
        <w:spacing w:after="0" w:line="235" w:lineRule="auto"/>
        <w:tabs>
          <w:tab w:leader="none" w:pos="21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is responsible for the adequacy and accuracy of the disclosures in its filings;</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Staff comments or changes to disclosures in response to Staff comments in</w:t>
      </w:r>
    </w:p>
    <w:p>
      <w:pPr>
        <w:spacing w:after="0" w:line="4" w:lineRule="exact"/>
        <w:rPr>
          <w:rFonts w:ascii="Courier New" w:cs="Courier New" w:eastAsia="Courier New" w:hAnsi="Courier New"/>
          <w:sz w:val="18"/>
          <w:szCs w:val="18"/>
          <w:color w:val="auto"/>
        </w:rPr>
      </w:pPr>
    </w:p>
    <w:p>
      <w:pPr>
        <w:ind w:right="20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filings reviewed by the Staff do not foreclose the Commission from taking any action with respect to the filing; and</w:t>
      </w:r>
    </w:p>
    <w:p>
      <w:pPr>
        <w:spacing w:after="0" w:line="5" w:lineRule="exact"/>
        <w:rPr>
          <w:rFonts w:ascii="Courier New" w:cs="Courier New" w:eastAsia="Courier New" w:hAnsi="Courier New"/>
          <w:sz w:val="18"/>
          <w:szCs w:val="18"/>
          <w:color w:val="auto"/>
        </w:rPr>
      </w:pPr>
    </w:p>
    <w:p>
      <w:pPr>
        <w:ind w:right="2319" w:firstLine="8"/>
        <w:spacing w:after="0" w:line="236" w:lineRule="auto"/>
        <w:tabs>
          <w:tab w:leader="none" w:pos="21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may not assert Staff comments as a defense in any proceeding initiated by the Commission or any person under the federal securities laws of the United States.</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Sincerely,</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 BRIAN O. CASEY</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Brian O. Casey</w:t>
      </w:r>
    </w:p>
    <w:p>
      <w:pPr>
        <w:spacing w:after="0" w:line="238" w:lineRule="auto"/>
        <w:rPr>
          <w:sz w:val="20"/>
          <w:szCs w:val="20"/>
          <w:color w:val="auto"/>
        </w:rPr>
      </w:pPr>
      <w:r>
        <w:rPr>
          <w:rFonts w:ascii="Courier New" w:cs="Courier New" w:eastAsia="Courier New" w:hAnsi="Courier New"/>
          <w:sz w:val="18"/>
          <w:szCs w:val="18"/>
          <w:color w:val="auto"/>
        </w:rPr>
        <w:t>Chief Executive Officer and President</w:t>
      </w:r>
    </w:p>
    <w:p>
      <w:pPr>
        <w:spacing w:after="0" w:line="202" w:lineRule="exact"/>
        <w:rPr>
          <w:sz w:val="24"/>
          <w:szCs w:val="24"/>
          <w:color w:val="auto"/>
        </w:rPr>
      </w:pP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Lisa Haynes, Staff Accountant</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Michael D. Fisher, Deloitte &amp; Touche LLP</w:t>
      </w:r>
    </w:p>
    <w:sectPr>
      <w:pgSz w:w="11900" w:h="16838" w:orient="portrait"/>
      <w:cols w:equalWidth="0" w:num="1">
        <w:col w:w="10219"/>
      </w:cols>
      <w:pgMar w:left="240" w:top="2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29"/>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2019-12-15T07:14:05Z</dcterms:created>
  <dcterms:modified xsi:type="dcterms:W3CDTF">2019-12-15T07:14:05Z</dcterms:modified>
</cp:coreProperties>
</file>