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(Rule 13d-101)</w:t>
      </w:r>
    </w:p>
    <w:p>
      <w:pPr>
        <w:spacing w:after="0" w:line="18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22"/>
          <w:szCs w:val="22"/>
          <w:color w:val="auto"/>
        </w:rPr>
        <w:t>INFORMATION TO BE INCLUDED IN STATEMENTS FILED PURSUANT</w:t>
      </w:r>
    </w:p>
    <w:p>
      <w:pPr>
        <w:spacing w:after="0" w:line="4"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2"/>
          <w:szCs w:val="22"/>
          <w:color w:val="auto"/>
        </w:rPr>
        <w:t>TO § 240.13d-1(a) AND AMENDMENTS THERETO FILED PURSUANT TO</w:t>
      </w:r>
    </w:p>
    <w:p>
      <w:pPr>
        <w:ind w:left="4720" w:right="4700" w:firstLine="262"/>
        <w:spacing w:after="0" w:line="466" w:lineRule="auto"/>
        <w:tabs>
          <w:tab w:leader="none" w:pos="5143"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240.13d-2(a) (Amendment No. 5)</w:t>
      </w:r>
      <w:r>
        <w:rPr>
          <w:rFonts w:ascii="Times New Roman" w:cs="Times New Roman" w:eastAsia="Times New Roman" w:hAnsi="Times New Roman"/>
          <w:sz w:val="11"/>
          <w:szCs w:val="11"/>
          <w:color w:val="auto"/>
        </w:rPr>
        <w:t>1</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Westwood Holdings Group, Inc.</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Common Stock, $0.01 par value per share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961765104</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JAMES C. PAPPAS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JCP INVESTMENT MANAGEMENT, LLC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1177 West Loop South, Suite 1320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Houston, TX 77027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(713) 333-5540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RYAN NEBEL</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OLSHAN FROME WOLOSKY LLP</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1325 Avenue of the Americas</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New York, New York 10019</w:t>
      </w:r>
    </w:p>
    <w:p>
      <w:pPr>
        <w:jc w:val="center"/>
        <w:ind w:right="-19"/>
        <w:spacing w:after="0" w:line="230" w:lineRule="auto"/>
        <w:rPr>
          <w:sz w:val="20"/>
          <w:szCs w:val="20"/>
          <w:color w:val="auto"/>
        </w:rPr>
      </w:pPr>
      <w:r>
        <w:rPr>
          <w:rFonts w:ascii="Times New Roman" w:cs="Times New Roman" w:eastAsia="Times New Roman" w:hAnsi="Times New Roman"/>
          <w:sz w:val="22"/>
          <w:szCs w:val="22"/>
          <w:u w:val="single" w:color="auto"/>
          <w:color w:val="auto"/>
        </w:rPr>
        <w:t>(212) 451-2300</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jc w:val="center"/>
        <w:ind w:right="-1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November 27, 2023</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18" w:lineRule="exact"/>
        <w:rPr>
          <w:sz w:val="24"/>
          <w:szCs w:val="24"/>
          <w:color w:val="auto"/>
        </w:rPr>
      </w:pPr>
    </w:p>
    <w:p>
      <w:pPr>
        <w:ind w:right="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28" w:lineRule="exact"/>
        <w:rPr>
          <w:sz w:val="24"/>
          <w:szCs w:val="24"/>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both"/>
        <w:ind w:firstLine="8"/>
        <w:spacing w:after="0" w:line="244" w:lineRule="auto"/>
        <w:tabs>
          <w:tab w:leader="none" w:pos="81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JCP Investment Partnership, LP</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70"/>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5"/>
        </w:trPr>
        <w:tc>
          <w:tcPr>
            <w:tcW w:w="40" w:type="dxa"/>
            <w:vAlign w:val="bottom"/>
            <w:tcBorders>
              <w:right w:val="single" w:sz="8" w:color="auto"/>
            </w:tcBorders>
            <w:shd w:val="clear" w:color="auto" w:fill="000000"/>
          </w:tcPr>
          <w:p>
            <w:pPr>
              <w:spacing w:after="0"/>
              <w:rPr>
                <w:sz w:val="17"/>
                <w:szCs w:val="17"/>
                <w:color w:val="auto"/>
              </w:rPr>
            </w:pPr>
          </w:p>
        </w:tc>
        <w:tc>
          <w:tcPr>
            <w:tcW w:w="16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108,698</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108,698</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108,698</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147955</wp:posOffset>
            </wp:positionV>
            <wp:extent cx="35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JCP Asset Partnership VI, LP</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55"/>
        </w:trPr>
        <w:tc>
          <w:tcPr>
            <w:tcW w:w="17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8360" w:type="dxa"/>
            <w:vAlign w:val="bottom"/>
            <w:gridSpan w:val="3"/>
          </w:tcPr>
          <w:p>
            <w:pPr>
              <w:ind w:left="14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0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17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60" w:type="dxa"/>
            <w:vAlign w:val="bottom"/>
            <w:gridSpan w:val="3"/>
          </w:tcPr>
          <w:p>
            <w:pPr>
              <w:ind w:left="14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00" w:type="dxa"/>
            <w:vAlign w:val="bottom"/>
            <w:gridSpan w:val="2"/>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70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113,245</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113,245</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113,245</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9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45"/>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-5334635</wp:posOffset>
            </wp:positionV>
            <wp:extent cx="351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15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JCP Investment Partners, LP</w:t>
            </w:r>
          </w:p>
        </w:tc>
        <w:tc>
          <w:tcPr>
            <w:tcW w:w="118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221,943</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221,943</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221,943</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JCP Investment Holdings,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221,943</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221,943</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221,943</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Pr>
          <w:p>
            <w:pPr>
              <w:spacing w:after="0"/>
              <w:rPr>
                <w:sz w:val="20"/>
                <w:szCs w:val="20"/>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JCP Investment Management, LLC</w:t>
            </w:r>
          </w:p>
        </w:tc>
        <w:tc>
          <w:tcPr>
            <w:tcW w:w="1180" w:type="dxa"/>
            <w:vAlign w:val="bottom"/>
            <w:tcBorders>
              <w:bottom w:val="single" w:sz="8" w:color="auto"/>
            </w:tcBorders>
          </w:tcPr>
          <w:p>
            <w:pPr>
              <w:spacing w:after="0"/>
              <w:rPr>
                <w:sz w:val="24"/>
                <w:szCs w:val="24"/>
                <w:color w:val="auto"/>
              </w:rPr>
            </w:pPr>
          </w:p>
        </w:tc>
      </w:tr>
      <w:tr>
        <w:trPr>
          <w:trHeight w:val="156"/>
        </w:trPr>
        <w:tc>
          <w:tcPr>
            <w:tcW w:w="1360" w:type="dxa"/>
            <w:vAlign w:val="bottom"/>
          </w:tcPr>
          <w:p>
            <w:pPr>
              <w:jc w:val="right"/>
              <w:ind w:right="37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8700" w:type="dxa"/>
            <w:vAlign w:val="bottom"/>
          </w:tcPr>
          <w:p>
            <w:pPr>
              <w:ind w:left="48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13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1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1360" w:type="dxa"/>
            <w:vAlign w:val="bottom"/>
            <w:tcBorders>
              <w:bottom w:val="single" w:sz="8" w:color="auto"/>
            </w:tcBorders>
          </w:tcPr>
          <w:p>
            <w:pPr>
              <w:spacing w:after="0"/>
              <w:rPr>
                <w:sz w:val="15"/>
                <w:szCs w:val="15"/>
                <w:color w:val="auto"/>
              </w:rPr>
            </w:pPr>
          </w:p>
        </w:tc>
        <w:tc>
          <w:tcPr>
            <w:tcW w:w="87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228"/>
        </w:trPr>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 USE ONLY</w:t>
            </w:r>
          </w:p>
        </w:tc>
        <w:tc>
          <w:tcPr>
            <w:tcW w:w="1180" w:type="dxa"/>
            <w:vAlign w:val="bottom"/>
          </w:tcPr>
          <w:p>
            <w:pPr>
              <w:spacing w:after="0"/>
              <w:rPr>
                <w:sz w:val="19"/>
                <w:szCs w:val="19"/>
                <w:color w:val="auto"/>
              </w:rPr>
            </w:pPr>
          </w:p>
        </w:tc>
      </w:tr>
      <w:tr>
        <w:trPr>
          <w:trHeight w:val="414"/>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8"/>
        </w:trPr>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SOURCE OF FUNDS</w:t>
            </w:r>
          </w:p>
        </w:tc>
        <w:tc>
          <w:tcPr>
            <w:tcW w:w="1180" w:type="dxa"/>
            <w:vAlign w:val="bottom"/>
          </w:tcPr>
          <w:p>
            <w:pPr>
              <w:spacing w:after="0"/>
              <w:rPr>
                <w:sz w:val="19"/>
                <w:szCs w:val="19"/>
                <w:color w:val="auto"/>
              </w:rPr>
            </w:pPr>
          </w:p>
        </w:tc>
      </w:tr>
      <w:tr>
        <w:trPr>
          <w:trHeight w:val="414"/>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AF, OO</w:t>
            </w:r>
          </w:p>
        </w:tc>
        <w:tc>
          <w:tcPr>
            <w:tcW w:w="1180" w:type="dxa"/>
            <w:vAlign w:val="bottom"/>
            <w:tcBorders>
              <w:bottom w:val="single" w:sz="8" w:color="auto"/>
            </w:tcBorders>
          </w:tcPr>
          <w:p>
            <w:pPr>
              <w:spacing w:after="0"/>
              <w:rPr>
                <w:sz w:val="24"/>
                <w:szCs w:val="24"/>
                <w:color w:val="auto"/>
              </w:rPr>
            </w:pPr>
          </w:p>
        </w:tc>
      </w:tr>
      <w:tr>
        <w:trPr>
          <w:trHeight w:val="191"/>
        </w:trPr>
        <w:tc>
          <w:tcPr>
            <w:tcW w:w="136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870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3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2(e)</w:t>
            </w: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-1962785</wp:posOffset>
            </wp:positionV>
            <wp:extent cx="351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40" w:hanging="1026"/>
        <w:spacing w:after="0"/>
        <w:tabs>
          <w:tab w:leader="none" w:pos="1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TEXAS</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2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226,490</w:t>
            </w:r>
          </w:p>
        </w:tc>
        <w:tc>
          <w:tcPr>
            <w:tcW w:w="160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2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60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226,490</w:t>
            </w: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60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226,490</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9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6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w w:val="99"/>
              </w:rPr>
              <w:t>James C. Pappas</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6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65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USA</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16"/>
                <w:szCs w:val="16"/>
                <w:color w:val="auto"/>
              </w:rPr>
            </w:pPr>
          </w:p>
        </w:tc>
        <w:tc>
          <w:tcPr>
            <w:tcW w:w="65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226,490</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6"/>
                <w:szCs w:val="16"/>
                <w:color w:val="auto"/>
              </w:rPr>
            </w:pPr>
          </w:p>
        </w:tc>
        <w:tc>
          <w:tcPr>
            <w:tcW w:w="65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226,490</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226,490</w:t>
            </w: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3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constitutes Amendment No. 5 to the Schedule 13D filed by the undersigned (“Amendment No. 5”). This Amendment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amends the Schedule 13D as specifically set forth herein.</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3 is hereby amended and restated to read as follows: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Shares purchased by JCP Partnership and JCP Asset VI and held in the JCP Account were purchased with working capital (which may, at any given time, include margin loans made by brokerage firms in the ordinary course of business). The aggregate purchase price of the 108,698 Shares owned directly by JCP Partnership is approximately $3,333,569, including brokerage commissions. The aggregate purchase price of the 113,245 Shares owned directly by JCP Asset VI is approximately $3,473,095, including brokerage commissions. The aggregate purchase price of the 4,547 Shares held in the JCP Account is approximately $139,478, including brokerage commissions.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u w:val="single" w:color="auto"/>
          <w:color w:val="auto"/>
        </w:rPr>
        <w:t>Interest in Securities of the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Items 5(a) – (c) and (e) are hereby amended and restated to read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aggregate percentage of Shares reported owned by each person named herein is based upon 9,145,663 Shares outstanding as of October 24, 2023, which is the total number of Shares outstanding as reported in the Issuer’s Quarterly Report on Form 10-Q filed with the Securities and Exchange Commission on October 31, 2023.</w:t>
      </w:r>
    </w:p>
    <w:p>
      <w:pPr>
        <w:spacing w:after="0" w:line="17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JCP Partnership</w:t>
      </w:r>
    </w:p>
    <w:p>
      <w:pPr>
        <w:spacing w:after="0" w:line="225" w:lineRule="exact"/>
        <w:rPr>
          <w:rFonts w:ascii="Times New Roman" w:cs="Times New Roman" w:eastAsia="Times New Roman" w:hAnsi="Times New Roman"/>
          <w:sz w:val="18"/>
          <w:szCs w:val="18"/>
          <w:color w:val="auto"/>
        </w:rPr>
      </w:pPr>
    </w:p>
    <w:p>
      <w:pPr>
        <w:ind w:left="1300" w:right="4560" w:hanging="644"/>
        <w:spacing w:after="0" w:line="500"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JCP Partnership beneficially owned 108,698 Shares. Percentage: Approximately 1.2%</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108,698</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108,698</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0</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JCP Asset VI</w:t>
      </w:r>
    </w:p>
    <w:p>
      <w:pPr>
        <w:spacing w:after="0" w:line="225" w:lineRule="exact"/>
        <w:rPr>
          <w:rFonts w:ascii="Times New Roman" w:cs="Times New Roman" w:eastAsia="Times New Roman" w:hAnsi="Times New Roman"/>
          <w:sz w:val="18"/>
          <w:szCs w:val="18"/>
          <w:color w:val="auto"/>
        </w:rPr>
      </w:pPr>
    </w:p>
    <w:p>
      <w:pPr>
        <w:ind w:left="1300" w:right="4760" w:hanging="644"/>
        <w:spacing w:after="0" w:line="500"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JCP Asset VI beneficially owned 113,245 Shares. Percentage: Approximately 1.2%</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113,245</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113,245</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0</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JCP Partners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JCP Partners, as the general partner of JCP Partnership and JCP Asset VI, may be deemed the beneficial owner of the (i) 108,698 Shares owned by JCP Partnership and (ii) 113,245 Shares owned by JCP Asset VI.</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Percentage: Approximately 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215" w:lineRule="exact"/>
        <w:rPr>
          <w:sz w:val="20"/>
          <w:szCs w:val="20"/>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221,943</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221,943</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0</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JCP Holdings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JCP Holdings, as the general partner of JCP Partners, may be deemed the beneficial owner of the (i) 108,698 Shares owned by JCP Partnership and (ii) 113,245 Shares owned by JCP Asset VI.</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2.4%</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221,943</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221,943</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0</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JCP Management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4,547 Shares were held in the JCP Account. JCP Management, as the investment manager of JCP Partnership, JCP Asset VI and the JCP Account, may be deemed the beneficial owner of the (i) 108,698 Shares owned by JCP Partnership, (ii) 113,245 Shares owned by JCP Asset VI and (iii) 4,547 Shares held in the JCP Account.</w:t>
      </w:r>
    </w:p>
    <w:p>
      <w:pPr>
        <w:spacing w:after="0" w:line="17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2.5%</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226,490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226,490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0</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Pappas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Pappas, as the managing member of JCP Management and sole member of JCP Holdings, may be deemed the beneficial owner of the</w:t>
      </w:r>
    </w:p>
    <w:p>
      <w:pPr>
        <w:spacing w:after="0" w:line="27" w:lineRule="exact"/>
        <w:rPr>
          <w:rFonts w:ascii="Times New Roman" w:cs="Times New Roman" w:eastAsia="Times New Roman" w:hAnsi="Times New Roman"/>
          <w:sz w:val="18"/>
          <w:szCs w:val="18"/>
          <w:color w:val="auto"/>
        </w:rPr>
      </w:pPr>
    </w:p>
    <w:p>
      <w:pPr>
        <w:ind w:left="1300" w:right="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108,698 Shares owned by JCP Partnership, (ii) 113,245 Shares owned by JCP Asset VI and (iii) 4,547 Shares held in the JCP Account. Percentage: Approximately 2.5%</w:t>
      </w: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226,490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226,490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0</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215" w:lineRule="exact"/>
        <w:rPr>
          <w:sz w:val="20"/>
          <w:szCs w:val="20"/>
          <w:color w:val="auto"/>
        </w:rPr>
      </w:pPr>
    </w:p>
    <w:p>
      <w:pPr>
        <w:jc w:val="both"/>
        <w:ind w:left="130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 securities of the Issuer by the Reporting Persons since the filing of Amendment No. 4 to the Schedule 13D are set forth in Schedule A and are incorporated herein by reference. All of such transactions were effected in the open market unless otherwise noted therein.</w:t>
      </w:r>
    </w:p>
    <w:p>
      <w:pPr>
        <w:spacing w:after="0" w:line="176"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27, 2023, the Reporting Persons ceased to beneficially own more than 5% of the outstanding Shares.</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29, 2023</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JCP Investment Partnership, LP</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JCP Investment Management, LLC</w:t>
            </w:r>
          </w:p>
        </w:tc>
      </w:tr>
      <w:tr>
        <w:trPr>
          <w:trHeight w:val="234"/>
        </w:trPr>
        <w:tc>
          <w:tcPr>
            <w:tcW w:w="66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Manager</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C. Pappas</w:t>
            </w:r>
          </w:p>
        </w:tc>
      </w:tr>
      <w:tr>
        <w:trPr>
          <w:trHeight w:val="191"/>
        </w:trPr>
        <w:tc>
          <w:tcPr>
            <w:tcW w:w="66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James C. Pappas</w:t>
            </w:r>
          </w:p>
        </w:tc>
      </w:tr>
      <w:tr>
        <w:trPr>
          <w:trHeight w:val="234"/>
        </w:trPr>
        <w:tc>
          <w:tcPr>
            <w:tcW w:w="6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JCP Asset Partnership VI, LP</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JCP Investment Management, LLC</w:t>
            </w:r>
          </w:p>
        </w:tc>
      </w:tr>
      <w:tr>
        <w:trPr>
          <w:trHeight w:val="234"/>
        </w:trPr>
        <w:tc>
          <w:tcPr>
            <w:tcW w:w="66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Manager</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C. Pappas</w:t>
            </w:r>
          </w:p>
        </w:tc>
      </w:tr>
      <w:tr>
        <w:trPr>
          <w:trHeight w:val="191"/>
        </w:trPr>
        <w:tc>
          <w:tcPr>
            <w:tcW w:w="66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James C. Pappas</w:t>
            </w:r>
          </w:p>
        </w:tc>
      </w:tr>
      <w:tr>
        <w:trPr>
          <w:trHeight w:val="234"/>
        </w:trPr>
        <w:tc>
          <w:tcPr>
            <w:tcW w:w="6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JCP Investment Partners, LP</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JCP Investment Holdings, LLC</w:t>
            </w:r>
          </w:p>
        </w:tc>
      </w:tr>
      <w:tr>
        <w:trPr>
          <w:trHeight w:val="234"/>
        </w:trPr>
        <w:tc>
          <w:tcPr>
            <w:tcW w:w="66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C. Pappas</w:t>
            </w:r>
          </w:p>
        </w:tc>
      </w:tr>
      <w:tr>
        <w:trPr>
          <w:trHeight w:val="191"/>
        </w:trPr>
        <w:tc>
          <w:tcPr>
            <w:tcW w:w="66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James C. Pappas</w:t>
            </w:r>
          </w:p>
        </w:tc>
      </w:tr>
      <w:tr>
        <w:trPr>
          <w:trHeight w:val="234"/>
        </w:trPr>
        <w:tc>
          <w:tcPr>
            <w:tcW w:w="6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Member</w:t>
            </w:r>
          </w:p>
        </w:tc>
      </w:tr>
      <w:tr>
        <w:trPr>
          <w:trHeight w:val="64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JCP Investment Holdings, LLC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C. Pappas</w:t>
            </w:r>
          </w:p>
        </w:tc>
      </w:tr>
      <w:tr>
        <w:trPr>
          <w:trHeight w:val="191"/>
        </w:trPr>
        <w:tc>
          <w:tcPr>
            <w:tcW w:w="66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James C. Pappas</w:t>
            </w:r>
          </w:p>
        </w:tc>
      </w:tr>
      <w:tr>
        <w:trPr>
          <w:trHeight w:val="234"/>
        </w:trPr>
        <w:tc>
          <w:tcPr>
            <w:tcW w:w="6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Member</w:t>
            </w:r>
          </w:p>
        </w:tc>
      </w:tr>
      <w:tr>
        <w:trPr>
          <w:trHeight w:val="64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JCP Investment Management, LLC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C. Pappas</w:t>
            </w:r>
          </w:p>
        </w:tc>
      </w:tr>
      <w:tr>
        <w:trPr>
          <w:trHeight w:val="191"/>
        </w:trPr>
        <w:tc>
          <w:tcPr>
            <w:tcW w:w="66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James C. Pappas</w:t>
            </w:r>
          </w:p>
        </w:tc>
      </w:tr>
      <w:tr>
        <w:trPr>
          <w:trHeight w:val="234"/>
        </w:trPr>
        <w:tc>
          <w:tcPr>
            <w:tcW w:w="6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46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James C. Pappas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Transactions in the Securities of the Issuer Since the Filing of Amendment No. 4 to the Schedule 13D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8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Shares of Common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gridSpan w:val="6"/>
          </w:tcPr>
          <w:p>
            <w:pPr>
              <w:jc w:val="center"/>
              <w:ind w:right="1840"/>
              <w:spacing w:after="0"/>
              <w:rPr>
                <w:sz w:val="20"/>
                <w:szCs w:val="20"/>
                <w:color w:val="auto"/>
              </w:rPr>
            </w:pPr>
            <w:r>
              <w:rPr>
                <w:rFonts w:ascii="Times New Roman" w:cs="Times New Roman" w:eastAsia="Times New Roman" w:hAnsi="Times New Roman"/>
                <w:sz w:val="18"/>
                <w:szCs w:val="18"/>
                <w:color w:val="auto"/>
                <w:w w:val="97"/>
              </w:rPr>
              <w:t>Price Per</w:t>
            </w:r>
          </w:p>
        </w:tc>
        <w:tc>
          <w:tcPr>
            <w:tcW w:w="238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3900" w:type="dxa"/>
            <w:vAlign w:val="bottom"/>
            <w:gridSpan w:val="3"/>
          </w:tcPr>
          <w:p>
            <w:pPr>
              <w:jc w:val="center"/>
              <w:ind w:right="140"/>
              <w:spacing w:after="0" w:line="194" w:lineRule="exact"/>
              <w:rPr>
                <w:sz w:val="20"/>
                <w:szCs w:val="20"/>
                <w:color w:val="auto"/>
              </w:rPr>
            </w:pPr>
            <w:r>
              <w:rPr>
                <w:rFonts w:ascii="Times New Roman" w:cs="Times New Roman" w:eastAsia="Times New Roman" w:hAnsi="Times New Roman"/>
                <w:sz w:val="18"/>
                <w:szCs w:val="18"/>
                <w:color w:val="auto"/>
                <w:w w:val="99"/>
              </w:rPr>
              <w:t>Stock Purchased/(Sold)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560" w:type="dxa"/>
            <w:vAlign w:val="bottom"/>
            <w:gridSpan w:val="5"/>
          </w:tcPr>
          <w:p>
            <w:pPr>
              <w:jc w:val="center"/>
              <w:ind w:right="2940"/>
              <w:spacing w:after="0" w:line="194" w:lineRule="exact"/>
              <w:rPr>
                <w:sz w:val="20"/>
                <w:szCs w:val="20"/>
                <w:color w:val="auto"/>
              </w:rPr>
            </w:pPr>
            <w:r>
              <w:rPr>
                <w:rFonts w:ascii="Times New Roman" w:cs="Times New Roman" w:eastAsia="Times New Roman" w:hAnsi="Times New Roman"/>
                <w:sz w:val="18"/>
                <w:szCs w:val="18"/>
                <w:u w:val="single" w:color="auto"/>
                <w:color w:val="auto"/>
                <w:w w:val="99"/>
              </w:rPr>
              <w:t>Share($</w:t>
            </w:r>
            <w:r>
              <w:rPr>
                <w:rFonts w:ascii="Times New Roman" w:cs="Times New Roman" w:eastAsia="Times New Roman" w:hAnsi="Times New Roman"/>
                <w:sz w:val="18"/>
                <w:szCs w:val="18"/>
                <w:color w:val="auto"/>
                <w:w w:val="99"/>
              </w:rPr>
              <w:t>)</w:t>
            </w:r>
          </w:p>
        </w:tc>
        <w:tc>
          <w:tcPr>
            <w:tcW w:w="2380" w:type="dxa"/>
            <w:vAlign w:val="bottom"/>
            <w:gridSpan w:val="2"/>
          </w:tcPr>
          <w:p>
            <w:pPr>
              <w:jc w:val="center"/>
              <w:ind w:right="138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20"/>
        </w:trPr>
        <w:tc>
          <w:tcPr>
            <w:tcW w:w="10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7"/>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8"/>
              </w:rPr>
              <w:t>JCP INVESTMENT PARTNERSHIP, LP</w:t>
            </w: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7"/>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6"/>
        </w:trPr>
        <w:tc>
          <w:tcPr>
            <w:tcW w:w="272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7"/>
              </w:rPr>
              <w:t>(23,661)</w:t>
            </w:r>
          </w:p>
        </w:tc>
        <w:tc>
          <w:tcPr>
            <w:tcW w:w="118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9"/>
              </w:rPr>
              <w:t>11.0036</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11/24/2023</w:t>
            </w:r>
          </w:p>
        </w:tc>
        <w:tc>
          <w:tcPr>
            <w:tcW w:w="138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7"/>
              </w:rPr>
              <w:t>(95,984)</w:t>
            </w:r>
          </w:p>
        </w:tc>
        <w:tc>
          <w:tcPr>
            <w:tcW w:w="1180" w:type="dxa"/>
            <w:vAlign w:val="bottom"/>
          </w:tcPr>
          <w:p>
            <w:pPr>
              <w:spacing w:after="0"/>
              <w:rPr>
                <w:sz w:val="18"/>
                <w:szCs w:val="18"/>
                <w:color w:val="auto"/>
              </w:rPr>
            </w:pPr>
          </w:p>
        </w:tc>
        <w:tc>
          <w:tcPr>
            <w:tcW w:w="2020" w:type="dxa"/>
            <w:vAlign w:val="bottom"/>
            <w:gridSpan w:val="4"/>
          </w:tcPr>
          <w:p>
            <w:pPr>
              <w:jc w:val="center"/>
              <w:ind w:left="1310"/>
              <w:spacing w:after="0"/>
              <w:rPr>
                <w:sz w:val="20"/>
                <w:szCs w:val="20"/>
                <w:color w:val="auto"/>
              </w:rPr>
            </w:pPr>
            <w:r>
              <w:rPr>
                <w:rFonts w:ascii="Times New Roman" w:cs="Times New Roman" w:eastAsia="Times New Roman" w:hAnsi="Times New Roman"/>
                <w:sz w:val="18"/>
                <w:szCs w:val="18"/>
                <w:color w:val="auto"/>
                <w:w w:val="99"/>
              </w:rPr>
              <w:t>11.0007</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11/27/2023</w:t>
            </w:r>
          </w:p>
        </w:tc>
        <w:tc>
          <w:tcPr>
            <w:tcW w:w="138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7"/>
              </w:rPr>
              <w:t>(26,462)</w:t>
            </w:r>
          </w:p>
        </w:tc>
        <w:tc>
          <w:tcPr>
            <w:tcW w:w="118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9"/>
              </w:rPr>
              <w:t>11.0000</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11/28/2023</w:t>
            </w:r>
          </w:p>
        </w:tc>
        <w:tc>
          <w:tcPr>
            <w:tcW w:w="1380" w:type="dxa"/>
            <w:vAlign w:val="bottom"/>
            <w:shd w:val="clear" w:color="auto" w:fill="CCEEFF"/>
          </w:tcPr>
          <w:p>
            <w:pPr>
              <w:spacing w:after="0"/>
              <w:rPr>
                <w:sz w:val="18"/>
                <w:szCs w:val="18"/>
                <w:color w:val="auto"/>
              </w:rPr>
            </w:pPr>
          </w:p>
        </w:tc>
      </w:tr>
      <w:tr>
        <w:trPr>
          <w:trHeight w:val="234"/>
        </w:trPr>
        <w:tc>
          <w:tcPr>
            <w:tcW w:w="272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8"/>
              </w:rPr>
              <w:t>(5,823)</w:t>
            </w:r>
          </w:p>
        </w:tc>
        <w:tc>
          <w:tcPr>
            <w:tcW w:w="1180" w:type="dxa"/>
            <w:vAlign w:val="bottom"/>
          </w:tcPr>
          <w:p>
            <w:pPr>
              <w:spacing w:after="0"/>
              <w:rPr>
                <w:sz w:val="20"/>
                <w:szCs w:val="20"/>
                <w:color w:val="auto"/>
              </w:rPr>
            </w:pPr>
          </w:p>
        </w:tc>
        <w:tc>
          <w:tcPr>
            <w:tcW w:w="2020" w:type="dxa"/>
            <w:vAlign w:val="bottom"/>
            <w:gridSpan w:val="4"/>
          </w:tcPr>
          <w:p>
            <w:pPr>
              <w:jc w:val="center"/>
              <w:ind w:left="1310"/>
              <w:spacing w:after="0"/>
              <w:rPr>
                <w:sz w:val="20"/>
                <w:szCs w:val="20"/>
                <w:color w:val="auto"/>
              </w:rPr>
            </w:pPr>
            <w:r>
              <w:rPr>
                <w:rFonts w:ascii="Times New Roman" w:cs="Times New Roman" w:eastAsia="Times New Roman" w:hAnsi="Times New Roman"/>
                <w:sz w:val="18"/>
                <w:szCs w:val="18"/>
                <w:color w:val="auto"/>
                <w:w w:val="99"/>
              </w:rPr>
              <w:t>11.0002</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11/29/2023</w:t>
            </w:r>
          </w:p>
        </w:tc>
        <w:tc>
          <w:tcPr>
            <w:tcW w:w="1380" w:type="dxa"/>
            <w:vAlign w:val="bottom"/>
          </w:tcPr>
          <w:p>
            <w:pPr>
              <w:spacing w:after="0"/>
              <w:rPr>
                <w:sz w:val="20"/>
                <w:szCs w:val="20"/>
                <w:color w:val="auto"/>
              </w:rPr>
            </w:pPr>
          </w:p>
        </w:tc>
      </w:tr>
      <w:tr>
        <w:trPr>
          <w:trHeight w:val="373"/>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7"/>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8"/>
              </w:rPr>
              <w:t>JCP ASSET PARTNERSHIP VI, LP</w:t>
            </w: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
        </w:trPr>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6"/>
        </w:trPr>
        <w:tc>
          <w:tcPr>
            <w:tcW w:w="272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7"/>
              </w:rPr>
              <w:t>(24,651)</w:t>
            </w:r>
          </w:p>
        </w:tc>
        <w:tc>
          <w:tcPr>
            <w:tcW w:w="118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9"/>
              </w:rPr>
              <w:t>11.0036</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11/24/2023</w:t>
            </w:r>
          </w:p>
        </w:tc>
        <w:tc>
          <w:tcPr>
            <w:tcW w:w="138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rPr>
              <w:t>(100,000)</w:t>
            </w:r>
          </w:p>
        </w:tc>
        <w:tc>
          <w:tcPr>
            <w:tcW w:w="1180" w:type="dxa"/>
            <w:vAlign w:val="bottom"/>
          </w:tcPr>
          <w:p>
            <w:pPr>
              <w:spacing w:after="0"/>
              <w:rPr>
                <w:sz w:val="18"/>
                <w:szCs w:val="18"/>
                <w:color w:val="auto"/>
              </w:rPr>
            </w:pPr>
          </w:p>
        </w:tc>
        <w:tc>
          <w:tcPr>
            <w:tcW w:w="2020" w:type="dxa"/>
            <w:vAlign w:val="bottom"/>
            <w:gridSpan w:val="4"/>
          </w:tcPr>
          <w:p>
            <w:pPr>
              <w:jc w:val="center"/>
              <w:ind w:left="1310"/>
              <w:spacing w:after="0"/>
              <w:rPr>
                <w:sz w:val="20"/>
                <w:szCs w:val="20"/>
                <w:color w:val="auto"/>
              </w:rPr>
            </w:pPr>
            <w:r>
              <w:rPr>
                <w:rFonts w:ascii="Times New Roman" w:cs="Times New Roman" w:eastAsia="Times New Roman" w:hAnsi="Times New Roman"/>
                <w:sz w:val="18"/>
                <w:szCs w:val="18"/>
                <w:color w:val="auto"/>
                <w:w w:val="99"/>
              </w:rPr>
              <w:t>11.0007</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11/27/2023</w:t>
            </w:r>
          </w:p>
        </w:tc>
        <w:tc>
          <w:tcPr>
            <w:tcW w:w="138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7"/>
              </w:rPr>
              <w:t>(27,570)</w:t>
            </w:r>
          </w:p>
        </w:tc>
        <w:tc>
          <w:tcPr>
            <w:tcW w:w="118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9"/>
              </w:rPr>
              <w:t>11.0000</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11/28/2023</w:t>
            </w:r>
          </w:p>
        </w:tc>
        <w:tc>
          <w:tcPr>
            <w:tcW w:w="1380" w:type="dxa"/>
            <w:vAlign w:val="bottom"/>
            <w:shd w:val="clear" w:color="auto" w:fill="CCEEFF"/>
          </w:tcPr>
          <w:p>
            <w:pPr>
              <w:spacing w:after="0"/>
              <w:rPr>
                <w:sz w:val="18"/>
                <w:szCs w:val="18"/>
                <w:color w:val="auto"/>
              </w:rPr>
            </w:pPr>
          </w:p>
        </w:tc>
      </w:tr>
      <w:tr>
        <w:trPr>
          <w:trHeight w:val="234"/>
        </w:trPr>
        <w:tc>
          <w:tcPr>
            <w:tcW w:w="272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8"/>
              </w:rPr>
              <w:t>(6,068)</w:t>
            </w:r>
          </w:p>
        </w:tc>
        <w:tc>
          <w:tcPr>
            <w:tcW w:w="1180" w:type="dxa"/>
            <w:vAlign w:val="bottom"/>
          </w:tcPr>
          <w:p>
            <w:pPr>
              <w:spacing w:after="0"/>
              <w:rPr>
                <w:sz w:val="20"/>
                <w:szCs w:val="20"/>
                <w:color w:val="auto"/>
              </w:rPr>
            </w:pPr>
          </w:p>
        </w:tc>
        <w:tc>
          <w:tcPr>
            <w:tcW w:w="2020" w:type="dxa"/>
            <w:vAlign w:val="bottom"/>
            <w:gridSpan w:val="4"/>
          </w:tcPr>
          <w:p>
            <w:pPr>
              <w:jc w:val="center"/>
              <w:ind w:left="1310"/>
              <w:spacing w:after="0"/>
              <w:rPr>
                <w:sz w:val="20"/>
                <w:szCs w:val="20"/>
                <w:color w:val="auto"/>
              </w:rPr>
            </w:pPr>
            <w:r>
              <w:rPr>
                <w:rFonts w:ascii="Times New Roman" w:cs="Times New Roman" w:eastAsia="Times New Roman" w:hAnsi="Times New Roman"/>
                <w:sz w:val="18"/>
                <w:szCs w:val="18"/>
                <w:color w:val="auto"/>
                <w:w w:val="99"/>
              </w:rPr>
              <w:t>11.0002</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11/29/2023</w:t>
            </w:r>
          </w:p>
        </w:tc>
        <w:tc>
          <w:tcPr>
            <w:tcW w:w="1380" w:type="dxa"/>
            <w:vAlign w:val="bottom"/>
          </w:tcPr>
          <w:p>
            <w:pPr>
              <w:spacing w:after="0"/>
              <w:rPr>
                <w:sz w:val="20"/>
                <w:szCs w:val="20"/>
                <w:color w:val="auto"/>
              </w:rPr>
            </w:pPr>
          </w:p>
        </w:tc>
      </w:tr>
      <w:tr>
        <w:trPr>
          <w:trHeight w:val="616"/>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JCP INVESTMENT MANAGEMENT, LLC</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40" w:type="dxa"/>
            <w:vAlign w:val="bottom"/>
            <w:gridSpan w:val="6"/>
          </w:tcPr>
          <w:p>
            <w:pPr>
              <w:jc w:val="center"/>
              <w:ind w:right="1820"/>
              <w:spacing w:after="0" w:line="196" w:lineRule="exact"/>
              <w:rPr>
                <w:sz w:val="20"/>
                <w:szCs w:val="20"/>
                <w:color w:val="auto"/>
              </w:rPr>
            </w:pPr>
            <w:r>
              <w:rPr>
                <w:rFonts w:ascii="Times New Roman" w:cs="Times New Roman" w:eastAsia="Times New Roman" w:hAnsi="Times New Roman"/>
                <w:sz w:val="18"/>
                <w:szCs w:val="18"/>
                <w:b w:val="1"/>
                <w:bCs w:val="1"/>
                <w:color w:val="auto"/>
              </w:rPr>
              <w:t>(THROUGH THE JCP ACCOUNT)</w:t>
            </w: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6"/>
        </w:trPr>
        <w:tc>
          <w:tcPr>
            <w:tcW w:w="272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(990)</w:t>
            </w:r>
          </w:p>
        </w:tc>
        <w:tc>
          <w:tcPr>
            <w:tcW w:w="118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9"/>
              </w:rPr>
              <w:t>11.0036</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11/24/2023</w:t>
            </w:r>
          </w:p>
        </w:tc>
        <w:tc>
          <w:tcPr>
            <w:tcW w:w="138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8"/>
              </w:rPr>
              <w:t>(4,016)</w:t>
            </w:r>
          </w:p>
        </w:tc>
        <w:tc>
          <w:tcPr>
            <w:tcW w:w="1180" w:type="dxa"/>
            <w:vAlign w:val="bottom"/>
          </w:tcPr>
          <w:p>
            <w:pPr>
              <w:spacing w:after="0"/>
              <w:rPr>
                <w:sz w:val="18"/>
                <w:szCs w:val="18"/>
                <w:color w:val="auto"/>
              </w:rPr>
            </w:pPr>
          </w:p>
        </w:tc>
        <w:tc>
          <w:tcPr>
            <w:tcW w:w="2020" w:type="dxa"/>
            <w:vAlign w:val="bottom"/>
            <w:gridSpan w:val="4"/>
          </w:tcPr>
          <w:p>
            <w:pPr>
              <w:jc w:val="center"/>
              <w:ind w:left="1310"/>
              <w:spacing w:after="0"/>
              <w:rPr>
                <w:sz w:val="20"/>
                <w:szCs w:val="20"/>
                <w:color w:val="auto"/>
              </w:rPr>
            </w:pPr>
            <w:r>
              <w:rPr>
                <w:rFonts w:ascii="Times New Roman" w:cs="Times New Roman" w:eastAsia="Times New Roman" w:hAnsi="Times New Roman"/>
                <w:sz w:val="18"/>
                <w:szCs w:val="18"/>
                <w:color w:val="auto"/>
                <w:w w:val="99"/>
              </w:rPr>
              <w:t>11.0007</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11/27/2023</w:t>
            </w:r>
          </w:p>
        </w:tc>
        <w:tc>
          <w:tcPr>
            <w:tcW w:w="138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8"/>
              </w:rPr>
              <w:t>(1,107)</w:t>
            </w:r>
          </w:p>
        </w:tc>
        <w:tc>
          <w:tcPr>
            <w:tcW w:w="118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99"/>
              </w:rPr>
              <w:t>11.0000</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11/28/2023</w:t>
            </w:r>
          </w:p>
        </w:tc>
        <w:tc>
          <w:tcPr>
            <w:tcW w:w="1380" w:type="dxa"/>
            <w:vAlign w:val="bottom"/>
            <w:shd w:val="clear" w:color="auto" w:fill="CCEEFF"/>
          </w:tcPr>
          <w:p>
            <w:pPr>
              <w:spacing w:after="0"/>
              <w:rPr>
                <w:sz w:val="18"/>
                <w:szCs w:val="18"/>
                <w:color w:val="auto"/>
              </w:rPr>
            </w:pPr>
          </w:p>
        </w:tc>
      </w:tr>
      <w:tr>
        <w:trPr>
          <w:trHeight w:val="234"/>
        </w:trPr>
        <w:tc>
          <w:tcPr>
            <w:tcW w:w="272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rPr>
              <w:t>(244)</w:t>
            </w:r>
          </w:p>
        </w:tc>
        <w:tc>
          <w:tcPr>
            <w:tcW w:w="1180" w:type="dxa"/>
            <w:vAlign w:val="bottom"/>
          </w:tcPr>
          <w:p>
            <w:pPr>
              <w:spacing w:after="0"/>
              <w:rPr>
                <w:sz w:val="20"/>
                <w:szCs w:val="20"/>
                <w:color w:val="auto"/>
              </w:rPr>
            </w:pPr>
          </w:p>
        </w:tc>
        <w:tc>
          <w:tcPr>
            <w:tcW w:w="2020" w:type="dxa"/>
            <w:vAlign w:val="bottom"/>
            <w:gridSpan w:val="4"/>
          </w:tcPr>
          <w:p>
            <w:pPr>
              <w:jc w:val="center"/>
              <w:ind w:left="1310"/>
              <w:spacing w:after="0"/>
              <w:rPr>
                <w:sz w:val="20"/>
                <w:szCs w:val="20"/>
                <w:color w:val="auto"/>
              </w:rPr>
            </w:pPr>
            <w:r>
              <w:rPr>
                <w:rFonts w:ascii="Times New Roman" w:cs="Times New Roman" w:eastAsia="Times New Roman" w:hAnsi="Times New Roman"/>
                <w:sz w:val="18"/>
                <w:szCs w:val="18"/>
                <w:color w:val="auto"/>
                <w:w w:val="99"/>
              </w:rPr>
              <w:t>11.0002</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11/29/2023</w:t>
            </w:r>
          </w:p>
        </w:tc>
        <w:tc>
          <w:tcPr>
            <w:tcW w:w="13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decimal"/>
      <w:start w:val="14"/>
    </w:lvl>
  </w:abstractNum>
  <w:abstractNum w:abstractNumId="3">
    <w:nsid w:val="41B71EFB"/>
    <w:multiLevelType w:val="hybridMultilevel"/>
    <w:lvl w:ilvl="0">
      <w:lvlJc w:val="left"/>
      <w:lvlText w:val="6"/>
      <w:numFmt w:val="bullet"/>
      <w:start w:val="1"/>
    </w:lvl>
  </w:abstractNum>
  <w:abstractNum w:abstractNumId="4">
    <w:nsid w:val="79E2A9E3"/>
    <w:multiLevelType w:val="hybridMultilevel"/>
    <w:lvl w:ilvl="0">
      <w:lvlJc w:val="left"/>
      <w:lvlText w:val="%1"/>
      <w:numFmt w:val="decimal"/>
      <w:start w:val="14"/>
    </w:lvl>
  </w:abstractNum>
  <w:abstractNum w:abstractNumId="5">
    <w:nsid w:val="7545E146"/>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6">
    <w:nsid w:val="515F007C"/>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7">
    <w:nsid w:val="5BD062C2"/>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2023-11-29T16:41:03Z</dcterms:created>
  <dcterms:modified xsi:type="dcterms:W3CDTF">2023-11-29T16:41:03Z</dcterms:modified>
</cp:coreProperties>
</file>