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0"/>
          <w:szCs w:val="20"/>
          <w:color w:val="auto"/>
        </w:rPr>
        <w:t>SECURITIES AND EXCHANGE COMMISSION</w:t>
      </w:r>
    </w:p>
    <w:p>
      <w:pPr>
        <w:spacing w:after="0" w:line="54"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FORM 8-K</w:t>
      </w:r>
    </w:p>
    <w:p>
      <w:pPr>
        <w:spacing w:after="0" w:line="337"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CURRENT REPORT</w:t>
      </w:r>
    </w:p>
    <w:p>
      <w:pPr>
        <w:spacing w:after="0" w:line="54"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Pursuant to Section 13 or 15(d) of the</w:t>
      </w:r>
    </w:p>
    <w:p>
      <w:pPr>
        <w:spacing w:after="0" w:line="54"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Securities Exchange Act of 1934</w:t>
      </w:r>
    </w:p>
    <w:p>
      <w:pPr>
        <w:spacing w:after="0" w:line="337" w:lineRule="exact"/>
        <w:rPr>
          <w:sz w:val="24"/>
          <w:szCs w:val="24"/>
          <w:color w:val="auto"/>
        </w:rPr>
      </w:pPr>
    </w:p>
    <w:p>
      <w:pPr>
        <w:ind w:left="3240"/>
        <w:spacing w:after="0"/>
        <w:rPr>
          <w:sz w:val="20"/>
          <w:szCs w:val="20"/>
          <w:color w:val="auto"/>
        </w:rPr>
      </w:pPr>
      <w:r>
        <w:rPr>
          <w:rFonts w:ascii="Arial" w:cs="Arial" w:eastAsia="Arial" w:hAnsi="Arial"/>
          <w:sz w:val="20"/>
          <w:szCs w:val="20"/>
          <w:color w:val="auto"/>
        </w:rPr>
        <w:t>Date of Report (Date of earliest event reported): July 25, 2018</w:t>
      </w:r>
    </w:p>
    <w:p>
      <w:pPr>
        <w:spacing w:after="0" w:line="337"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WESTWOOD HOLDINGS GROUP, INC.</w:t>
      </w:r>
    </w:p>
    <w:p>
      <w:pPr>
        <w:spacing w:after="0" w:line="54"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left="500"/>
        <w:spacing w:after="0"/>
        <w:tabs>
          <w:tab w:leader="none" w:pos="1440" w:val="left"/>
          <w:tab w:leader="none" w:pos="2480" w:val="left"/>
        </w:tabs>
        <w:rPr>
          <w:sz w:val="20"/>
          <w:szCs w:val="20"/>
          <w:color w:val="auto"/>
        </w:rPr>
      </w:pPr>
      <w:r>
        <w:rPr>
          <w:rFonts w:ascii="Arial" w:cs="Arial" w:eastAsia="Arial" w:hAnsi="Arial"/>
          <w:sz w:val="20"/>
          <w:szCs w:val="20"/>
          <w:color w:val="auto"/>
        </w:rPr>
        <w:t>Delaware</w:t>
        <w:tab/>
        <w:t>001-31234</w:t>
      </w:r>
      <w:r>
        <w:rPr>
          <w:sz w:val="20"/>
          <w:szCs w:val="20"/>
          <w:color w:val="auto"/>
        </w:rPr>
        <w:tab/>
      </w:r>
      <w:r>
        <w:rPr>
          <w:rFonts w:ascii="Arial" w:cs="Arial" w:eastAsia="Arial" w:hAnsi="Arial"/>
          <w:sz w:val="16"/>
          <w:szCs w:val="16"/>
          <w:color w:val="auto"/>
        </w:rPr>
        <w:t>75-2969997</w:t>
      </w:r>
    </w:p>
    <w:p>
      <w:pPr>
        <w:spacing w:after="0" w:line="54" w:lineRule="exact"/>
        <w:rPr>
          <w:sz w:val="24"/>
          <w:szCs w:val="24"/>
          <w:color w:val="auto"/>
        </w:rPr>
      </w:pPr>
    </w:p>
    <w:p>
      <w:pPr>
        <w:spacing w:after="0"/>
        <w:tabs>
          <w:tab w:leader="none" w:pos="2260" w:val="left"/>
          <w:tab w:leader="none" w:pos="3540" w:val="left"/>
        </w:tabs>
        <w:rPr>
          <w:sz w:val="20"/>
          <w:szCs w:val="20"/>
          <w:color w:val="auto"/>
        </w:rPr>
      </w:pPr>
      <w:r>
        <w:rPr>
          <w:rFonts w:ascii="Arial" w:cs="Arial" w:eastAsia="Arial" w:hAnsi="Arial"/>
          <w:sz w:val="20"/>
          <w:szCs w:val="20"/>
          <w:color w:val="auto"/>
        </w:rPr>
        <w:t>(State or other jurisdiction</w:t>
        <w:tab/>
        <w:t>(Commission</w:t>
      </w:r>
      <w:r>
        <w:rPr>
          <w:sz w:val="20"/>
          <w:szCs w:val="20"/>
          <w:color w:val="auto"/>
        </w:rPr>
        <w:tab/>
      </w:r>
      <w:r>
        <w:rPr>
          <w:rFonts w:ascii="Arial" w:cs="Arial" w:eastAsia="Arial" w:hAnsi="Arial"/>
          <w:sz w:val="18"/>
          <w:szCs w:val="18"/>
          <w:color w:val="auto"/>
        </w:rPr>
        <w:t>(IRS Employer</w:t>
      </w:r>
    </w:p>
    <w:p>
      <w:pPr>
        <w:spacing w:after="0" w:line="54" w:lineRule="exact"/>
        <w:rPr>
          <w:sz w:val="24"/>
          <w:szCs w:val="24"/>
          <w:color w:val="auto"/>
        </w:rPr>
      </w:pPr>
    </w:p>
    <w:p>
      <w:pPr>
        <w:ind w:left="340"/>
        <w:spacing w:after="0"/>
        <w:tabs>
          <w:tab w:leader="none" w:pos="1900" w:val="left"/>
          <w:tab w:leader="none" w:pos="3180" w:val="left"/>
        </w:tabs>
        <w:rPr>
          <w:sz w:val="20"/>
          <w:szCs w:val="20"/>
          <w:color w:val="auto"/>
        </w:rPr>
      </w:pPr>
      <w:r>
        <w:rPr>
          <w:rFonts w:ascii="Arial" w:cs="Arial" w:eastAsia="Arial" w:hAnsi="Arial"/>
          <w:sz w:val="20"/>
          <w:szCs w:val="20"/>
          <w:color w:val="auto"/>
        </w:rPr>
        <w:t>of incorporation)</w:t>
        <w:tab/>
        <w:t>File Number)</w:t>
      </w:r>
      <w:r>
        <w:rPr>
          <w:sz w:val="20"/>
          <w:szCs w:val="20"/>
          <w:color w:val="auto"/>
        </w:rPr>
        <w:tab/>
      </w:r>
      <w:r>
        <w:rPr>
          <w:rFonts w:ascii="Arial" w:cs="Arial" w:eastAsia="Arial" w:hAnsi="Arial"/>
          <w:sz w:val="18"/>
          <w:szCs w:val="18"/>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200 Crescent Court, Suite 1200</w:t>
      </w:r>
    </w:p>
    <w:p>
      <w:pPr>
        <w:spacing w:after="0" w:line="54"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Dallas, Texas 75201</w:t>
      </w:r>
    </w:p>
    <w:p>
      <w:pPr>
        <w:spacing w:after="0" w:line="54"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(Address of principal executive offices)</w:t>
      </w:r>
    </w:p>
    <w:p>
      <w:pPr>
        <w:spacing w:after="0" w:line="337"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(214) 756-6900</w:t>
      </w:r>
    </w:p>
    <w:p>
      <w:pPr>
        <w:spacing w:after="0" w:line="54"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firstLine="324"/>
        <w:spacing w:after="0" w:line="331"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 (</w:t>
      </w:r>
      <w:r>
        <w:rPr>
          <w:rFonts w:ascii="Arial" w:cs="Arial" w:eastAsia="Arial" w:hAnsi="Arial"/>
          <w:sz w:val="20"/>
          <w:szCs w:val="20"/>
          <w:i w:val="1"/>
          <w:iCs w:val="1"/>
          <w:color w:val="auto"/>
        </w:rPr>
        <w:t>see</w:t>
      </w:r>
      <w:r>
        <w:rPr>
          <w:rFonts w:ascii="Arial" w:cs="Arial" w:eastAsia="Arial" w:hAnsi="Arial"/>
          <w:sz w:val="20"/>
          <w:szCs w:val="20"/>
          <w:color w:val="auto"/>
        </w:rPr>
        <w:t xml:space="preserve"> General Instruction A.2. below):</w:t>
      </w:r>
    </w:p>
    <w:p>
      <w:pPr>
        <w:spacing w:after="0" w:line="268" w:lineRule="exact"/>
        <w:rPr>
          <w:sz w:val="24"/>
          <w:szCs w:val="24"/>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Written communications pursuant to Rule 425 under the Securities Act (17 CFR 230.425)</w:t>
      </w:r>
    </w:p>
    <w:p>
      <w:pPr>
        <w:spacing w:after="0" w:line="368"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Soliciting material pursuant to Rule 14a-12 under the Exchange Act (17 CFR 240.14a-12)</w:t>
      </w:r>
    </w:p>
    <w:p>
      <w:pPr>
        <w:spacing w:after="0" w:line="368"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Pre-commencement communications pursuant to Rule 14d-2(b) under the Exchange Act (17 CFR 240.14d-2(b))</w:t>
      </w:r>
    </w:p>
    <w:p>
      <w:pPr>
        <w:spacing w:after="0" w:line="368"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Pre-commencement communications pursuant to Rule 13e-4(c) under the Exchange Act (17 CFR 240.13e-4(c))</w:t>
      </w:r>
    </w:p>
    <w:p>
      <w:pPr>
        <w:sectPr>
          <w:pgSz w:w="11900" w:h="16838" w:orient="portrait"/>
          <w:cols w:equalWidth="0" w:num="1">
            <w:col w:w="11100"/>
          </w:cols>
          <w:pgMar w:left="240" w:top="757" w:right="5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0"/>
          <w:szCs w:val="20"/>
          <w:color w:val="auto"/>
        </w:rPr>
        <w:t>ITEM 2.02:</w:t>
      </w:r>
      <w:r>
        <w:rPr>
          <w:sz w:val="20"/>
          <w:szCs w:val="20"/>
          <w:color w:val="auto"/>
        </w:rPr>
        <w:tab/>
      </w:r>
      <w:r>
        <w:rPr>
          <w:rFonts w:ascii="Arial" w:cs="Arial" w:eastAsia="Arial" w:hAnsi="Arial"/>
          <w:sz w:val="19"/>
          <w:szCs w:val="19"/>
          <w:color w:val="auto"/>
        </w:rPr>
        <w:t>RESULTS OF OPERATIONS AND FINANCIAL CONDITION</w:t>
      </w:r>
    </w:p>
    <w:p>
      <w:pPr>
        <w:spacing w:after="0" w:line="337" w:lineRule="exact"/>
        <w:rPr>
          <w:sz w:val="20"/>
          <w:szCs w:val="20"/>
          <w:color w:val="auto"/>
        </w:rPr>
      </w:pPr>
    </w:p>
    <w:p>
      <w:pPr>
        <w:ind w:right="80"/>
        <w:spacing w:after="0" w:line="306" w:lineRule="auto"/>
        <w:rPr>
          <w:sz w:val="20"/>
          <w:szCs w:val="20"/>
          <w:color w:val="auto"/>
        </w:rPr>
      </w:pPr>
      <w:r>
        <w:rPr>
          <w:rFonts w:ascii="Arial" w:cs="Arial" w:eastAsia="Arial" w:hAnsi="Arial"/>
          <w:sz w:val="20"/>
          <w:szCs w:val="20"/>
          <w:color w:val="auto"/>
        </w:rPr>
        <w:t>In accordance with Securities and Exchange Commission Release No. 34-47583, the following information, which is being furnished pursuant to the requirements of Item 2.02, “Results of Operations and Financial Condition,” is being reported under Item 7.01, “Regulation FD Disclosure.”</w:t>
      </w:r>
    </w:p>
    <w:p>
      <w:pPr>
        <w:spacing w:after="0" w:line="255" w:lineRule="exact"/>
        <w:rPr>
          <w:sz w:val="20"/>
          <w:szCs w:val="20"/>
          <w:color w:val="auto"/>
        </w:rPr>
      </w:pPr>
    </w:p>
    <w:p>
      <w:pPr>
        <w:ind w:right="280"/>
        <w:spacing w:after="0" w:line="306" w:lineRule="auto"/>
        <w:rPr>
          <w:sz w:val="20"/>
          <w:szCs w:val="20"/>
          <w:color w:val="auto"/>
        </w:rPr>
      </w:pPr>
      <w:r>
        <w:rPr>
          <w:rFonts w:ascii="Arial" w:cs="Arial" w:eastAsia="Arial" w:hAnsi="Arial"/>
          <w:sz w:val="20"/>
          <w:szCs w:val="20"/>
          <w:color w:val="auto"/>
        </w:rPr>
        <w:t>On July 25, 2018, Westwood Holdings Group, Inc. (“Westwood”) issued a press release entitled “Westwood Holdings Group, Inc. Reports Second Quarter 2018 Results; Westwood SmallCap Value Strategy Selected for Inclusion in New Morningstar U.S. Equity Fund”, a copy of which is furnished with this Current Report on Form 8-K as Exhibit 99.1.</w:t>
      </w:r>
    </w:p>
    <w:p>
      <w:pPr>
        <w:spacing w:after="0" w:line="255"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257"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7.01:</w:t>
      </w:r>
      <w:r>
        <w:rPr>
          <w:sz w:val="20"/>
          <w:szCs w:val="20"/>
          <w:color w:val="auto"/>
        </w:rPr>
        <w:tab/>
      </w:r>
      <w:r>
        <w:rPr>
          <w:rFonts w:ascii="Arial" w:cs="Arial" w:eastAsia="Arial" w:hAnsi="Arial"/>
          <w:sz w:val="18"/>
          <w:szCs w:val="18"/>
          <w:color w:val="auto"/>
        </w:rPr>
        <w:t>REGULATION FD DISCLOSURE</w:t>
      </w:r>
    </w:p>
    <w:p>
      <w:pPr>
        <w:spacing w:after="0" w:line="337" w:lineRule="exact"/>
        <w:rPr>
          <w:sz w:val="20"/>
          <w:szCs w:val="20"/>
          <w:color w:val="auto"/>
        </w:rPr>
      </w:pPr>
    </w:p>
    <w:p>
      <w:pPr>
        <w:ind w:right="380"/>
        <w:spacing w:after="0" w:line="317" w:lineRule="auto"/>
        <w:rPr>
          <w:sz w:val="20"/>
          <w:szCs w:val="20"/>
          <w:color w:val="auto"/>
        </w:rPr>
      </w:pPr>
      <w:r>
        <w:rPr>
          <w:rFonts w:ascii="Arial" w:cs="Arial" w:eastAsia="Arial" w:hAnsi="Arial"/>
          <w:sz w:val="20"/>
          <w:szCs w:val="20"/>
          <w:color w:val="auto"/>
        </w:rPr>
        <w:t>Westwood announced today that its Board of Directors has approved the payment of a quarterly cash dividend of $0.68 per common share, payable on October 1, 2018 to stockholders of record on September 7, 2018.</w:t>
      </w:r>
    </w:p>
    <w:p>
      <w:pPr>
        <w:spacing w:after="0" w:line="243"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9.01:</w:t>
      </w:r>
      <w:r>
        <w:rPr>
          <w:sz w:val="20"/>
          <w:szCs w:val="20"/>
          <w:color w:val="auto"/>
        </w:rPr>
        <w:tab/>
      </w:r>
      <w:r>
        <w:rPr>
          <w:rFonts w:ascii="Arial" w:cs="Arial" w:eastAsia="Arial" w:hAnsi="Arial"/>
          <w:sz w:val="19"/>
          <w:szCs w:val="19"/>
          <w:color w:val="auto"/>
        </w:rPr>
        <w:t>FINANCIAL STATEMENTS AND EXHIBITS</w:t>
      </w:r>
    </w:p>
    <w:p>
      <w:pPr>
        <w:spacing w:after="0" w:line="337" w:lineRule="exact"/>
        <w:rPr>
          <w:sz w:val="20"/>
          <w:szCs w:val="20"/>
          <w:color w:val="auto"/>
        </w:rPr>
      </w:pPr>
    </w:p>
    <w:p>
      <w:pPr>
        <w:ind w:left="440" w:hanging="432"/>
        <w:spacing w:after="0"/>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 The following exhibit is furnished with this report:</w:t>
      </w:r>
    </w:p>
    <w:p>
      <w:pPr>
        <w:sectPr>
          <w:pgSz w:w="11900" w:h="16838" w:orient="portrait"/>
          <w:cols w:equalWidth="0" w:num="1">
            <w:col w:w="11380"/>
          </w:cols>
          <w:pgMar w:left="240" w:top="649" w:right="279" w:bottom="144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Exhibit Number</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0" w:lineRule="exact"/>
        <w:rPr>
          <w:sz w:val="20"/>
          <w:szCs w:val="20"/>
          <w:color w:val="auto"/>
        </w:rPr>
      </w:pPr>
    </w:p>
    <w:p>
      <w:pPr>
        <w:sectPr>
          <w:pgSz w:w="11900" w:h="16838" w:orient="portrait"/>
          <w:cols w:equalWidth="0" w:num="2">
            <w:col w:w="1560" w:space="720"/>
            <w:col w:w="9100"/>
          </w:cols>
          <w:pgMar w:left="240" w:top="649" w:right="279" w:bottom="1440" w:gutter="0" w:footer="0" w:header="0"/>
          <w:type w:val="continuous"/>
        </w:sectPr>
      </w:pPr>
    </w:p>
    <w:p>
      <w:pPr>
        <w:spacing w:after="0" w:line="160" w:lineRule="exact"/>
        <w:rPr>
          <w:sz w:val="20"/>
          <w:szCs w:val="20"/>
          <w:color w:val="auto"/>
        </w:rPr>
      </w:pPr>
    </w:p>
    <w:p>
      <w:pPr>
        <w:ind w:left="1300" w:right="40" w:hanging="1296"/>
        <w:spacing w:after="0" w:line="317" w:lineRule="auto"/>
        <w:tabs>
          <w:tab w:leader="none" w:pos="128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20"/>
          <w:szCs w:val="20"/>
          <w:color w:val="auto"/>
        </w:rPr>
        <w:t>Press Release dated July 25, 2018, entitled “Westwood Holdings Group, Inc. Reports Second Quarter 2018 Results; Westwood SmallCap Value Strategy Selected for Inclusion in New Morningstar U.S. Equity Fund”.</w:t>
      </w:r>
    </w:p>
    <w:p>
      <w:pPr>
        <w:sectPr>
          <w:pgSz w:w="11900" w:h="16838" w:orient="portrait"/>
          <w:cols w:equalWidth="0" w:num="1">
            <w:col w:w="11380"/>
          </w:cols>
          <w:pgMar w:left="240" w:top="649" w:right="2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0"/>
          <w:szCs w:val="20"/>
          <w:color w:val="auto"/>
        </w:rPr>
        <w:t>SIGNATURES</w:t>
      </w:r>
    </w:p>
    <w:p>
      <w:pPr>
        <w:spacing w:after="0" w:line="337" w:lineRule="exact"/>
        <w:rPr>
          <w:sz w:val="20"/>
          <w:szCs w:val="20"/>
          <w:color w:val="auto"/>
        </w:rPr>
      </w:pPr>
    </w:p>
    <w:p>
      <w:pPr>
        <w:ind w:firstLine="648"/>
        <w:spacing w:after="0" w:line="31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Date: July 25, 2018</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WESTWOOD HOLDINGS GROUP,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11868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line="3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Tiffany B. Kice</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Chief Financial Officer and Treasurer</w:t>
      </w:r>
    </w:p>
    <w:p>
      <w:pPr>
        <w:sectPr>
          <w:pgSz w:w="11900" w:h="16838" w:orient="portrait"/>
          <w:cols w:equalWidth="0" w:num="1">
            <w:col w:w="11420"/>
          </w:cols>
          <w:pgMar w:left="240" w:top="64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140" w:type="dxa"/>
            <w:vAlign w:val="bottom"/>
            <w:gridSpan w:val="3"/>
          </w:tcPr>
          <w:p>
            <w:pPr>
              <w:spacing w:after="0"/>
              <w:rPr>
                <w:sz w:val="20"/>
                <w:szCs w:val="20"/>
                <w:color w:val="auto"/>
              </w:rPr>
            </w:pPr>
            <w:r>
              <w:rPr>
                <w:rFonts w:ascii="Arial" w:cs="Arial" w:eastAsia="Arial" w:hAnsi="Arial"/>
                <w:sz w:val="20"/>
                <w:szCs w:val="20"/>
                <w:color w:val="auto"/>
              </w:rPr>
              <w:t>EXHIBIT INDEX</w:t>
            </w:r>
          </w:p>
        </w:tc>
      </w:tr>
      <w:tr>
        <w:trPr>
          <w:trHeight w:val="547"/>
        </w:trPr>
        <w:tc>
          <w:tcPr>
            <w:tcW w:w="1480" w:type="dxa"/>
            <w:vAlign w:val="bottom"/>
          </w:tcPr>
          <w:p>
            <w:pPr>
              <w:spacing w:after="0"/>
              <w:rPr>
                <w:sz w:val="20"/>
                <w:szCs w:val="20"/>
                <w:color w:val="auto"/>
              </w:rPr>
            </w:pPr>
            <w:r>
              <w:rPr>
                <w:rFonts w:ascii="Arial" w:cs="Arial" w:eastAsia="Arial" w:hAnsi="Arial"/>
                <w:sz w:val="20"/>
                <w:szCs w:val="20"/>
                <w:color w:val="auto"/>
              </w:rPr>
              <w:t>Exhibit Number</w:t>
            </w:r>
          </w:p>
        </w:tc>
        <w:tc>
          <w:tcPr>
            <w:tcW w:w="20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Arial" w:cs="Arial" w:eastAsia="Arial" w:hAnsi="Arial"/>
                <w:sz w:val="20"/>
                <w:szCs w:val="20"/>
                <w:color w:val="auto"/>
              </w:rPr>
              <w:t>Description</w:t>
            </w:r>
          </w:p>
        </w:tc>
        <w:tc>
          <w:tcPr>
            <w:tcW w:w="1460" w:type="dxa"/>
            <w:vAlign w:val="bottom"/>
            <w:tcBorders>
              <w:top w:val="single" w:sz="8" w:color="auto"/>
            </w:tcBorders>
          </w:tcPr>
          <w:p>
            <w:pPr>
              <w:spacing w:after="0"/>
              <w:rPr>
                <w:sz w:val="24"/>
                <w:szCs w:val="24"/>
                <w:color w:val="auto"/>
              </w:rPr>
            </w:pPr>
          </w:p>
        </w:tc>
        <w:tc>
          <w:tcPr>
            <w:tcW w:w="4680" w:type="dxa"/>
            <w:vAlign w:val="bottom"/>
            <w:gridSpan w:val="2"/>
          </w:tcPr>
          <w:p>
            <w:pPr>
              <w:spacing w:after="0"/>
              <w:rPr>
                <w:sz w:val="24"/>
                <w:szCs w:val="24"/>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547"/>
        </w:trPr>
        <w:tc>
          <w:tcPr>
            <w:tcW w:w="1480" w:type="dxa"/>
            <w:vAlign w:val="bottom"/>
          </w:tcPr>
          <w:p>
            <w:pPr>
              <w:spacing w:after="0"/>
              <w:rPr>
                <w:sz w:val="20"/>
                <w:szCs w:val="20"/>
                <w:color w:val="auto"/>
              </w:rPr>
            </w:pPr>
            <w:r>
              <w:rPr>
                <w:rFonts w:ascii="Arial" w:cs="Arial" w:eastAsia="Arial" w:hAnsi="Arial"/>
                <w:sz w:val="20"/>
                <w:szCs w:val="20"/>
                <w:color w:val="auto"/>
              </w:rPr>
              <w:t>99.1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60" w:type="dxa"/>
            <w:vAlign w:val="bottom"/>
            <w:tcBorders>
              <w:bottom w:val="single" w:sz="8" w:color="0000EE"/>
            </w:tcBorders>
            <w:gridSpan w:val="5"/>
          </w:tcPr>
          <w:p>
            <w:pPr>
              <w:spacing w:after="0"/>
              <w:rPr>
                <w:rFonts w:ascii="Arial" w:cs="Arial" w:eastAsia="Arial" w:hAnsi="Arial"/>
                <w:sz w:val="20"/>
                <w:szCs w:val="20"/>
                <w:color w:val="0000EE"/>
                <w:w w:val="88"/>
              </w:rPr>
            </w:pPr>
            <w:hyperlink w:anchor="page5">
              <w:r>
                <w:rPr>
                  <w:rFonts w:ascii="Arial" w:cs="Arial" w:eastAsia="Arial" w:hAnsi="Arial"/>
                  <w:sz w:val="20"/>
                  <w:szCs w:val="20"/>
                  <w:color w:val="0000EE"/>
                  <w:w w:val="88"/>
                </w:rPr>
                <w:t>Press Release dated July 25, 2018, entitled “Westwood Holdings Group, Inc. Reports Second Quarter 2018 Results;</w:t>
              </w:r>
            </w:hyperlink>
          </w:p>
        </w:tc>
      </w:tr>
      <w:tr>
        <w:trPr>
          <w:trHeight w:val="264"/>
        </w:trPr>
        <w:tc>
          <w:tcPr>
            <w:tcW w:w="1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80" w:type="dxa"/>
            <w:vAlign w:val="bottom"/>
            <w:tcBorders>
              <w:bottom w:val="single" w:sz="8" w:color="0000EE"/>
            </w:tcBorders>
            <w:gridSpan w:val="4"/>
          </w:tcPr>
          <w:p>
            <w:pPr>
              <w:spacing w:after="0"/>
              <w:rPr>
                <w:rFonts w:ascii="Arial" w:cs="Arial" w:eastAsia="Arial" w:hAnsi="Arial"/>
                <w:sz w:val="20"/>
                <w:szCs w:val="20"/>
                <w:color w:val="0000EE"/>
                <w:w w:val="90"/>
              </w:rPr>
            </w:pPr>
            <w:hyperlink w:anchor="page5">
              <w:r>
                <w:rPr>
                  <w:rFonts w:ascii="Arial" w:cs="Arial" w:eastAsia="Arial" w:hAnsi="Arial"/>
                  <w:sz w:val="20"/>
                  <w:szCs w:val="20"/>
                  <w:color w:val="0000EE"/>
                  <w:w w:val="90"/>
                </w:rPr>
                <w:t>Westwood SmallCap Value Strategy Selected for Inclusion in New Morningstar U.S. Equity Fund”.</w:t>
              </w:r>
            </w:hyperlink>
          </w:p>
        </w:tc>
        <w:tc>
          <w:tcPr>
            <w:tcW w:w="1280" w:type="dxa"/>
            <w:vAlign w:val="bottom"/>
          </w:tcPr>
          <w:p>
            <w:pPr>
              <w:spacing w:after="0"/>
              <w:rPr>
                <w:sz w:val="22"/>
                <w:szCs w:val="22"/>
                <w:color w:val="auto"/>
              </w:rPr>
            </w:pPr>
          </w:p>
        </w:tc>
      </w:tr>
    </w:tbl>
    <w:p>
      <w:pPr>
        <w:sectPr>
          <w:pgSz w:w="11900" w:h="16838" w:orient="portrait"/>
          <w:cols w:equalWidth="0" w:num="1">
            <w:col w:w="11120"/>
          </w:cols>
          <w:pgMar w:left="240" w:top="909" w:right="5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2413000</wp:posOffset>
            </wp:positionH>
            <wp:positionV relativeFrom="page">
              <wp:posOffset>406400</wp:posOffset>
            </wp:positionV>
            <wp:extent cx="2744470" cy="900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744470" cy="90043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Westwood Holdings Group, Inc. Reports Second Quarter 2018 Results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Westwood SmallCap Value Strategy Selected for Inclusion in New Morningstar U.S. Equity Fund</w:t>
      </w: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color w:val="auto"/>
        </w:rPr>
        <w:t>Dallas, TX, July 25, 2018 – Westwood Holdings Group, Inc. (NYSE: WHG) today reported second quarter 2018 earnings.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Highlights from the quarter include:</w:t>
      </w:r>
    </w:p>
    <w:p>
      <w:pPr>
        <w:spacing w:after="0" w:line="148" w:lineRule="exact"/>
        <w:rPr>
          <w:sz w:val="20"/>
          <w:szCs w:val="20"/>
          <w:color w:val="auto"/>
        </w:rPr>
      </w:pPr>
    </w:p>
    <w:p>
      <w:pPr>
        <w:ind w:left="660" w:hanging="328"/>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Revenues of $32.8 million compared with $33.8 million in last year's second quarter and $33.6 million in this year's first quarter.</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SmallCap strategy was selected to participate in the Morningstar U.S. Equity Fund.</w:t>
      </w:r>
    </w:p>
    <w:p>
      <w:pPr>
        <w:spacing w:after="0" w:line="16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LargeCap Value strategy beat its primary benchmark for the sixth quarter in a row and has remained a fixture in the top decile peer ranking since its inception.</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We welcomed Steve Paddon as our new Head of Institutional Sales.</w:t>
      </w:r>
    </w:p>
    <w:p>
      <w:pPr>
        <w:spacing w:after="0" w:line="16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At quarter-end, Westwood had $108.8 million in cash and short-term investments, stockholders’ equity of $161.1 million, and no debt.</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Revenues of $32.8 million decreased $1.0 million from last year's second quarter and $0.8 million from this year's first quarter primarily due to lower average assets under management as a result of net outflows and the sale of the Omaha-based component of our Private Wealth business. These decreases were partially offset by this quarter's $1.6 million in performance-based fees versus $1.0 million earned in last year's second quarter and $1.3 million reported in the first quarter.</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Assets under management at June 30, 2018 totaled $21.6 billion compared to $22.6 billion at both June 30, 2017 and March 31, 2018.</w:t>
      </w:r>
    </w:p>
    <w:p>
      <w:pPr>
        <w:spacing w:after="0" w:line="215"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Second quarter net income of $8.0 million compared with $6.9 million in last year's second quarter. The current quarter benefited from higher performance-based fees, reductions in compensation following the sale of the Omaha-based component of our Private Wealth business, reductions in short- and long-term incentive compensation, higher foreign currency transaction gains and a lower U.S. corporate income tax rate due to tax reform. These benefits were partially offset by lower asset-based fees and higher information technology implementation costs as we continue to invest in our technology infrastructure. Diluted earnings per share of $0.94 in the second quarter of 2018 compared to $0.83 in the second quarter of 2017. Non-GAAP Economic Earnings increased from $11.7 million, or $1.41 per share, in 2017's second quarter, to $12.2 million, or $1.43 per share, in the second quarter of 2018.</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Second quarter net income of $8.0 million was essentially flat with first quarter net income. The current quarter benefited from lower employee compensation and benefits due to seasonal differences, while the first quarter benefited from higher asset-based fees and foreign currency transaction gains. Diluted earnings per share for the second quarter of $0.94 compared to $0.93 for the first quarter. Non-GAAP Economic Earnings of $12.2 million, or $1.43 per share, compared to $12.6 million, or $1.48 per share, in the first quarter.</w:t>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21"/>
          <w:szCs w:val="21"/>
          <w:color w:val="auto"/>
        </w:rPr>
        <w:t>Brian Casey, Westwood’s President &amp; CEO, commented, "Market volatility continued during the second quarter as investors processed concerns over trade tariffs and their effects on U.S. and global growth. Consistent with our focus on high quality companies, we continue to monitor absolute risk in our portfolios in order to protect client capital during periods of volatility. Within our private wealth business, we continue to expand our financial planning and service offerings. We were excited to introduce two private equity offerings which have been well received by our clients and prospects. Lastly, we are proud to announce that we have become a signatory of the United Nations Principles for Responsible Investment (PRI). Our focus on transparency, corporate governance, life principles, ethical conduct and giving back to our communities has long been central to how we at Westwood conduct ourselves both personally and professionally."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Westwood’s Board of Directors declared a quarterly cash dividend of $0.68 per common share, payable on October 1, 2018 to stockholders of record on September 7, 2018.</w:t>
      </w:r>
    </w:p>
    <w:p>
      <w:pPr>
        <w:spacing w:after="0" w:line="21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Economic Earnings and Economic Earnings per Share ("Economic EPS") are non-GAAP performance measures and are explained and reconciled with the most comparable GAAP numbers in the attached tables.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Westwood will host a conference call to discuss second quarter 2018 results and other business matters at 4:30 p.m. Eastern time today. To join the conference call, dial 877-303-6235 (domestic and Canada) or 631-291-4837 (international). The conference call can also be accessed via our Investor Relations page at westwoodgroup.com and will be available for replay through August 1, 2018 by dialing 855-859-2056 (domestic and Canada) or 404-537-3406 (international) and then entering the passcode 6692248.</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Westwood</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Westwood Holdings Group, Inc. provides investment management services to institutional investors, private wealth clients and financial intermediaries. The firm has $21.6 billion in assets under management, of which $3.4 billion are in values-based and socially responsible investment mandates as of June 30, 2018. Westwood offers a range of investment strategies including U.S. equities, Multi-Asset, Global and Emerging Markets equities, Global Convertible securities and Master Limited Partnerships (MLPs) portfolios. Access to these strategies is available through separate accounts, the Westwood Funds® family of mutual funds, UCITS funds and other pooled vehicles. Westwood benefits from significant, broad-based employee ownership and trades on the New York Stock Exchange under the symbol “WHG.” Based in Dallas, Texas, Westwood also maintains offices in Toronto, Boston and Houston.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Westwood, please visit westwoodgroup.com.</w:t>
      </w:r>
    </w:p>
    <w:p>
      <w:pPr>
        <w:sectPr>
          <w:pgSz w:w="11900" w:h="16838" w:orient="portrait"/>
          <w:cols w:equalWidth="0" w:num="1">
            <w:col w:w="11420"/>
          </w:cols>
          <w:pgMar w:left="240" w:top="888"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auto"/>
        </w:rPr>
        <w:t>Forward-looking Statements</w:t>
      </w:r>
    </w:p>
    <w:p>
      <w:pPr>
        <w:spacing w:after="0" w:line="266"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“forecast,”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assets under management; regulations adversely affecting the financial services industry; competition in the investment management industry; our assets under management includes investments in foreign companies; our ability to develop and market new investment strategies successfully; our reputation and relationships with current and potential customers; our ability to attract and retain qualified personnel; our ability to perform operational tasks; our ability to maintain effective cyber security; our ability to identify and execute on our strategic initiatives; our ability to select and oversee third-party vendors; our ability to maintain effective information systems; litigation risks; our ability to properly address conflicts of interest; our ability to maintain adequate insurance coverage; our ability to maintain an effective system of internal controls; our ability to maintain our fee structure in light of competitive fee pressures; our relationships with investment consulting firms; the significant concentration of our revenues in a small number of customers; and the other risks detailed from time to time in Westwood’s Securities and Exchange Commission filings, including, but not limited to, its annual report on Form 10-K for the year ended December 31, 2017 and its quarterly report on Form 10-Q for the quarters ended March 31, 2018 and June 30, 2018.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SOURCE: Westwood Holdings Group, Inc.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(WHG-G)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Tiffany B. Kice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and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(214) 756-6900</w:t>
      </w:r>
    </w:p>
    <w:p>
      <w:pPr>
        <w:sectPr>
          <w:pgSz w:w="11900" w:h="16838" w:orient="portrait"/>
          <w:cols w:equalWidth="0" w:num="1">
            <w:col w:w="11420"/>
          </w:cols>
          <w:pgMar w:left="240" w:top="625"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ind w:right="3460"/>
        <w:spacing w:after="0" w:line="246" w:lineRule="auto"/>
        <w:rPr>
          <w:sz w:val="20"/>
          <w:szCs w:val="20"/>
          <w:color w:val="auto"/>
        </w:rPr>
      </w:pPr>
      <w:r>
        <w:rPr>
          <w:rFonts w:ascii="Arial" w:cs="Arial" w:eastAsia="Arial" w:hAnsi="Arial"/>
          <w:sz w:val="22"/>
          <w:szCs w:val="22"/>
          <w:b w:val="1"/>
          <w:bCs w:val="1"/>
          <w:color w:val="auto"/>
        </w:rPr>
        <w:t>CONDENSED CONSOLIDATED STATEMENTS OF COMPREHENSIVE INCOME (in thousands, except per share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w w:val="94"/>
              </w:rPr>
              <w:t>Three Months Ended</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7"/>
        </w:trPr>
        <w:tc>
          <w:tcPr>
            <w:tcW w:w="66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09"/>
        </w:trPr>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300" w:type="dxa"/>
            <w:vAlign w:val="bottom"/>
          </w:tcPr>
          <w:p>
            <w:pPr>
              <w:spacing w:after="0"/>
              <w:rPr>
                <w:sz w:val="18"/>
                <w:szCs w:val="18"/>
                <w:color w:val="auto"/>
              </w:rPr>
            </w:pPr>
          </w:p>
        </w:tc>
        <w:tc>
          <w:tcPr>
            <w:tcW w:w="1300" w:type="dxa"/>
            <w:vAlign w:val="bottom"/>
          </w:tcPr>
          <w:p>
            <w:pPr>
              <w:jc w:val="right"/>
              <w:ind w:right="431"/>
              <w:spacing w:after="0"/>
              <w:rPr>
                <w:sz w:val="20"/>
                <w:szCs w:val="20"/>
                <w:color w:val="auto"/>
              </w:rPr>
            </w:pPr>
            <w:r>
              <w:rPr>
                <w:rFonts w:ascii="Arial" w:cs="Arial" w:eastAsia="Arial" w:hAnsi="Arial"/>
                <w:sz w:val="16"/>
                <w:szCs w:val="16"/>
                <w:b w:val="1"/>
                <w:bCs w:val="1"/>
                <w:color w:val="auto"/>
              </w:rPr>
              <w:t>June 30,</w:t>
            </w:r>
          </w:p>
        </w:tc>
      </w:tr>
      <w:tr>
        <w:trPr>
          <w:trHeight w:val="210"/>
        </w:trPr>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r>
      <w:tr>
        <w:trPr>
          <w:trHeight w:val="33"/>
        </w:trPr>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Advisory fees: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Asset-based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24,496</w:t>
            </w:r>
          </w:p>
        </w:tc>
      </w:tr>
      <w:tr>
        <w:trPr>
          <w:trHeight w:val="243"/>
        </w:trPr>
        <w:tc>
          <w:tcPr>
            <w:tcW w:w="6640" w:type="dxa"/>
            <w:vAlign w:val="bottom"/>
          </w:tcPr>
          <w:p>
            <w:pPr>
              <w:ind w:left="720"/>
              <w:spacing w:after="0"/>
              <w:rPr>
                <w:sz w:val="20"/>
                <w:szCs w:val="20"/>
                <w:color w:val="auto"/>
              </w:rPr>
            </w:pPr>
            <w:r>
              <w:rPr>
                <w:rFonts w:ascii="Arial" w:cs="Arial" w:eastAsia="Arial" w:hAnsi="Arial"/>
                <w:sz w:val="18"/>
                <w:szCs w:val="18"/>
                <w:color w:val="auto"/>
              </w:rPr>
              <w:t>Performance-based</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1,031</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7,917</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312</w:t>
            </w:r>
          </w:p>
        </w:tc>
      </w:tr>
      <w:tr>
        <w:trPr>
          <w:trHeight w:val="27"/>
        </w:trPr>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33,756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compensation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15,557</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513</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Westwood 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Information technology</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1,883</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2,993</w:t>
            </w:r>
          </w:p>
        </w:tc>
      </w:tr>
      <w:tr>
        <w:trPr>
          <w:trHeight w:val="27"/>
        </w:trPr>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23,173</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Net operating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10,936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10,583</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10,936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10,487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10,583</w:t>
            </w:r>
          </w:p>
        </w:tc>
      </w:tr>
      <w:tr>
        <w:trPr>
          <w:trHeight w:val="27"/>
        </w:trPr>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3,687</w:t>
            </w:r>
          </w:p>
        </w:tc>
      </w:tr>
      <w:tr>
        <w:trPr>
          <w:trHeight w:val="297"/>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7,992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7,978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6,896</w:t>
            </w:r>
          </w:p>
        </w:tc>
      </w:tr>
      <w:tr>
        <w:trPr>
          <w:trHeight w:val="237"/>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934</w:t>
            </w:r>
          </w:p>
        </w:tc>
      </w:tr>
      <w:tr>
        <w:trPr>
          <w:trHeight w:val="27"/>
        </w:trPr>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7,830</w:t>
            </w: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7"/>
        </w:trPr>
        <w:tc>
          <w:tcPr>
            <w:tcW w:w="6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0.84</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0.83</w:t>
            </w:r>
          </w:p>
        </w:tc>
      </w:tr>
      <w:tr>
        <w:trPr>
          <w:trHeight w:val="297"/>
        </w:trPr>
        <w:tc>
          <w:tcPr>
            <w:tcW w:w="6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8,399,148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8,270,793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8,167,277</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8,543,353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8,539,545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8,316,508</w:t>
            </w:r>
          </w:p>
        </w:tc>
      </w:tr>
      <w:tr>
        <w:trPr>
          <w:trHeight w:val="297"/>
        </w:trPr>
        <w:tc>
          <w:tcPr>
            <w:tcW w:w="6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Economic Earnings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Economic EPS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1.41</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6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0.62</w:t>
            </w:r>
          </w:p>
        </w:tc>
      </w:tr>
    </w:tbl>
    <w:p>
      <w:pPr>
        <w:sectPr>
          <w:pgSz w:w="11900" w:h="16838" w:orient="portrait"/>
          <w:cols w:equalWidth="0" w:num="1">
            <w:col w:w="11420"/>
          </w:cols>
          <w:pgMar w:left="240" w:top="625"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ind w:right="3460"/>
        <w:spacing w:after="0" w:line="246" w:lineRule="auto"/>
        <w:rPr>
          <w:sz w:val="20"/>
          <w:szCs w:val="20"/>
          <w:color w:val="auto"/>
        </w:rPr>
      </w:pPr>
      <w:r>
        <w:rPr>
          <w:rFonts w:ascii="Arial" w:cs="Arial" w:eastAsia="Arial" w:hAnsi="Arial"/>
          <w:sz w:val="22"/>
          <w:szCs w:val="22"/>
          <w:b w:val="1"/>
          <w:bCs w:val="1"/>
          <w:color w:val="auto"/>
        </w:rPr>
        <w:t>CONDENSED CONSOLIDATED STATEMENTS OF COMPREHENSIVE INCOME (in thousands, except per share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4"/>
          </w:tcPr>
          <w:p>
            <w:pPr>
              <w:ind w:left="24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ind w:left="24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r>
      <w:tr>
        <w:trPr>
          <w:trHeight w:val="47"/>
        </w:trPr>
        <w:tc>
          <w:tcPr>
            <w:tcW w:w="82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Advisory fees: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Asset-based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48,285</w:t>
            </w: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Performance-based</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1,417</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15,712</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965</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66,379</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compensation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33,274</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990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Westwood mutual funds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1,772</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Information technology</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3,639</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2,814</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5,537</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48,026</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operating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20,899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18,353</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21,423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18,353</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5,393</w:t>
            </w:r>
          </w:p>
        </w:tc>
      </w:tr>
      <w:tr>
        <w:trPr>
          <w:trHeight w:val="297"/>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15,970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12,960</w:t>
            </w:r>
          </w:p>
        </w:tc>
      </w:tr>
      <w:tr>
        <w:trPr>
          <w:trHeight w:val="237"/>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60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1,141</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14,292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14,101</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7"/>
        </w:trPr>
        <w:tc>
          <w:tcPr>
            <w:tcW w:w="8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97"/>
        </w:trPr>
        <w:tc>
          <w:tcPr>
            <w:tcW w:w="8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8,336,923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8,118,327</w:t>
            </w:r>
          </w:p>
        </w:tc>
      </w:tr>
      <w:tr>
        <w:trPr>
          <w:trHeight w:val="243"/>
        </w:trPr>
        <w:tc>
          <w:tcPr>
            <w:tcW w:w="8240" w:type="dxa"/>
            <w:vAlign w:val="bottom"/>
          </w:tcPr>
          <w:p>
            <w:pPr>
              <w:ind w:left="4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8,543,401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8,315,722</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97"/>
        </w:trPr>
        <w:tc>
          <w:tcPr>
            <w:tcW w:w="8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Economic Earnings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22,318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Economic EPS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2.68</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8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1.24</w:t>
            </w:r>
          </w:p>
        </w:tc>
      </w:tr>
    </w:tbl>
    <w:p>
      <w:pPr>
        <w:sectPr>
          <w:pgSz w:w="11900" w:h="16838" w:orient="portrait"/>
          <w:cols w:equalWidth="0" w:num="1">
            <w:col w:w="11420"/>
          </w:cols>
          <w:pgMar w:left="240" w:top="625" w:right="239" w:bottom="1440" w:gutter="0" w:footer="0" w:header="0"/>
        </w:sectPr>
      </w:pPr>
    </w:p>
    <w:bookmarkStart w:id="9" w:name="page10"/>
    <w:bookmarkEnd w:id="9"/>
    <w:p>
      <w:pPr>
        <w:ind w:right="5380"/>
        <w:spacing w:after="0" w:line="262" w:lineRule="auto"/>
        <w:rPr>
          <w:sz w:val="20"/>
          <w:szCs w:val="20"/>
          <w:color w:val="auto"/>
        </w:rPr>
      </w:pPr>
      <w:r>
        <w:rPr>
          <w:rFonts w:ascii="Arial" w:cs="Arial" w:eastAsia="Arial" w:hAnsi="Arial"/>
          <w:sz w:val="21"/>
          <w:szCs w:val="21"/>
          <w:b w:val="1"/>
          <w:bCs w:val="1"/>
          <w:color w:val="auto"/>
        </w:rPr>
        <w:t>WESTWOOD HOLDINGS GROUP, INC. AND SUBSIDIARIES CONDENSED CONSOLIDATED BALANCE SHEETS (in thousands, except par value and share amounts)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7"/>
                <w:szCs w:val="17"/>
                <w:color w:val="auto"/>
              </w:rPr>
            </w:pPr>
          </w:p>
        </w:tc>
        <w:tc>
          <w:tcPr>
            <w:tcW w:w="1460" w:type="dxa"/>
            <w:vAlign w:val="bottom"/>
            <w:vMerge w:val="restart"/>
          </w:tcPr>
          <w:p>
            <w:pPr>
              <w:jc w:val="right"/>
              <w:ind w:right="50"/>
              <w:spacing w:after="0"/>
              <w:rPr>
                <w:sz w:val="20"/>
                <w:szCs w:val="20"/>
                <w:color w:val="auto"/>
              </w:rPr>
            </w:pPr>
            <w:r>
              <w:rPr>
                <w:rFonts w:ascii="Arial" w:cs="Arial" w:eastAsia="Arial" w:hAnsi="Arial"/>
                <w:sz w:val="16"/>
                <w:szCs w:val="16"/>
                <w:b w:val="1"/>
                <w:bCs w:val="1"/>
                <w:color w:val="auto"/>
                <w:w w:val="90"/>
              </w:rPr>
              <w:t>December 31, 2017</w:t>
            </w:r>
          </w:p>
        </w:tc>
        <w:tc>
          <w:tcPr>
            <w:tcW w:w="0" w:type="dxa"/>
            <w:vAlign w:val="bottom"/>
          </w:tcPr>
          <w:p>
            <w:pPr>
              <w:spacing w:after="0"/>
              <w:rPr>
                <w:sz w:val="1"/>
                <w:szCs w:val="1"/>
                <w:color w:val="auto"/>
              </w:rPr>
            </w:pPr>
          </w:p>
        </w:tc>
      </w:tr>
      <w:tr>
        <w:trPr>
          <w:trHeight w:val="102"/>
        </w:trPr>
        <w:tc>
          <w:tcPr>
            <w:tcW w:w="8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vMerge w:val="restart"/>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54,249</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22,903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21,660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at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51,324</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Prepaid income taxes</w:t>
            </w: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133,570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138,114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19,804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27,144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16,798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19,804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 of $6,055 and $5,673</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184,267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192,659</w:t>
            </w:r>
          </w:p>
        </w:tc>
        <w:tc>
          <w:tcPr>
            <w:tcW w:w="0" w:type="dxa"/>
            <w:vAlign w:val="bottom"/>
          </w:tcPr>
          <w:p>
            <w:pPr>
              <w:spacing w:after="0"/>
              <w:rPr>
                <w:sz w:val="1"/>
                <w:szCs w:val="1"/>
                <w:color w:val="auto"/>
              </w:rPr>
            </w:pPr>
          </w:p>
        </w:tc>
      </w:tr>
      <w:tr>
        <w:trPr>
          <w:trHeight w:val="284"/>
        </w:trPr>
        <w:tc>
          <w:tcPr>
            <w:tcW w:w="8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payable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7,357</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Compensation and benefits payable</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19,075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37"/>
        </w:trPr>
        <w:tc>
          <w:tcPr>
            <w:tcW w:w="812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dividends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Noncurrent income taxes payable</w:t>
            </w: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36,263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Common stock, $0.01 par value, authorized 25,000,000 shares, issued 10,204,887 and outstanding</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1"/>
              </w:rPr>
              <w:t>9,026,806 shares at June 30, 2018; issued 9,980,827 and outstanding 8,899,587 shares at December</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31, 2017</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187,367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179,241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Treasury stock, at cost - 1,178,081 shares at June 30, 2018; 1,081,240 shares at December 31, 2017</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(49,788)</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28,607</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161,141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156,396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184,267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192,659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625"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thousands)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gridSpan w:val="4"/>
          </w:tcPr>
          <w:p>
            <w:pPr>
              <w:jc w:val="right"/>
              <w:ind w:right="539"/>
              <w:spacing w:after="0"/>
              <w:rPr>
                <w:sz w:val="20"/>
                <w:szCs w:val="20"/>
                <w:color w:val="auto"/>
              </w:rPr>
            </w:pPr>
            <w:r>
              <w:rPr>
                <w:rFonts w:ascii="Arial" w:cs="Arial" w:eastAsia="Arial" w:hAnsi="Arial"/>
                <w:sz w:val="15"/>
                <w:szCs w:val="15"/>
                <w:b w:val="1"/>
                <w:bCs w:val="1"/>
                <w:color w:val="auto"/>
              </w:rPr>
              <w:t>Six Months Ended June 30,</w:t>
            </w:r>
          </w:p>
        </w:tc>
      </w:tr>
      <w:tr>
        <w:trPr>
          <w:trHeight w:val="35"/>
        </w:trPr>
        <w:tc>
          <w:tcPr>
            <w:tcW w:w="83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9"/>
        </w:trPr>
        <w:tc>
          <w:tcPr>
            <w:tcW w:w="8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499"/>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9"/>
              <w:spacing w:after="0"/>
              <w:rPr>
                <w:sz w:val="20"/>
                <w:szCs w:val="20"/>
                <w:color w:val="auto"/>
              </w:rPr>
            </w:pPr>
            <w:r>
              <w:rPr>
                <w:rFonts w:ascii="Arial" w:cs="Arial" w:eastAsia="Arial" w:hAnsi="Arial"/>
                <w:sz w:val="15"/>
                <w:szCs w:val="15"/>
                <w:b w:val="1"/>
                <w:bCs w:val="1"/>
                <w:color w:val="auto"/>
              </w:rPr>
              <w:t>2017</w:t>
            </w:r>
          </w:p>
        </w:tc>
      </w:tr>
      <w:tr>
        <w:trPr>
          <w:trHeight w:val="35"/>
        </w:trPr>
        <w:tc>
          <w:tcPr>
            <w:tcW w:w="83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64"/>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15,970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12,960</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Depreciation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479</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980</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Unrealized (gains) losses on trading investments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(378)</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8,065</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437</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on sale of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sales (purchases) of investments- trading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11,198</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531</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payable and accrued liabilities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Compensation and benefits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(6,940)</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Income taxes payable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(1,178)</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7"/>
        </w:trPr>
        <w:tc>
          <w:tcPr>
            <w:tcW w:w="8340" w:type="dxa"/>
            <w:vAlign w:val="bottom"/>
          </w:tcPr>
          <w:p>
            <w:pPr>
              <w:ind w:left="9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8,401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26,822</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Omaha divestiture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Purchases of investments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4,587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66"/>
        </w:trPr>
        <w:tc>
          <w:tcPr>
            <w:tcW w:w="8340" w:type="dxa"/>
            <w:vAlign w:val="bottom"/>
          </w:tcPr>
          <w:p>
            <w:pPr>
              <w:ind w:left="40"/>
              <w:spacing w:after="0"/>
              <w:rPr>
                <w:sz w:val="20"/>
                <w:szCs w:val="20"/>
                <w:color w:val="auto"/>
              </w:rPr>
            </w:pPr>
            <w:r>
              <w:rPr>
                <w:rFonts w:ascii="Arial" w:cs="Arial" w:eastAsia="Arial" w:hAnsi="Arial"/>
                <w:sz w:val="15"/>
                <w:szCs w:val="15"/>
                <w:b w:val="1"/>
                <w:bCs w:val="1"/>
                <w:color w:val="auto"/>
              </w:rPr>
              <w:t>CASH FLOWS FROM FINANCING ACTIVITIES: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treasury stock under employee stock plans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(1,326)</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Restricted stock returned for payment of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(5,189)</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(13,075)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(11,674)</w:t>
            </w:r>
          </w:p>
        </w:tc>
      </w:tr>
      <w:tr>
        <w:trPr>
          <w:trHeight w:val="217"/>
        </w:trPr>
        <w:tc>
          <w:tcPr>
            <w:tcW w:w="8340" w:type="dxa"/>
            <w:vAlign w:val="bottom"/>
          </w:tcPr>
          <w:p>
            <w:pPr>
              <w:ind w:left="92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(18,488)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(18,189)</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currency rate changes on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w:t>
            </w:r>
          </w:p>
        </w:tc>
      </w:tr>
      <w:tr>
        <w:trPr>
          <w:trHeight w:val="246"/>
        </w:trPr>
        <w:tc>
          <w:tcPr>
            <w:tcW w:w="8340" w:type="dxa"/>
            <w:vAlign w:val="bottom"/>
          </w:tcPr>
          <w:p>
            <w:pPr>
              <w:ind w:left="40"/>
              <w:spacing w:after="0"/>
              <w:rPr>
                <w:sz w:val="20"/>
                <w:szCs w:val="20"/>
                <w:color w:val="auto"/>
              </w:rPr>
            </w:pPr>
            <w:r>
              <w:rPr>
                <w:rFonts w:ascii="Arial" w:cs="Arial" w:eastAsia="Arial" w:hAnsi="Arial"/>
                <w:sz w:val="15"/>
                <w:szCs w:val="15"/>
                <w:b w:val="1"/>
                <w:bCs w:val="1"/>
                <w:color w:val="auto"/>
              </w:rPr>
              <w:t>NET CHANGE IN CASH AND CASH EQUIVALENTS</w:t>
            </w: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(6,948)</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9,464</w:t>
            </w:r>
          </w:p>
        </w:tc>
      </w:tr>
      <w:tr>
        <w:trPr>
          <w:trHeight w:val="27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54,249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33,679</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47,301</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43,143</w:t>
            </w:r>
          </w:p>
        </w:tc>
      </w:tr>
      <w:tr>
        <w:trPr>
          <w:trHeight w:val="203"/>
        </w:trPr>
        <w:tc>
          <w:tcPr>
            <w:tcW w:w="8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Supplemental cash flow information:</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paid during the period for income taxes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5,539</w:t>
            </w:r>
          </w:p>
        </w:tc>
      </w:tr>
      <w:tr>
        <w:trPr>
          <w:trHeight w:val="237"/>
        </w:trPr>
        <w:tc>
          <w:tcPr>
            <w:tcW w:w="8340" w:type="dxa"/>
            <w:vAlign w:val="bottom"/>
          </w:tcPr>
          <w:p>
            <w:pPr>
              <w:ind w:left="340"/>
              <w:spacing w:after="0"/>
              <w:rPr>
                <w:sz w:val="20"/>
                <w:szCs w:val="20"/>
                <w:color w:val="auto"/>
              </w:rPr>
            </w:pPr>
            <w:r>
              <w:rPr>
                <w:rFonts w:ascii="Arial" w:cs="Arial" w:eastAsia="Arial" w:hAnsi="Arial"/>
                <w:sz w:val="16"/>
                <w:szCs w:val="16"/>
                <w:color w:val="auto"/>
              </w:rPr>
              <w:t>Accrued dividends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8,260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7,760</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purchase of property and equipment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33"/>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625" w:right="239" w:bottom="1440" w:gutter="0" w:footer="0" w:header="0"/>
        </w:sectPr>
      </w:pPr>
    </w:p>
    <w:bookmarkStart w:id="11" w:name="page12"/>
    <w:bookmarkEnd w:id="11"/>
    <w:p>
      <w:pPr>
        <w:ind w:right="5380"/>
        <w:spacing w:after="0" w:line="262" w:lineRule="auto"/>
        <w:rPr>
          <w:sz w:val="20"/>
          <w:szCs w:val="20"/>
          <w:color w:val="auto"/>
        </w:rPr>
      </w:pPr>
      <w:r>
        <w:rPr>
          <w:rFonts w:ascii="Arial" w:cs="Arial" w:eastAsia="Arial" w:hAnsi="Arial"/>
          <w:sz w:val="21"/>
          <w:szCs w:val="21"/>
          <w:b w:val="1"/>
          <w:bCs w:val="1"/>
          <w:color w:val="auto"/>
        </w:rPr>
        <w:t>WESTWOOD HOLDINGS GROUP, INC. AND SUBSIDIARIES Reconciliation of Net Income to Economic Earnings (in thousands, except per share and share amounts)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4"/>
          </w:tcPr>
          <w:p>
            <w:pPr>
              <w:ind w:left="20"/>
              <w:spacing w:after="0"/>
              <w:rPr>
                <w:sz w:val="20"/>
                <w:szCs w:val="20"/>
                <w:color w:val="auto"/>
              </w:rPr>
            </w:pPr>
            <w:r>
              <w:rPr>
                <w:rFonts w:ascii="Arial" w:cs="Arial" w:eastAsia="Arial" w:hAnsi="Arial"/>
                <w:sz w:val="16"/>
                <w:szCs w:val="16"/>
                <w:b w:val="1"/>
                <w:bCs w:val="1"/>
                <w:color w:val="auto"/>
                <w:w w:val="98"/>
              </w:rPr>
              <w:t>Three Months Ended</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7"/>
        </w:trPr>
        <w:tc>
          <w:tcPr>
            <w:tcW w:w="67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09"/>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392"/>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7,992</w:t>
            </w: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6,896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 Stock based compensation expense</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3,776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4,168</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Intangible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 Tax benefit from goodwill amortization</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156</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12,245</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12,642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11,710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8,543,353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8,539,545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8,316,508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Economic EPS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1.43</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1.41</w:t>
            </w:r>
          </w:p>
        </w:tc>
      </w:tr>
      <w:tr>
        <w:trPr>
          <w:trHeight w:val="656"/>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4"/>
          </w:tcPr>
          <w:p>
            <w:pPr>
              <w:jc w:val="right"/>
              <w:ind w:right="49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r>
      <w:tr>
        <w:trPr>
          <w:trHeight w:val="47"/>
        </w:trPr>
        <w:tc>
          <w:tcPr>
            <w:tcW w:w="67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12,960</w:t>
            </w:r>
          </w:p>
        </w:tc>
      </w:tr>
      <w:tr>
        <w:trPr>
          <w:trHeight w:val="243"/>
        </w:trPr>
        <w:tc>
          <w:tcPr>
            <w:tcW w:w="6740" w:type="dxa"/>
            <w:vAlign w:val="bottom"/>
          </w:tcPr>
          <w:p>
            <w:pPr>
              <w:ind w:left="60"/>
              <w:spacing w:after="0"/>
              <w:rPr>
                <w:sz w:val="20"/>
                <w:szCs w:val="20"/>
                <w:color w:val="auto"/>
              </w:rPr>
            </w:pPr>
            <w:r>
              <w:rPr>
                <w:rFonts w:ascii="Arial" w:cs="Arial" w:eastAsia="Arial" w:hAnsi="Arial"/>
                <w:sz w:val="18"/>
                <w:szCs w:val="18"/>
                <w:color w:val="auto"/>
              </w:rPr>
              <w:t>Add: Stock based compensation expense</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7,963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8,065</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Add: Intangible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w:t>
            </w:r>
          </w:p>
        </w:tc>
      </w:tr>
      <w:tr>
        <w:trPr>
          <w:trHeight w:val="243"/>
        </w:trPr>
        <w:tc>
          <w:tcPr>
            <w:tcW w:w="6740" w:type="dxa"/>
            <w:vAlign w:val="bottom"/>
          </w:tcPr>
          <w:p>
            <w:pPr>
              <w:ind w:left="60"/>
              <w:spacing w:after="0"/>
              <w:rPr>
                <w:sz w:val="20"/>
                <w:szCs w:val="20"/>
                <w:color w:val="auto"/>
              </w:rPr>
            </w:pPr>
            <w:r>
              <w:rPr>
                <w:rFonts w:ascii="Arial" w:cs="Arial" w:eastAsia="Arial" w:hAnsi="Arial"/>
                <w:sz w:val="18"/>
                <w:szCs w:val="18"/>
                <w:color w:val="auto"/>
              </w:rPr>
              <w:t>Add: Tax benefit from goodwill amortization</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313</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22,318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8,543,401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8,315,722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Economic EPS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2.68</w:t>
            </w:r>
          </w:p>
        </w:tc>
      </w:tr>
    </w:tbl>
    <w:p>
      <w:pPr>
        <w:spacing w:after="0" w:line="200" w:lineRule="exact"/>
        <w:rPr>
          <w:sz w:val="20"/>
          <w:szCs w:val="20"/>
          <w:color w:val="auto"/>
        </w:rPr>
      </w:pPr>
    </w:p>
    <w:p>
      <w:pPr>
        <w:spacing w:after="0" w:line="33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As supplemental information, we are providing non-GAAP performance measures that we refer to as Economic Earnings and Economic EPS. We provide these measures in addition to, not as a substitute for, net income and earnings per share, which are reported on a GAAP basis. Management reviews Economic Earnings and Economic EPS to evaluate Westwood’s ongoing performance, allocate resources, and review our dividend policy. We believe that these non-GAAP performance measures, while not substitutes for GAAP net income or earnings per share, are useful for management and investors when evaluating Westwood’s underlying operating and financial performance and its available resources. We do not advocate that investors consider these non-GAAP measures without also considering financial information prepared in accordance with GAAP.</w:t>
      </w:r>
    </w:p>
    <w:p>
      <w:pPr>
        <w:spacing w:after="0" w:line="19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define Economic Earnings as net income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sectPr>
      <w:pgSz w:w="11900" w:h="16838" w:orient="portrait"/>
      <w:cols w:equalWidth="0" w:num="1">
        <w:col w:w="11420"/>
      </w:cols>
      <w:pgMar w:left="240" w:top="8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2019-12-28T21:06:34Z</dcterms:created>
  <dcterms:modified xsi:type="dcterms:W3CDTF">2019-12-28T21:06:34Z</dcterms:modified>
</cp:coreProperties>
</file>