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May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WESTWOOD HOLDINGS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jc w:val="center"/>
              <w:ind w:left="442"/>
              <w:spacing w:after="0"/>
              <w:rPr>
                <w:sz w:val="20"/>
                <w:szCs w:val="20"/>
                <w:color w:val="auto"/>
              </w:rPr>
            </w:pPr>
            <w:r>
              <w:rPr>
                <w:rFonts w:ascii="Arial" w:cs="Arial" w:eastAsia="Arial" w:hAnsi="Arial"/>
                <w:sz w:val="18"/>
                <w:szCs w:val="18"/>
                <w:b w:val="1"/>
                <w:bCs w:val="1"/>
                <w:color w:val="auto"/>
                <w:w w:val="91"/>
              </w:rPr>
              <w:t>Delaware</w:t>
            </w:r>
          </w:p>
        </w:tc>
        <w:tc>
          <w:tcPr>
            <w:tcW w:w="5040" w:type="dxa"/>
            <w:vAlign w:val="bottom"/>
          </w:tcPr>
          <w:p>
            <w:pPr>
              <w:ind w:left="2280"/>
              <w:spacing w:after="0"/>
              <w:rPr>
                <w:sz w:val="20"/>
                <w:szCs w:val="20"/>
                <w:color w:val="auto"/>
              </w:rPr>
            </w:pPr>
            <w:r>
              <w:rPr>
                <w:rFonts w:ascii="Arial" w:cs="Arial" w:eastAsia="Arial" w:hAnsi="Arial"/>
                <w:sz w:val="18"/>
                <w:szCs w:val="18"/>
                <w:b w:val="1"/>
                <w:bCs w:val="1"/>
                <w:color w:val="auto"/>
              </w:rPr>
              <w:t>001-31234</w:t>
            </w:r>
          </w:p>
        </w:tc>
        <w:tc>
          <w:tcPr>
            <w:tcW w:w="3000" w:type="dxa"/>
            <w:vAlign w:val="bottom"/>
          </w:tcPr>
          <w:p>
            <w:pPr>
              <w:jc w:val="center"/>
              <w:ind w:right="382"/>
              <w:spacing w:after="0"/>
              <w:rPr>
                <w:sz w:val="20"/>
                <w:szCs w:val="20"/>
                <w:color w:val="auto"/>
              </w:rPr>
            </w:pPr>
            <w:r>
              <w:rPr>
                <w:rFonts w:ascii="Arial" w:cs="Arial" w:eastAsia="Arial" w:hAnsi="Arial"/>
                <w:sz w:val="18"/>
                <w:szCs w:val="18"/>
                <w:b w:val="1"/>
                <w:bCs w:val="1"/>
                <w:color w:val="auto"/>
                <w:w w:val="89"/>
              </w:rPr>
              <w:t>75-2969997</w:t>
            </w:r>
          </w:p>
        </w:tc>
      </w:tr>
      <w:tr>
        <w:trPr>
          <w:trHeight w:val="153"/>
        </w:trPr>
        <w:tc>
          <w:tcPr>
            <w:tcW w:w="3200" w:type="dxa"/>
            <w:vAlign w:val="bottom"/>
          </w:tcPr>
          <w:p>
            <w:pPr>
              <w:jc w:val="center"/>
              <w:ind w:left="442"/>
              <w:spacing w:after="0" w:line="153" w:lineRule="exact"/>
              <w:rPr>
                <w:sz w:val="20"/>
                <w:szCs w:val="20"/>
                <w:color w:val="auto"/>
              </w:rPr>
            </w:pPr>
            <w:r>
              <w:rPr>
                <w:rFonts w:ascii="Arial" w:cs="Arial" w:eastAsia="Arial" w:hAnsi="Arial"/>
                <w:sz w:val="14"/>
                <w:szCs w:val="14"/>
                <w:b w:val="1"/>
                <w:bCs w:val="1"/>
                <w:color w:val="auto"/>
                <w:w w:val="93"/>
              </w:rPr>
              <w:t>(State or other jurisdiction</w:t>
            </w:r>
          </w:p>
        </w:tc>
        <w:tc>
          <w:tcPr>
            <w:tcW w:w="5040" w:type="dxa"/>
            <w:vAlign w:val="bottom"/>
          </w:tcPr>
          <w:p>
            <w:pPr>
              <w:ind w:left="2260"/>
              <w:spacing w:after="0" w:line="153" w:lineRule="exact"/>
              <w:rPr>
                <w:sz w:val="20"/>
                <w:szCs w:val="20"/>
                <w:color w:val="auto"/>
              </w:rPr>
            </w:pPr>
            <w:r>
              <w:rPr>
                <w:rFonts w:ascii="Arial" w:cs="Arial" w:eastAsia="Arial" w:hAnsi="Arial"/>
                <w:sz w:val="14"/>
                <w:szCs w:val="14"/>
                <w:b w:val="1"/>
                <w:bCs w:val="1"/>
                <w:color w:val="auto"/>
              </w:rPr>
              <w:t>(Commission</w:t>
            </w:r>
          </w:p>
        </w:tc>
        <w:tc>
          <w:tcPr>
            <w:tcW w:w="3000" w:type="dxa"/>
            <w:vAlign w:val="bottom"/>
          </w:tcPr>
          <w:p>
            <w:pPr>
              <w:jc w:val="center"/>
              <w:ind w:right="382"/>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200" w:type="dxa"/>
            <w:vAlign w:val="bottom"/>
          </w:tcPr>
          <w:p>
            <w:pPr>
              <w:jc w:val="center"/>
              <w:ind w:left="442"/>
              <w:spacing w:after="0"/>
              <w:rPr>
                <w:sz w:val="20"/>
                <w:szCs w:val="20"/>
                <w:color w:val="auto"/>
              </w:rPr>
            </w:pPr>
            <w:r>
              <w:rPr>
                <w:rFonts w:ascii="Arial" w:cs="Arial" w:eastAsia="Arial" w:hAnsi="Arial"/>
                <w:sz w:val="14"/>
                <w:szCs w:val="14"/>
                <w:b w:val="1"/>
                <w:bCs w:val="1"/>
                <w:color w:val="auto"/>
                <w:w w:val="92"/>
              </w:rPr>
              <w:t>of incorporation)</w:t>
            </w:r>
          </w:p>
        </w:tc>
        <w:tc>
          <w:tcPr>
            <w:tcW w:w="5040" w:type="dxa"/>
            <w:vAlign w:val="bottom"/>
          </w:tcPr>
          <w:p>
            <w:pPr>
              <w:ind w:left="2260"/>
              <w:spacing w:after="0"/>
              <w:rPr>
                <w:sz w:val="20"/>
                <w:szCs w:val="20"/>
                <w:color w:val="auto"/>
              </w:rPr>
            </w:pPr>
            <w:r>
              <w:rPr>
                <w:rFonts w:ascii="Arial" w:cs="Arial" w:eastAsia="Arial" w:hAnsi="Arial"/>
                <w:sz w:val="14"/>
                <w:szCs w:val="14"/>
                <w:b w:val="1"/>
                <w:bCs w:val="1"/>
                <w:color w:val="auto"/>
              </w:rPr>
              <w:t>File Number)</w:t>
            </w:r>
          </w:p>
        </w:tc>
        <w:tc>
          <w:tcPr>
            <w:tcW w:w="30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3200" w:type="dxa"/>
            <w:vAlign w:val="bottom"/>
          </w:tcPr>
          <w:p>
            <w:pPr>
              <w:spacing w:after="0"/>
              <w:rPr>
                <w:sz w:val="24"/>
                <w:szCs w:val="24"/>
                <w:color w:val="auto"/>
              </w:rPr>
            </w:pPr>
          </w:p>
        </w:tc>
        <w:tc>
          <w:tcPr>
            <w:tcW w:w="5040" w:type="dxa"/>
            <w:vAlign w:val="bottom"/>
          </w:tcPr>
          <w:p>
            <w:pPr>
              <w:jc w:val="center"/>
              <w:ind w:right="99"/>
              <w:spacing w:after="0"/>
              <w:rPr>
                <w:sz w:val="20"/>
                <w:szCs w:val="20"/>
                <w:color w:val="auto"/>
              </w:rPr>
            </w:pPr>
            <w:r>
              <w:rPr>
                <w:rFonts w:ascii="Arial" w:cs="Arial" w:eastAsia="Arial" w:hAnsi="Arial"/>
                <w:sz w:val="18"/>
                <w:szCs w:val="18"/>
                <w:b w:val="1"/>
                <w:bCs w:val="1"/>
                <w:color w:val="auto"/>
                <w:w w:val="90"/>
              </w:rPr>
              <w:t>200 Crescent Court, Suite 1200</w:t>
            </w:r>
          </w:p>
        </w:tc>
        <w:tc>
          <w:tcPr>
            <w:tcW w:w="3000" w:type="dxa"/>
            <w:vAlign w:val="bottom"/>
          </w:tcPr>
          <w:p>
            <w:pPr>
              <w:spacing w:after="0"/>
              <w:rPr>
                <w:sz w:val="24"/>
                <w:szCs w:val="24"/>
                <w:color w:val="auto"/>
              </w:rPr>
            </w:pPr>
          </w:p>
        </w:tc>
      </w:tr>
      <w:tr>
        <w:trPr>
          <w:trHeight w:val="212"/>
        </w:trPr>
        <w:tc>
          <w:tcPr>
            <w:tcW w:w="3200" w:type="dxa"/>
            <w:vAlign w:val="bottom"/>
          </w:tcPr>
          <w:p>
            <w:pPr>
              <w:spacing w:after="0"/>
              <w:rPr>
                <w:sz w:val="18"/>
                <w:szCs w:val="18"/>
                <w:color w:val="auto"/>
              </w:rPr>
            </w:pPr>
          </w:p>
        </w:tc>
        <w:tc>
          <w:tcPr>
            <w:tcW w:w="5040" w:type="dxa"/>
            <w:vAlign w:val="bottom"/>
          </w:tcPr>
          <w:p>
            <w:pPr>
              <w:jc w:val="center"/>
              <w:ind w:right="99"/>
              <w:spacing w:after="0"/>
              <w:rPr>
                <w:sz w:val="20"/>
                <w:szCs w:val="20"/>
                <w:color w:val="auto"/>
              </w:rPr>
            </w:pPr>
            <w:r>
              <w:rPr>
                <w:rFonts w:ascii="Arial" w:cs="Arial" w:eastAsia="Arial" w:hAnsi="Arial"/>
                <w:sz w:val="18"/>
                <w:szCs w:val="18"/>
                <w:b w:val="1"/>
                <w:bCs w:val="1"/>
                <w:color w:val="auto"/>
                <w:w w:val="88"/>
              </w:rPr>
              <w:t>Dallas, Texas 75201</w:t>
            </w:r>
          </w:p>
        </w:tc>
        <w:tc>
          <w:tcPr>
            <w:tcW w:w="3000" w:type="dxa"/>
            <w:vAlign w:val="bottom"/>
          </w:tcPr>
          <w:p>
            <w:pPr>
              <w:spacing w:after="0"/>
              <w:rPr>
                <w:sz w:val="18"/>
                <w:szCs w:val="18"/>
                <w:color w:val="auto"/>
              </w:rPr>
            </w:pPr>
          </w:p>
        </w:tc>
      </w:tr>
      <w:tr>
        <w:trPr>
          <w:trHeight w:val="186"/>
        </w:trPr>
        <w:tc>
          <w:tcPr>
            <w:tcW w:w="3200" w:type="dxa"/>
            <w:vAlign w:val="bottom"/>
          </w:tcPr>
          <w:p>
            <w:pPr>
              <w:spacing w:after="0"/>
              <w:rPr>
                <w:sz w:val="16"/>
                <w:szCs w:val="16"/>
                <w:color w:val="auto"/>
              </w:rPr>
            </w:pPr>
          </w:p>
        </w:tc>
        <w:tc>
          <w:tcPr>
            <w:tcW w:w="50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000" w:type="dxa"/>
            <w:vAlign w:val="bottom"/>
          </w:tcPr>
          <w:p>
            <w:pPr>
              <w:spacing w:after="0"/>
              <w:rPr>
                <w:sz w:val="16"/>
                <w:szCs w:val="16"/>
                <w:color w:val="auto"/>
              </w:rPr>
            </w:pPr>
          </w:p>
        </w:tc>
      </w:tr>
      <w:tr>
        <w:trPr>
          <w:trHeight w:val="394"/>
        </w:trPr>
        <w:tc>
          <w:tcPr>
            <w:tcW w:w="3200" w:type="dxa"/>
            <w:vAlign w:val="bottom"/>
          </w:tcPr>
          <w:p>
            <w:pPr>
              <w:spacing w:after="0"/>
              <w:rPr>
                <w:sz w:val="24"/>
                <w:szCs w:val="24"/>
                <w:color w:val="auto"/>
              </w:rPr>
            </w:pPr>
          </w:p>
        </w:tc>
        <w:tc>
          <w:tcPr>
            <w:tcW w:w="5040" w:type="dxa"/>
            <w:vAlign w:val="bottom"/>
          </w:tcPr>
          <w:p>
            <w:pPr>
              <w:jc w:val="center"/>
              <w:ind w:right="119"/>
              <w:spacing w:after="0"/>
              <w:rPr>
                <w:sz w:val="20"/>
                <w:szCs w:val="20"/>
                <w:color w:val="auto"/>
              </w:rPr>
            </w:pPr>
            <w:r>
              <w:rPr>
                <w:rFonts w:ascii="Arial" w:cs="Arial" w:eastAsia="Arial" w:hAnsi="Arial"/>
                <w:sz w:val="18"/>
                <w:szCs w:val="18"/>
                <w:b w:val="1"/>
                <w:bCs w:val="1"/>
                <w:color w:val="auto"/>
                <w:w w:val="90"/>
              </w:rPr>
              <w:t>(214) 756-6900</w:t>
            </w:r>
          </w:p>
        </w:tc>
        <w:tc>
          <w:tcPr>
            <w:tcW w:w="3000" w:type="dxa"/>
            <w:vAlign w:val="bottom"/>
          </w:tcPr>
          <w:p>
            <w:pPr>
              <w:spacing w:after="0"/>
              <w:rPr>
                <w:sz w:val="24"/>
                <w:szCs w:val="24"/>
                <w:color w:val="auto"/>
              </w:rPr>
            </w:pPr>
          </w:p>
        </w:tc>
      </w:tr>
      <w:tr>
        <w:trPr>
          <w:trHeight w:val="186"/>
        </w:trPr>
        <w:tc>
          <w:tcPr>
            <w:tcW w:w="3200" w:type="dxa"/>
            <w:vAlign w:val="bottom"/>
          </w:tcPr>
          <w:p>
            <w:pPr>
              <w:spacing w:after="0"/>
              <w:rPr>
                <w:sz w:val="16"/>
                <w:szCs w:val="16"/>
                <w:color w:val="auto"/>
              </w:rPr>
            </w:pPr>
          </w:p>
        </w:tc>
        <w:tc>
          <w:tcPr>
            <w:tcW w:w="504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000" w:type="dxa"/>
            <w:vAlign w:val="bottom"/>
          </w:tcPr>
          <w:p>
            <w:pPr>
              <w:spacing w:after="0"/>
              <w:rPr>
                <w:sz w:val="16"/>
                <w:szCs w:val="16"/>
                <w:color w:val="auto"/>
              </w:rPr>
            </w:pPr>
          </w:p>
        </w:tc>
      </w:tr>
      <w:tr>
        <w:trPr>
          <w:trHeight w:val="340"/>
        </w:trPr>
        <w:tc>
          <w:tcPr>
            <w:tcW w:w="3200" w:type="dxa"/>
            <w:vAlign w:val="bottom"/>
          </w:tcPr>
          <w:p>
            <w:pPr>
              <w:spacing w:after="0"/>
              <w:rPr>
                <w:sz w:val="24"/>
                <w:szCs w:val="24"/>
                <w:color w:val="auto"/>
              </w:rPr>
            </w:pPr>
          </w:p>
        </w:tc>
        <w:tc>
          <w:tcPr>
            <w:tcW w:w="5040" w:type="dxa"/>
            <w:vAlign w:val="bottom"/>
          </w:tcPr>
          <w:p>
            <w:pPr>
              <w:jc w:val="center"/>
              <w:ind w:right="119"/>
              <w:spacing w:after="0"/>
              <w:rPr>
                <w:sz w:val="20"/>
                <w:szCs w:val="20"/>
                <w:color w:val="auto"/>
              </w:rPr>
            </w:pPr>
            <w:r>
              <w:rPr>
                <w:rFonts w:ascii="Arial" w:cs="Arial" w:eastAsia="Arial" w:hAnsi="Arial"/>
                <w:sz w:val="18"/>
                <w:szCs w:val="18"/>
                <w:b w:val="1"/>
                <w:bCs w:val="1"/>
                <w:color w:val="auto"/>
                <w:w w:val="92"/>
              </w:rPr>
              <w:t>Not Applicable</w:t>
            </w:r>
          </w:p>
        </w:tc>
        <w:tc>
          <w:tcPr>
            <w:tcW w:w="3000" w:type="dxa"/>
            <w:vAlign w:val="bottom"/>
          </w:tcPr>
          <w:p>
            <w:pPr>
              <w:spacing w:after="0"/>
              <w:rPr>
                <w:sz w:val="24"/>
                <w:szCs w:val="24"/>
                <w:color w:val="auto"/>
              </w:rPr>
            </w:pPr>
          </w:p>
        </w:tc>
      </w:tr>
      <w:tr>
        <w:trPr>
          <w:trHeight w:val="185"/>
        </w:trPr>
        <w:tc>
          <w:tcPr>
            <w:tcW w:w="320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000" w:type="dxa"/>
            <w:vAlign w:val="bottom"/>
            <w:tcBorders>
              <w:bottom w:val="single" w:sz="8" w:color="auto"/>
            </w:tcBorders>
          </w:tcPr>
          <w:p>
            <w:pPr>
              <w:spacing w:after="0"/>
              <w:rPr>
                <w:sz w:val="16"/>
                <w:szCs w:val="16"/>
                <w:color w:val="auto"/>
              </w:rPr>
            </w:pPr>
          </w:p>
        </w:tc>
      </w:tr>
    </w:tbl>
    <w:p>
      <w:pPr>
        <w:spacing w:after="0" w:line="16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Title of each class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6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WHG</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52" w:lineRule="exact"/>
        <w:rPr>
          <w:rFonts w:ascii="MS PGothic" w:cs="MS PGothic" w:eastAsia="MS PGothic" w:hAnsi="MS PGothic"/>
          <w:sz w:val="18"/>
          <w:szCs w:val="18"/>
          <w:color w:val="auto"/>
        </w:rPr>
      </w:pPr>
    </w:p>
    <w:p>
      <w:pPr>
        <w:ind w:left="460" w:right="6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3.03 of this Current Report is incorporated into this Item 1.01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 2021,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Westwood Holdings Group,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adopted a stockholder rights agreement and declared a dividend of one right (a “</w:t>
      </w:r>
      <w:r>
        <w:rPr>
          <w:rFonts w:ascii="Arial" w:cs="Arial" w:eastAsia="Arial" w:hAnsi="Arial"/>
          <w:sz w:val="16"/>
          <w:szCs w:val="16"/>
          <w:b w:val="1"/>
          <w:bCs w:val="1"/>
          <w:i w:val="1"/>
          <w:iCs w:val="1"/>
          <w:color w:val="auto"/>
        </w:rPr>
        <w:t>Right</w:t>
      </w:r>
      <w:r>
        <w:rPr>
          <w:rFonts w:ascii="Arial" w:cs="Arial" w:eastAsia="Arial" w:hAnsi="Arial"/>
          <w:sz w:val="16"/>
          <w:szCs w:val="16"/>
          <w:color w:val="auto"/>
        </w:rPr>
        <w:t>”) for each outstanding share of common stock of the Company, par value $0.01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to stockholders of record at the close of business on May 12, 2021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Each Right entitles its holder, subject to the terms of the Rights Agreement (as defined below), to purchase from the Company one one-thousandth of a share of Series A Junior Participating Preferred Stock, par value $0.01 per share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of the Company at an exercise price of $108.00 per Right, subject to adjustment. The description and terms of the Rights are set forth in a stockholder rights agreement, dated as of May 2, 2021 (the “</w:t>
      </w:r>
      <w:r>
        <w:rPr>
          <w:rFonts w:ascii="Arial" w:cs="Arial" w:eastAsia="Arial" w:hAnsi="Arial"/>
          <w:sz w:val="16"/>
          <w:szCs w:val="16"/>
          <w:b w:val="1"/>
          <w:bCs w:val="1"/>
          <w:i w:val="1"/>
          <w:iCs w:val="1"/>
          <w:color w:val="auto"/>
        </w:rPr>
        <w:t>Rights Agreement</w:t>
      </w:r>
      <w:r>
        <w:rPr>
          <w:rFonts w:ascii="Arial" w:cs="Arial" w:eastAsia="Arial" w:hAnsi="Arial"/>
          <w:sz w:val="16"/>
          <w:szCs w:val="16"/>
          <w:color w:val="auto"/>
        </w:rPr>
        <w:t>”), between the Company and American Stock Transfer &amp; Trust Company, LLC, as rights agent (and any successor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adoption of the Rights Agreement is intended to enable all stockholders of the Company to realize the full potential value of their investment in the Company and to protect the interests of the Company and its stockholders by reducing the likelihood that any person or group gains control of the Company through open market accumulation or other tactics without paying an appropriate control premium. The Rights Agreement should not interfere with any merger or other business combination approved by the Board.</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The Rights</w:t>
      </w:r>
      <w:r>
        <w:rPr>
          <w:rFonts w:ascii="Arial" w:cs="Arial" w:eastAsia="Arial" w:hAnsi="Arial"/>
          <w:sz w:val="16"/>
          <w:szCs w:val="16"/>
          <w:color w:val="auto"/>
        </w:rPr>
        <w:t>. Rights will attach to any shares of Common Stock that become outstanding after the Record Date and prior to the earlier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Time (as defined below) and the Expiration Time (as defined below), and in certain other circumstances described in the Rights Agreement.</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Rights are not exercisable until the Distribution Time. Until a Right is exercised, its holder will have no rights as a stockholder of the Company, including the right to vote or to receive dividends.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Separation and Distribution of Rights; Exercisability</w:t>
      </w:r>
      <w:r>
        <w:rPr>
          <w:rFonts w:ascii="Arial" w:cs="Arial" w:eastAsia="Arial" w:hAnsi="Arial"/>
          <w:sz w:val="16"/>
          <w:szCs w:val="16"/>
          <w:color w:val="auto"/>
        </w:rPr>
        <w:t>. Subject to certain exceptions, the Rights become exercisable and trade separately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only upon the “</w:t>
      </w:r>
      <w:r>
        <w:rPr>
          <w:rFonts w:ascii="Arial" w:cs="Arial" w:eastAsia="Arial" w:hAnsi="Arial"/>
          <w:sz w:val="18"/>
          <w:szCs w:val="18"/>
          <w:b w:val="1"/>
          <w:bCs w:val="1"/>
          <w:i w:val="1"/>
          <w:iCs w:val="1"/>
          <w:color w:val="auto"/>
        </w:rPr>
        <w:t>Distribution Time</w:t>
      </w:r>
      <w:r>
        <w:rPr>
          <w:rFonts w:ascii="Arial" w:cs="Arial" w:eastAsia="Arial" w:hAnsi="Arial"/>
          <w:sz w:val="18"/>
          <w:szCs w:val="18"/>
          <w:color w:val="auto"/>
        </w:rPr>
        <w:t>,” which occurs upon the earlier of:</w:t>
      </w:r>
    </w:p>
    <w:p>
      <w:pPr>
        <w:spacing w:after="0" w:line="211" w:lineRule="exact"/>
        <w:rPr>
          <w:sz w:val="20"/>
          <w:szCs w:val="20"/>
          <w:color w:val="auto"/>
        </w:rPr>
      </w:pPr>
    </w:p>
    <w:p>
      <w:pPr>
        <w:jc w:val="both"/>
        <w:ind w:left="1300" w:hanging="644"/>
        <w:spacing w:after="0" w:line="25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close of business on the tenth (10th) day after the “</w:t>
      </w:r>
      <w:r>
        <w:rPr>
          <w:rFonts w:ascii="Arial" w:cs="Arial" w:eastAsia="Arial" w:hAnsi="Arial"/>
          <w:sz w:val="18"/>
          <w:szCs w:val="18"/>
          <w:b w:val="1"/>
          <w:bCs w:val="1"/>
          <w:i w:val="1"/>
          <w:iCs w:val="1"/>
          <w:color w:val="auto"/>
        </w:rPr>
        <w:t>Stock Acquisition Date</w:t>
      </w:r>
      <w:r>
        <w:rPr>
          <w:rFonts w:ascii="Arial" w:cs="Arial" w:eastAsia="Arial" w:hAnsi="Arial"/>
          <w:sz w:val="18"/>
          <w:szCs w:val="18"/>
          <w:color w:val="auto"/>
        </w:rPr>
        <w:t>” (which is defined as (a) the first date of public announcement that any person or group has become an “</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which is defined as a person or group that, together with its affiliates and associates, beneficially owns the Specified Percentage (as defined below) or more of the outstanding shares of Common Stock (with certain exceptions, including those described below) or (b) such other date, as determined by the Board, on which a person or group has become an Acquiring Person) or</w:t>
      </w:r>
    </w:p>
    <w:p>
      <w:pPr>
        <w:spacing w:after="0" w:line="18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 w:name="page3"/>
    <w:bookmarkEnd w:id="2"/>
    <w:p>
      <w:pPr>
        <w:jc w:val="both"/>
        <w:ind w:left="6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Percentage</w:t>
      </w:r>
      <w:r>
        <w:rPr>
          <w:rFonts w:ascii="Arial" w:cs="Arial" w:eastAsia="Arial" w:hAnsi="Arial"/>
          <w:sz w:val="18"/>
          <w:szCs w:val="18"/>
          <w:color w:val="auto"/>
        </w:rPr>
        <w:t>” means (a) twenty percent (20%) when referring to the beneficial ownership of any person that is a passive investor but only for so long as such person is a passive investor and (b) ten percent (10%) when referring to the beneficial ownership of any person that is not a passive investor.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Acquiring Person does not include:</w:t>
      </w:r>
    </w:p>
    <w:p>
      <w:pPr>
        <w:spacing w:after="0" w:line="22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or any subsidiary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officer, director or employee of the Company or any subsidiary of the Company in his or her capacity as such;</w:t>
      </w:r>
    </w:p>
    <w:p>
      <w:pPr>
        <w:spacing w:after="0" w:line="225"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w:t>
      </w:r>
    </w:p>
    <w:p>
      <w:pPr>
        <w:spacing w:after="0" w:line="183"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person or group that, together with its affiliates and associates, as of immediately prior to the first public announcement of the adoption of the Rights Agreement, beneficially owns the Specified Percentage or more of the outstanding shares of Common Stock so long as such person or group continues to beneficially own at least the Specified Percentage of the outstanding shares of Common Stock and does not acquire shares of Common Stock to beneficially own an amount equal to or greater than the greater of the Specified Percentage and the sum of the lowest beneficial ownership of such person or group since the public announcement of the adoption of the Rights Agreement plus one share of Common Stock.</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Rights Agreement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Expiration Time</w:t>
      </w:r>
      <w:r>
        <w:rPr>
          <w:rFonts w:ascii="Arial" w:cs="Arial" w:eastAsia="Arial" w:hAnsi="Arial"/>
          <w:sz w:val="17"/>
          <w:szCs w:val="17"/>
          <w:color w:val="auto"/>
        </w:rPr>
        <w:t>. The Rights will expire on the earliest to occur of (a) the close of business on May 1, 2022 (the “</w:t>
      </w:r>
      <w:r>
        <w:rPr>
          <w:rFonts w:ascii="Arial" w:cs="Arial" w:eastAsia="Arial" w:hAnsi="Arial"/>
          <w:sz w:val="17"/>
          <w:szCs w:val="17"/>
          <w:b w:val="1"/>
          <w:bCs w:val="1"/>
          <w:i w:val="1"/>
          <w:iCs w:val="1"/>
          <w:color w:val="auto"/>
        </w:rPr>
        <w:t>Final Expiration Time</w:t>
      </w:r>
      <w:r>
        <w:rPr>
          <w:rFonts w:ascii="Arial" w:cs="Arial" w:eastAsia="Arial" w:hAnsi="Arial"/>
          <w:sz w:val="17"/>
          <w:szCs w:val="17"/>
          <w:color w:val="auto"/>
        </w:rPr>
        <w:t>”),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time at which the Rights are redeemed or exchanged by the Company (as described below), or (c) upon the closing of any merger or other acquisition transaction involving the Company pursuant to a merger or other acquisition agreement that has been approved by the Board before any person or group becomes an Acquiring Person (the earliest of (a), (b), and (c) being herein referred to as the “</w:t>
      </w:r>
      <w:r>
        <w:rPr>
          <w:rFonts w:ascii="Arial" w:cs="Arial" w:eastAsia="Arial" w:hAnsi="Arial"/>
          <w:sz w:val="17"/>
          <w:szCs w:val="17"/>
          <w:b w:val="1"/>
          <w:bCs w:val="1"/>
          <w:i w:val="1"/>
          <w:iCs w:val="1"/>
          <w:color w:val="auto"/>
        </w:rPr>
        <w:t>Expiration Time</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In the event that any person or group (other than certain exempt persons) becomes an Acquiring Person (a “</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example, at an exercise price of $108.00 per Right, each Right not owned by an Acquiring Person (or by certain related parties) following a Flip-in Event would entitle its holder to purchase $216.00 worth of Common Stock for $108.00. Assuming that Common Stock had a per share value of $18.00 at that time, the holder of each valid Right would be entitled to purchase 12 shares of Common Stock for $9.00.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 w:name="page4"/>
    <w:bookmarkEnd w:id="3"/>
    <w:p>
      <w:pPr>
        <w:ind w:left="660"/>
        <w:spacing w:after="0"/>
        <w:rPr>
          <w:sz w:val="20"/>
          <w:szCs w:val="20"/>
          <w:color w:val="auto"/>
        </w:rPr>
      </w:pPr>
      <w:r>
        <w:rPr>
          <w:rFonts w:ascii="Arial" w:cs="Arial" w:eastAsia="Arial" w:hAnsi="Arial"/>
          <w:sz w:val="17"/>
          <w:szCs w:val="17"/>
          <w:b w:val="1"/>
          <w:bCs w:val="1"/>
          <w:i w:val="1"/>
          <w:iCs w:val="1"/>
          <w:color w:val="auto"/>
        </w:rPr>
        <w:t>Flip-over Event</w:t>
      </w:r>
      <w:r>
        <w:rPr>
          <w:rFonts w:ascii="Arial" w:cs="Arial" w:eastAsia="Arial" w:hAnsi="Arial"/>
          <w:sz w:val="17"/>
          <w:szCs w:val="17"/>
          <w:color w:val="auto"/>
        </w:rPr>
        <w:t>. In the event that, at any time following the Stock Acquisition Date, any of the following occurs (each, a “</w:t>
      </w:r>
      <w:r>
        <w:rPr>
          <w:rFonts w:ascii="Arial" w:cs="Arial" w:eastAsia="Arial" w:hAnsi="Arial"/>
          <w:sz w:val="17"/>
          <w:szCs w:val="17"/>
          <w:b w:val="1"/>
          <w:bCs w:val="1"/>
          <w:i w:val="1"/>
          <w:iCs w:val="1"/>
          <w:color w:val="auto"/>
        </w:rPr>
        <w:t>Flip-over Event</w:t>
      </w:r>
      <w:r>
        <w:rPr>
          <w:rFonts w:ascii="Arial" w:cs="Arial" w:eastAsia="Arial" w:hAnsi="Arial"/>
          <w:sz w:val="17"/>
          <w:szCs w:val="17"/>
          <w:color w:val="auto"/>
        </w:rPr>
        <w:t>”):</w:t>
      </w:r>
    </w:p>
    <w:p>
      <w:pPr>
        <w:spacing w:after="0" w:line="23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consolidates with, or merges with and into, any other entity, and the Company is not the continuing or surviving entity;</w:t>
      </w:r>
    </w:p>
    <w:p>
      <w:pPr>
        <w:spacing w:after="0" w:line="236" w:lineRule="exact"/>
        <w:rPr>
          <w:rFonts w:ascii="Arial" w:cs="Arial" w:eastAsia="Arial" w:hAnsi="Arial"/>
          <w:sz w:val="17"/>
          <w:szCs w:val="17"/>
          <w:color w:val="auto"/>
        </w:rPr>
      </w:pPr>
    </w:p>
    <w:p>
      <w:pPr>
        <w:jc w:val="both"/>
        <w:ind w:left="1300" w:hanging="644"/>
        <w:spacing w:after="0" w:line="311"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1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sells or otherwise transfers, in one transaction or a series of related transactions, fifty percent (50%) or more of the Company’s assets, cash flow or earning power,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Preferred Stock Provisions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share of Preferred Stock, if issued: will not be redeemable, will entitle the holder thereof, when, as and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declared, to quarterly dividend payments equal to the greater of $1,000 per share and 1,000 times the amount of all cash dividends plus 1,000 times the amount of non-cash dividends or other distributions paid on one share of Common Stock, will entitle the holder thereof to receive $1,000 plus accrued and unpaid dividends per share upon liquidation, will have the same voting power as 1,000 shares of Common Stock and, if shares of Common Stock are exchanged via merger, consolidation or a similar transaction, will entitle the holder thereof to a per share payment equal to the payment made on 1,000 shares of Common Stock.</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Anti-dilution Adjustments</w:t>
      </w:r>
      <w:r>
        <w:rPr>
          <w:rFonts w:ascii="Arial" w:cs="Arial" w:eastAsia="Arial" w:hAnsi="Arial"/>
          <w:sz w:val="18"/>
          <w:szCs w:val="18"/>
          <w:color w:val="auto"/>
        </w:rPr>
        <w:t>. The exercise price payable, and the number of shares of Preferred Stock or other securities or property issuable,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the Rights are subject to adjustment from time to time to prevent dilution:</w:t>
      </w:r>
    </w:p>
    <w:p>
      <w:pPr>
        <w:spacing w:after="0" w:line="170"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of a stock dividend on, or a subdivision, combination or reclassification of, the Preferred Stock,</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holders of the Preferred Stock are granted certain rights, options or warrants to subscribe for Preferred Stock or convertible securities at less than the current market price of the Preferred Stock or</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distribution to holders of the Preferred Stock of evidences of indebtedness or assets (excluding regular quarterly cash dividends) or of subscription rights or warrants (other than those referred to above).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certain exceptions, no adjustment in the exercise price will be required until cumulative adjustments amount to at least one percent (1%) of the exercise price. No fractional shares of Preferred Stock will be issued and, in lieu thereof, an adjustment in cash will be made based on the market price of the Preferred Stock on the last trading day prior to the date of exercise.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Redemption; Exchange</w:t>
      </w:r>
      <w:r>
        <w:rPr>
          <w:rFonts w:ascii="Arial" w:cs="Arial" w:eastAsia="Arial" w:hAnsi="Arial"/>
          <w:sz w:val="18"/>
          <w:szCs w:val="18"/>
          <w:color w:val="auto"/>
        </w:rPr>
        <w:t>. At any time prior to the earlier of (a) the tenth (10th) day following the Stock Acquisition Date or (b) the Final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Time, the Company may redeem the Rights in whole, but not in part, at a price of $0.001 per Right (subject to adjustment and payable in cash, Common Stock or other consideration deemed appropriate by the Board). Immediately upon the action of the Board authorizing any redemption or at a later time as the Board may establish for the effectiveness of the redemption, the Rights will terminate and the only right of the holders of Rights will be to receive the redemption price.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 w:name="page5"/>
    <w:bookmarkEnd w:id="4"/>
    <w:p>
      <w:pPr>
        <w:jc w:val="both"/>
        <w:ind w:firstLine="648"/>
        <w:spacing w:after="0" w:line="275" w:lineRule="auto"/>
        <w:rPr>
          <w:sz w:val="20"/>
          <w:szCs w:val="20"/>
          <w:color w:val="auto"/>
        </w:rPr>
      </w:pPr>
      <w:r>
        <w:rPr>
          <w:rFonts w:ascii="Arial" w:cs="Arial" w:eastAsia="Arial" w:hAnsi="Arial"/>
          <w:sz w:val="17"/>
          <w:szCs w:val="17"/>
          <w:color w:val="auto"/>
        </w:rPr>
        <w:t>At any time after any Acquiring Person, together with all of its affiliates and associates, becomes the beneficial owner of fifty percent (50%)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Amendment of the Rights Agreement</w:t>
      </w:r>
      <w:r>
        <w:rPr>
          <w:rFonts w:ascii="Arial" w:cs="Arial" w:eastAsia="Arial" w:hAnsi="Arial"/>
          <w:sz w:val="18"/>
          <w:szCs w:val="18"/>
          <w:color w:val="auto"/>
        </w:rPr>
        <w:t>. The Company and the Rights Agent may from time to time amend or supplement the Rights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 ).</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While the distribution of the Rights will not be taxable to stockholders or to the Company, stockholders may, depending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recognize taxable income in the event that the Rights become exercisable for Common Stock (or other consideration) or for common stock of the acquiring company or in the event of the redemption of the Rights as described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foregoing description of the Rights Agreement and the Rights does not purport to be complete and is qualified in its entirety by reference to the Rights Agreement, which is filed as </w:t>
      </w:r>
      <w:r>
        <w:rPr>
          <w:rFonts w:ascii="Arial" w:cs="Arial" w:eastAsia="Arial" w:hAnsi="Arial"/>
          <w:sz w:val="18"/>
          <w:szCs w:val="18"/>
          <w:u w:val="single" w:color="auto"/>
          <w:color w:val="auto"/>
        </w:rPr>
        <w:t>Exhibit 4.1</w:t>
      </w:r>
      <w:r>
        <w:rPr>
          <w:rFonts w:ascii="Arial" w:cs="Arial" w:eastAsia="Arial" w:hAnsi="Arial"/>
          <w:sz w:val="18"/>
          <w:szCs w:val="18"/>
          <w:color w:val="auto"/>
        </w:rPr>
        <w:t xml:space="preserve"> to this Current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adoption of the Rights Agreement described in Item 3.03 of this Current Report, the Board approved a Certificate of Designation of Series A Junior Participating Preferred Stock, which designates the rights, preferences and privileges of 25,000 shares of a series of the Company’s preferred stock, par value $0.01 per share, designated as Series A Junior Participating Preferred Stock. The information set forth in Item 3.03 of this Current Report is incorporated into this Item 5.03 by reference.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Certificate of Designation will be filed with the Delaware Secretary of State and become effective on May 3, 2021. A copy of the Certificate of Designation has been filed as </w:t>
      </w:r>
      <w:r>
        <w:rPr>
          <w:rFonts w:ascii="Arial" w:cs="Arial" w:eastAsia="Arial" w:hAnsi="Arial"/>
          <w:sz w:val="18"/>
          <w:szCs w:val="18"/>
          <w:u w:val="single" w:color="auto"/>
          <w:color w:val="auto"/>
        </w:rPr>
        <w:t>Exhibit 3.1</w:t>
      </w:r>
      <w:r>
        <w:rPr>
          <w:rFonts w:ascii="Arial" w:cs="Arial" w:eastAsia="Arial" w:hAnsi="Arial"/>
          <w:sz w:val="18"/>
          <w:szCs w:val="18"/>
          <w:color w:val="auto"/>
        </w:rPr>
        <w:t xml:space="preserve"> to this Current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3, 2021, issued a press release announcing the adoption of the Rights Agreement. A copy of that press release is furnished as Exhibit 99.1 to this Current Report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60" w:hanging="52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48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5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3"/>
          </w:tcPr>
          <w:p>
            <w:pPr>
              <w:jc w:val="right"/>
              <w:ind w:right="120"/>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600" w:type="dxa"/>
            <w:vAlign w:val="bottom"/>
          </w:tcPr>
          <w:p>
            <w:pPr>
              <w:spacing w:after="0"/>
              <w:rPr>
                <w:sz w:val="17"/>
                <w:szCs w:val="17"/>
                <w:color w:val="auto"/>
              </w:rPr>
            </w:pPr>
          </w:p>
        </w:tc>
        <w:tc>
          <w:tcPr>
            <w:tcW w:w="9500" w:type="dxa"/>
            <w:vAlign w:val="bottom"/>
            <w:gridSpan w:val="5"/>
          </w:tcPr>
          <w:p>
            <w:pPr>
              <w:spacing w:after="0" w:line="196"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Certificate of Designation of the Series A Junior Participating Preferred Stock of the Company, dated May 3, 2021 (incorporated by</w:t>
              </w:r>
            </w:hyperlink>
          </w:p>
        </w:tc>
      </w:tr>
      <w:tr>
        <w:trPr>
          <w:trHeight w:val="20"/>
        </w:trPr>
        <w:tc>
          <w:tcPr>
            <w:tcW w:w="5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7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reference to Exhibit 3.1 to the Company’s Registration Statement on Form 8-A, filed with the Securities and Exchange Commission</w:t>
              </w:r>
            </w:hyperlink>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5"/>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on May 3, 2021, File No. 001-31234)</w:t>
              </w:r>
            </w:hyperlink>
          </w:p>
        </w:tc>
      </w:tr>
      <w:tr>
        <w:trPr>
          <w:trHeight w:val="20"/>
        </w:trPr>
        <w:tc>
          <w:tcPr>
            <w:tcW w:w="8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gridSpan w:val="3"/>
          </w:tcPr>
          <w:p>
            <w:pPr>
              <w:jc w:val="right"/>
              <w:ind w:right="120"/>
              <w:spacing w:after="0"/>
              <w:rPr>
                <w:rFonts w:ascii="Arial" w:cs="Arial" w:eastAsia="Arial" w:hAnsi="Arial"/>
                <w:sz w:val="18"/>
                <w:szCs w:val="18"/>
                <w:color w:val="0000EE"/>
              </w:rPr>
            </w:pPr>
            <w:hyperlink r:id="rId1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600" w:type="dxa"/>
            <w:vAlign w:val="bottom"/>
          </w:tcPr>
          <w:p>
            <w:pPr>
              <w:spacing w:after="0"/>
              <w:rPr>
                <w:sz w:val="24"/>
                <w:szCs w:val="24"/>
                <w:color w:val="auto"/>
              </w:rPr>
            </w:pPr>
          </w:p>
        </w:tc>
        <w:tc>
          <w:tcPr>
            <w:tcW w:w="9500" w:type="dxa"/>
            <w:vAlign w:val="bottom"/>
            <w:gridSpan w:val="5"/>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Stockholder Rights Agreement, dated May 2, 2021, by and between the Company and American Stock Transfer &amp; Trust Company,</w:t>
              </w:r>
            </w:hyperlink>
          </w:p>
        </w:tc>
      </w:tr>
      <w:tr>
        <w:trPr>
          <w:trHeight w:val="196"/>
        </w:trPr>
        <w:tc>
          <w:tcPr>
            <w:tcW w:w="5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LLC, as rights agent (which includes the Form of Rights Certificate as Exhibit B thereto) (incorporated by reference to Exhibit 4.1</w:t>
              </w:r>
            </w:hyperlink>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13" w:lineRule="exact"/>
        <w:rPr>
          <w:sz w:val="20"/>
          <w:szCs w:val="20"/>
          <w:color w:val="auto"/>
        </w:rPr>
      </w:pPr>
    </w:p>
    <w:p>
      <w:pPr>
        <w:ind w:left="1580" w:right="340"/>
        <w:spacing w:after="0" w:line="277" w:lineRule="auto"/>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to the Company’s Registration Statement on Form 8-A, filed with the Securities and Exchange Commission on May 3, 2021, File</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No. 001-31234)</w:t>
        </w:r>
      </w:hyperlink>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2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Press Release issued by the Company on May 3, 2021</w:t>
              </w:r>
            </w:hyperlink>
          </w:p>
        </w:tc>
      </w:tr>
    </w:tbl>
    <w:p>
      <w:pPr>
        <w:spacing w:after="0" w:line="229" w:lineRule="exact"/>
        <w:rPr>
          <w:sz w:val="20"/>
          <w:szCs w:val="20"/>
          <w:color w:val="auto"/>
        </w:rPr>
      </w:pPr>
    </w:p>
    <w:p>
      <w:pPr>
        <w:ind w:left="5480" w:right="2779" w:hanging="4971"/>
        <w:spacing w:after="0" w:line="809" w:lineRule="auto"/>
        <w:tabs>
          <w:tab w:leader="none" w:pos="1471"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-310515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39"/>
          </w:cols>
          <w:pgMar w:left="420" w:top="702"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WESTWOOD HOLDINGS GROUP INC.</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May 3, 2021</w:t>
      </w:r>
    </w:p>
    <w:p>
      <w:pPr>
        <w:spacing w:after="0" w:line="23" w:lineRule="exact"/>
        <w:rPr>
          <w:sz w:val="20"/>
          <w:szCs w:val="20"/>
          <w:color w:val="auto"/>
        </w:rPr>
      </w:pPr>
    </w:p>
    <w:p>
      <w:pPr>
        <w:ind w:left="6080"/>
        <w:spacing w:after="0"/>
        <w:tabs>
          <w:tab w:leader="none" w:pos="6600" w:val="left"/>
        </w:tabs>
        <w:rPr>
          <w:sz w:val="20"/>
          <w:szCs w:val="20"/>
          <w:color w:val="auto"/>
        </w:rPr>
      </w:pPr>
      <w:r>
        <w:rPr>
          <w:rFonts w:ascii="Arial" w:cs="Arial" w:eastAsia="Arial" w:hAnsi="Arial"/>
          <w:sz w:val="18"/>
          <w:szCs w:val="18"/>
          <w:color w:val="auto"/>
        </w:rPr>
        <w:t>By:</w:t>
        <w:tab/>
        <w:t>/s/ Brian O. Casey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-130175</wp:posOffset>
            </wp:positionV>
            <wp:extent cx="29914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 w:name="page8"/>
    <w:bookmarkEnd w:id="7"/>
    <w:p>
      <w:pPr>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hyperlink w:anchor="page1">
        <w:r>
          <w:rPr>
            <w:rFonts w:ascii="Arial" w:cs="Arial" w:eastAsia="Arial" w:hAnsi="Arial"/>
            <w:sz w:val="22"/>
            <w:szCs w:val="22"/>
            <w:u w:val="single" w:color="auto"/>
            <w:color w:val="0000EE"/>
          </w:rPr>
          <w:t>Westwood Holdings Group, Inc. 8-K</w:t>
        </w:r>
      </w:hyperlink>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Westwood Holdings Group, Inc. Adopts Limited-Duration Shareholder Rights Agreement</w:t>
      </w:r>
    </w:p>
    <w:p>
      <w:pPr>
        <w:spacing w:after="0" w:line="225" w:lineRule="exact"/>
        <w:rPr>
          <w:sz w:val="20"/>
          <w:szCs w:val="20"/>
          <w:color w:val="auto"/>
        </w:rPr>
      </w:pPr>
    </w:p>
    <w:p>
      <w:pPr>
        <w:jc w:val="both"/>
        <w:ind w:right="160"/>
        <w:spacing w:after="0" w:line="314" w:lineRule="auto"/>
        <w:rPr>
          <w:sz w:val="20"/>
          <w:szCs w:val="20"/>
          <w:color w:val="auto"/>
        </w:rPr>
      </w:pPr>
      <w:r>
        <w:rPr>
          <w:rFonts w:ascii="Arial" w:cs="Arial" w:eastAsia="Arial" w:hAnsi="Arial"/>
          <w:sz w:val="16"/>
          <w:szCs w:val="16"/>
          <w:b w:val="1"/>
          <w:bCs w:val="1"/>
          <w:color w:val="auto"/>
        </w:rPr>
        <w:t xml:space="preserve">DALLAS (May 3, 2021) </w:t>
      </w:r>
      <w:r>
        <w:rPr>
          <w:rFonts w:ascii="Arial" w:cs="Arial" w:eastAsia="Arial" w:hAnsi="Arial"/>
          <w:sz w:val="16"/>
          <w:szCs w:val="16"/>
          <w:color w:val="auto"/>
        </w:rPr>
        <w:t>— Westwood Holdings Group, Inc. (NYSE: WHG) announced that on May 2, 2021, its Board of Directors (“Board”) adopted a</w:t>
      </w:r>
      <w:r>
        <w:rPr>
          <w:rFonts w:ascii="Arial" w:cs="Arial" w:eastAsia="Arial" w:hAnsi="Arial"/>
          <w:sz w:val="16"/>
          <w:szCs w:val="16"/>
          <w:b w:val="1"/>
          <w:bCs w:val="1"/>
          <w:color w:val="auto"/>
        </w:rPr>
        <w:t xml:space="preserve"> </w:t>
      </w:r>
      <w:r>
        <w:rPr>
          <w:rFonts w:ascii="Arial" w:cs="Arial" w:eastAsia="Arial" w:hAnsi="Arial"/>
          <w:sz w:val="16"/>
          <w:szCs w:val="16"/>
          <w:color w:val="auto"/>
        </w:rPr>
        <w:t>limited-duration Shareholder Rights Agreement (the “Rights Agreement”) and declared a distribution of one right for each outstanding share of common stock. The Rights Agreement is effective immediately and will expire on May 1, 2022 or earlier, as provided in the Rights Agreement.</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adoption of the Rights Agreement is intended to enable all Westwood shareholders to realize the full potential value of their investment in the company and to protect the interests of the company and its shareholders by reducing the likelihood that any person or group gains control of Westwood through open market accumulation or other tactics without paying an appropriate control premium. In addition, the Rights Agreement provides the Board with time to make informed decisions that are in the best long-term interests of Westwood and its shareholders. It does not deter the Board from considering any offer that is fair and otherwise in the best interest of Westwood shareholders.</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Rights Agreement is similar to other rights plans adopted by publicly held companies. The rights will be exercisable only if, following today’s announcement, a person or group (each, an “acquiring person”) acquires beneficial ownership of 10% (20% for passive institutional investors) or more of Westwood’s outstanding common stock in a transaction not approved by Westwood’s Board. In that case, each holder of a right (other than the acquiring person, whose rights will become void and will not be exercisable) will be entitled to purchase, at the then-current exercise price, additional shares of Westwood common stock at a 50% discount. The Board, at its option, may exchange each right (other than rights owned by the acquiring person that have become void) in whole or in part, at an exchange ratio of one share of Westwood common stock per outstanding right, subject to adjustment. Except as provided in the Rights Agreement, the Board is entitled to redeem the rights at $0.001 per right. The record date for the rights distribution is May 12, 2021.</w:t>
      </w:r>
    </w:p>
    <w:p>
      <w:pPr>
        <w:spacing w:after="0" w:line="16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Any shareholders with beneficial ownership of 10% or more of Westwood’s outstanding common stock (20% for passive institutional investors) prior to this announcement are generally grandfathered at their current ownership levels but are not permitted to increase their ownership without triggering the Rights Agreement.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 information regarding the Rights Agreement will be contained in a current report on Form 8-K to be filed by Westwood with the U.S.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Sidley Austin LLP is acting as legal counsel to Westwood.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Westwood Holdings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Westwood Holdings Group, Inc. is an investment management boutique and wealth management firm based in Dallas, Texas.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Westwood offers high-conviction equity and outcome-oriented solutions to institutional investors, private wealth clients and financial intermediaries. The firm specializes in two distinct investment capabilities: U.S. Value Equity and Multi-Asset, available through separate accounts, the Westwood Funds® family of mutual funds and other pooled vehicles. Westwood benefits from significant, broad-based employee ownership and trades on the New York Stock Exchange under the symbol “WHG.” For more information, please visit westwoodgroup.com.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Westwood Holdings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Terry Forbes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756-6900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Gagnier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 Gagnier / Jeffrey Mathews</w:t>
      </w:r>
    </w:p>
    <w:p>
      <w:pPr>
        <w:spacing w:after="0" w:line="9" w:lineRule="exact"/>
        <w:rPr>
          <w:sz w:val="20"/>
          <w:szCs w:val="20"/>
          <w:color w:val="auto"/>
        </w:rPr>
      </w:pPr>
    </w:p>
    <w:p>
      <w:pPr>
        <w:ind w:right="928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569-5897 Westwood@gagnierfc.com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4"/>
    </w:lvl>
  </w:abstractNum>
  <w:abstractNum w:abstractNumId="7">
    <w:nsid w:val="515F007C"/>
    <w:multiLevelType w:val="hybridMultilevel"/>
    <w:lvl w:ilvl="0">
      <w:lvlJc w:val="left"/>
      <w:lvlText w:val="%1"/>
      <w:numFmt w:val="decimal"/>
      <w:start w:val="104"/>
    </w:lvl>
  </w:abstractNum>
  <w:abstractNum w:abstractNumId="8">
    <w:nsid w:val="5BD062C2"/>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6" Type="http://schemas.openxmlformats.org/officeDocument/2006/relationships/hyperlink" Target="http://www.sec.gov/Archives/edgar/data/1165002/000138713121005196/ex3-1.htm" TargetMode="External"/><Relationship Id="rId17" Type="http://schemas.openxmlformats.org/officeDocument/2006/relationships/hyperlink" Target="http://www.sec.gov/Archives/edgar/data/1165002/000138713121005196/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2021-05-03T06:06:26Z</dcterms:created>
  <dcterms:modified xsi:type="dcterms:W3CDTF">2021-05-03T06:06:26Z</dcterms:modified>
</cp:coreProperties>
</file>