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WESTWOOD HOLDINGS GROUP,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961765104</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688,890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8"/>
          <w:szCs w:val="18"/>
          <w:color w:val="auto"/>
        </w:rPr>
        <w:t>707,812</w:t>
      </w:r>
    </w:p>
    <w:p>
      <w:pPr>
        <w:spacing w:after="0" w:line="4"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2,310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710,122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8.00 %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688,890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707,812</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jc w:val="center"/>
        <w:ind w:left="1760"/>
        <w:spacing w:after="0"/>
        <w:tabs>
          <w:tab w:leader="none" w:pos="20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2,310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710,122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8.00 %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WESTWOOD HOLDINGS GROUP, INC.</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200 CRESCENT COURT, SUITE 1200, DALLAS, Texas 75201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2"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$0.01 per share</w:t>
      </w:r>
    </w:p>
    <w:p>
      <w:pPr>
        <w:spacing w:after="0" w:line="206"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961765104</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710,122</w:t>
            </w:r>
          </w:p>
        </w:tc>
        <w:tc>
          <w:tcPr>
            <w:tcW w:w="278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710,122</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8.00 %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8.00 %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688,890</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688,890</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707,812</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707,812</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2,310</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2,310</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jc w:val="center"/>
        <w:ind w:right="1579"/>
        <w:spacing w:after="0"/>
        <w:rPr>
          <w:sz w:val="20"/>
          <w:szCs w:val="20"/>
          <w:color w:val="auto"/>
        </w:rPr>
      </w:pPr>
      <w:r>
        <w:rPr>
          <w:rFonts w:ascii="Courier New" w:cs="Courier New" w:eastAsia="Courier New" w:hAnsi="Courier New"/>
          <w:sz w:val="18"/>
          <w:szCs w:val="18"/>
          <w:color w:val="auto"/>
        </w:rPr>
        <w:t>By: /s/ James S. Rowen</w:t>
      </w:r>
    </w:p>
    <w:p>
      <w:pPr>
        <w:jc w:val="center"/>
        <w:ind w:right="157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$0.01 per share of WESTWOOD HOLDINGS GROUP, INC.</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By: /s/ James S. Rowen</w:t>
      </w:r>
    </w:p>
    <w:p>
      <w:pPr>
        <w:jc w:val="center"/>
        <w:ind w:right="-9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2020-02-13T14:12:53Z</dcterms:created>
  <dcterms:modified xsi:type="dcterms:W3CDTF">2020-02-13T14:12:53Z</dcterms:modified>
</cp:coreProperties>
</file>