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4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341" w:lineRule="exact"/>
        <w:rPr>
          <w:sz w:val="24"/>
          <w:szCs w:val="24"/>
          <w:color w:val="auto"/>
        </w:rPr>
      </w:pPr>
    </w:p>
    <w:p>
      <w:pPr>
        <w:ind w:left="40"/>
        <w:spacing w:after="0" w:line="161" w:lineRule="exact"/>
        <w:tabs>
          <w:tab w:leader="none" w:pos="250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4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53"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261"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258"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Additional Materials</w:t>
      </w:r>
    </w:p>
    <w:p>
      <w:pPr>
        <w:spacing w:after="0" w:line="271"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5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42" w:lineRule="exact"/>
        <w:rPr>
          <w:sz w:val="24"/>
          <w:szCs w:val="24"/>
          <w:color w:val="auto"/>
        </w:rPr>
      </w:pPr>
    </w:p>
    <w:p>
      <w:pPr>
        <w:ind w:left="480" w:hanging="454"/>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200" w:lineRule="exact"/>
        <w:rPr>
          <w:sz w:val="24"/>
          <w:szCs w:val="24"/>
          <w:color w:val="auto"/>
        </w:rPr>
      </w:pPr>
    </w:p>
    <w:p>
      <w:pPr>
        <w:spacing w:after="0" w:line="206"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365"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4" w:lineRule="exact"/>
        <w:rPr>
          <w:rFonts w:ascii="Arial" w:cs="Arial" w:eastAsia="Arial" w:hAnsi="Arial"/>
          <w:sz w:val="14"/>
          <w:szCs w:val="14"/>
          <w:color w:val="auto"/>
        </w:rPr>
      </w:pPr>
    </w:p>
    <w:p>
      <w:pPr>
        <w:ind w:left="940" w:hanging="469"/>
        <w:spacing w:after="0"/>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40" w:hanging="469"/>
        <w:spacing w:after="0" w:line="236" w:lineRule="auto"/>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4" w:lineRule="exact"/>
        <w:rPr>
          <w:rFonts w:ascii="Arial" w:cs="Arial" w:eastAsia="Arial" w:hAnsi="Arial"/>
          <w:sz w:val="14"/>
          <w:szCs w:val="14"/>
          <w:color w:val="auto"/>
        </w:rPr>
      </w:pPr>
    </w:p>
    <w:p>
      <w:pPr>
        <w:ind w:left="940" w:hanging="469"/>
        <w:spacing w:after="0"/>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60" w:hanging="489"/>
        <w:spacing w:after="0"/>
        <w:tabs>
          <w:tab w:leader="none" w:pos="960" w:val="left"/>
        </w:tabs>
        <w:numPr>
          <w:ilvl w:val="1"/>
          <w:numId w:val="6"/>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-2395855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-1744345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044" w:right="559" w:bottom="1440" w:gutter="0" w:footer="0" w:header="0"/>
        </w:sectPr>
      </w:pPr>
    </w:p>
    <w:bookmarkStart w:id="1" w:name="page2"/>
    <w:bookmarkEnd w:id="1"/>
    <w:p>
      <w:pPr>
        <w:ind w:left="454" w:hanging="454"/>
        <w:spacing w:after="0"/>
        <w:tabs>
          <w:tab w:leader="none" w:pos="45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Fee paid previously with preliminary materials.</w:t>
      </w:r>
    </w:p>
    <w:p>
      <w:pPr>
        <w:spacing w:after="0" w:line="352" w:lineRule="exact"/>
        <w:rPr>
          <w:rFonts w:ascii="MS PGothic" w:cs="MS PGothic" w:eastAsia="MS PGothic" w:hAnsi="MS PGothic"/>
          <w:sz w:val="14"/>
          <w:szCs w:val="14"/>
          <w:color w:val="auto"/>
        </w:rPr>
      </w:pPr>
    </w:p>
    <w:p>
      <w:pPr>
        <w:ind w:left="454" w:hanging="454"/>
        <w:spacing w:after="0" w:line="236" w:lineRule="auto"/>
        <w:tabs>
          <w:tab w:leader="none" w:pos="45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1" w:lineRule="exact"/>
        <w:rPr>
          <w:rFonts w:ascii="MS PGothic" w:cs="MS PGothic" w:eastAsia="MS PGothic" w:hAnsi="MS PGothic"/>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8" w:lineRule="exact"/>
        <w:rPr>
          <w:rFonts w:ascii="Arial" w:cs="Arial" w:eastAsia="Arial" w:hAnsi="Arial"/>
          <w:sz w:val="14"/>
          <w:szCs w:val="14"/>
          <w:color w:val="auto"/>
        </w:rPr>
      </w:pPr>
    </w:p>
    <w:p>
      <w:pPr>
        <w:ind w:left="914" w:hanging="469"/>
        <w:spacing w:after="0"/>
        <w:tabs>
          <w:tab w:leader="none" w:pos="914" w:val="left"/>
        </w:tabs>
        <w:numPr>
          <w:ilvl w:val="1"/>
          <w:numId w:val="7"/>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-1641475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-989965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-355600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278130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4"/>
          </w:cols>
          <w:pgMar w:left="346" w:top="1417" w:right="439" w:bottom="1440" w:gutter="0" w:footer="0" w:header="0"/>
        </w:sectPr>
      </w:pPr>
    </w:p>
    <w:bookmarkStart w:id="2" w:name="page3"/>
    <w:bookmarkEnd w:id="2"/>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02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Supplement to Definitive Proxy Statement Relating to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 xml:space="preserve">This proxy statement supplement, dated March 12, 2021, supplements the definitive proxy statement (the “Proxy Statement”) of Westwood Holdings Group, Inc. (the “Company”) filed with the Securities and Exchange Commission (the “SEC”) on March 5, 2021 relating to the Annual Meeting of Stockholders which will be held online on Wednesday, April 28, 2021, at 10:00 a.m., Central Time, at </w:t>
      </w:r>
      <w:r>
        <w:rPr>
          <w:rFonts w:ascii="Arial" w:cs="Arial" w:eastAsia="Arial" w:hAnsi="Arial"/>
          <w:sz w:val="16"/>
          <w:szCs w:val="16"/>
          <w:i w:val="1"/>
          <w:iCs w:val="1"/>
          <w:color w:val="auto"/>
        </w:rPr>
        <w:t>www.virtualshareholdermeeting.com/WHG2021</w:t>
      </w:r>
      <w:r>
        <w:rPr>
          <w:rFonts w:ascii="Arial" w:cs="Arial" w:eastAsia="Arial" w:hAnsi="Arial"/>
          <w:sz w:val="16"/>
          <w:szCs w:val="16"/>
          <w:color w:val="auto"/>
        </w:rPr>
        <w:t>.</w:t>
      </w:r>
    </w:p>
    <w:p>
      <w:pPr>
        <w:spacing w:after="0" w:line="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purpose of this supplement is to correct a typographical error in the Proxy Statement regarding the aggregate employee and director ownership number included in the Q&amp;A section on page 4 and in a graphic on page 15 of the Business Overview section. The language in these sections incorrectly reported that, collectively, employees and directors own equity totaling approximately 23% and should have stated that employees and directors aggregate ownership is approximately 19% of our outstanding common stock as of March 2, 2021.</w:t>
      </w:r>
    </w:p>
    <w:p>
      <w:pPr>
        <w:spacing w:after="0" w:line="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Except for the information regarding aggregate employee and director ownership, all information set forth in the Proxy Statement remains unchanged.</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6">
    <w:nsid w:val="41B71E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2021-03-12T16:07:50Z</dcterms:created>
  <dcterms:modified xsi:type="dcterms:W3CDTF">2021-03-12T16:07:50Z</dcterms:modified>
</cp:coreProperties>
</file>