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w:t>
      </w:r>
    </w:p>
    <w:p>
      <w:pPr>
        <w:spacing w:after="0" w:line="6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w:t>
      </w:r>
    </w:p>
    <w:p>
      <w:pPr>
        <w:spacing w:after="0" w:line="11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w:t>
      </w:r>
    </w:p>
    <w:p>
      <w:pPr>
        <w:spacing w:after="0" w:line="16" w:lineRule="exact"/>
        <w:rPr>
          <w:sz w:val="24"/>
          <w:szCs w:val="24"/>
          <w:color w:val="auto"/>
        </w:rPr>
      </w:pPr>
    </w:p>
    <w:p>
      <w:pPr>
        <w:ind w:left="480" w:hanging="344"/>
        <w:spacing w:after="0"/>
        <w:tabs>
          <w:tab w:leader="none" w:pos="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1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11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480" w:hanging="330"/>
        <w:spacing w:after="0"/>
        <w:tabs>
          <w:tab w:leader="none" w:pos="4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92" w:lineRule="exact"/>
        <w:rPr>
          <w:sz w:val="24"/>
          <w:szCs w:val="24"/>
          <w:color w:val="auto"/>
        </w:rPr>
      </w:pPr>
    </w:p>
    <w:tbl>
      <w:tblPr>
        <w:tblLayout w:type="fixed"/>
        <w:tblInd w:w="376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54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c>
          <w:tcPr>
            <w:tcW w:w="540" w:type="dxa"/>
            <w:vAlign w:val="bottom"/>
            <w:tcBorders>
              <w:bottom w:val="single" w:sz="8" w:color="auto"/>
            </w:tcBorders>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w:t>
            </w:r>
          </w:p>
        </w:tc>
      </w:tr>
      <w:tr>
        <w:trPr>
          <w:trHeight w:val="345"/>
        </w:trPr>
        <w:tc>
          <w:tcPr>
            <w:tcW w:w="3140" w:type="dxa"/>
            <w:vAlign w:val="bottom"/>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w w:val="99"/>
              </w:rPr>
              <w:t>Commission file number 1-31234</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ind w:left="1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w:t>
      </w:r>
    </w:p>
    <w:p>
      <w:pPr>
        <w:spacing w:after="0" w:line="12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6"/>
          <w:szCs w:val="36"/>
          <w:b w:val="1"/>
          <w:bCs w:val="1"/>
          <w:color w:val="auto"/>
        </w:rPr>
        <w:t>WESTWOOD HOLDINGS GROUP, INC.</w:t>
      </w:r>
    </w:p>
    <w:p>
      <w:pPr>
        <w:spacing w:after="0" w:line="5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w:t>
      </w:r>
    </w:p>
    <w:p>
      <w:pPr>
        <w:spacing w:after="0" w:line="27" w:lineRule="exact"/>
        <w:rPr>
          <w:sz w:val="24"/>
          <w:szCs w:val="24"/>
          <w:color w:val="auto"/>
        </w:rPr>
      </w:pPr>
    </w:p>
    <w:tbl>
      <w:tblPr>
        <w:tblLayout w:type="fixed"/>
        <w:tblInd w:w="420" w:type="dxa"/>
        <w:tblCellMar>
          <w:top w:w="0" w:type="dxa"/>
          <w:left w:w="0" w:type="dxa"/>
          <w:bottom w:w="0" w:type="dxa"/>
          <w:right w:w="0" w:type="dxa"/>
        </w:tblCellMar>
      </w:tblPr>
      <w:tr>
        <w:trPr>
          <w:trHeight w:val="229"/>
        </w:trPr>
        <w:tc>
          <w:tcPr>
            <w:tcW w:w="3560" w:type="dxa"/>
            <w:vAlign w:val="bottom"/>
          </w:tcPr>
          <w:p>
            <w:pPr>
              <w:jc w:val="center"/>
              <w:ind w:right="17"/>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6100" w:type="dxa"/>
            <w:vAlign w:val="bottom"/>
          </w:tcPr>
          <w:p>
            <w:pPr>
              <w:jc w:val="right"/>
              <w:ind w:right="479"/>
              <w:spacing w:after="0"/>
              <w:rPr>
                <w:sz w:val="20"/>
                <w:szCs w:val="20"/>
                <w:color w:val="auto"/>
              </w:rPr>
            </w:pPr>
            <w:r>
              <w:rPr>
                <w:rFonts w:ascii="Times New Roman" w:cs="Times New Roman" w:eastAsia="Times New Roman" w:hAnsi="Times New Roman"/>
                <w:sz w:val="18"/>
                <w:szCs w:val="18"/>
                <w:b w:val="1"/>
                <w:bCs w:val="1"/>
                <w:color w:val="auto"/>
              </w:rPr>
              <w:t>75-2969997</w:t>
            </w:r>
          </w:p>
        </w:tc>
      </w:tr>
      <w:tr>
        <w:trPr>
          <w:trHeight w:val="188"/>
        </w:trPr>
        <w:tc>
          <w:tcPr>
            <w:tcW w:w="3560" w:type="dxa"/>
            <w:vAlign w:val="bottom"/>
          </w:tcPr>
          <w:p>
            <w:pPr>
              <w:jc w:val="center"/>
              <w:ind w:right="37"/>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6100" w:type="dxa"/>
            <w:vAlign w:val="bottom"/>
          </w:tcPr>
          <w:p>
            <w:pPr>
              <w:jc w:val="center"/>
              <w:ind w:left="401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447"/>
        </w:trPr>
        <w:tc>
          <w:tcPr>
            <w:tcW w:w="3560" w:type="dxa"/>
            <w:vAlign w:val="bottom"/>
          </w:tcPr>
          <w:p>
            <w:pPr>
              <w:jc w:val="center"/>
              <w:ind w:right="17"/>
              <w:spacing w:after="0"/>
              <w:rPr>
                <w:sz w:val="20"/>
                <w:szCs w:val="20"/>
                <w:color w:val="auto"/>
              </w:rPr>
            </w:pPr>
            <w:r>
              <w:rPr>
                <w:rFonts w:ascii="Times New Roman" w:cs="Times New Roman" w:eastAsia="Times New Roman" w:hAnsi="Times New Roman"/>
                <w:sz w:val="18"/>
                <w:szCs w:val="18"/>
                <w:b w:val="1"/>
                <w:bCs w:val="1"/>
                <w:color w:val="auto"/>
                <w:w w:val="99"/>
              </w:rPr>
              <w:t>200 CRESCENT COURT, SUITE 1200</w:t>
            </w:r>
          </w:p>
        </w:tc>
        <w:tc>
          <w:tcPr>
            <w:tcW w:w="6100" w:type="dxa"/>
            <w:vAlign w:val="bottom"/>
          </w:tcPr>
          <w:p>
            <w:pPr>
              <w:spacing w:after="0"/>
              <w:rPr>
                <w:sz w:val="24"/>
                <w:szCs w:val="24"/>
                <w:color w:val="auto"/>
              </w:rPr>
            </w:pPr>
          </w:p>
        </w:tc>
      </w:tr>
      <w:tr>
        <w:trPr>
          <w:trHeight w:val="229"/>
        </w:trPr>
        <w:tc>
          <w:tcPr>
            <w:tcW w:w="356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DALLAS, Texas</w:t>
            </w:r>
          </w:p>
        </w:tc>
        <w:tc>
          <w:tcPr>
            <w:tcW w:w="6100" w:type="dxa"/>
            <w:vAlign w:val="bottom"/>
          </w:tcPr>
          <w:p>
            <w:pPr>
              <w:jc w:val="right"/>
              <w:ind w:right="699"/>
              <w:spacing w:after="0"/>
              <w:rPr>
                <w:sz w:val="20"/>
                <w:szCs w:val="20"/>
                <w:color w:val="auto"/>
              </w:rPr>
            </w:pPr>
            <w:r>
              <w:rPr>
                <w:rFonts w:ascii="Times New Roman" w:cs="Times New Roman" w:eastAsia="Times New Roman" w:hAnsi="Times New Roman"/>
                <w:sz w:val="18"/>
                <w:szCs w:val="18"/>
                <w:b w:val="1"/>
                <w:bCs w:val="1"/>
                <w:color w:val="auto"/>
              </w:rPr>
              <w:t>75201</w:t>
            </w:r>
          </w:p>
        </w:tc>
      </w:tr>
      <w:tr>
        <w:trPr>
          <w:trHeight w:val="188"/>
        </w:trPr>
        <w:tc>
          <w:tcPr>
            <w:tcW w:w="3560" w:type="dxa"/>
            <w:vAlign w:val="bottom"/>
          </w:tcPr>
          <w:p>
            <w:pPr>
              <w:jc w:val="center"/>
              <w:ind w:right="17"/>
              <w:spacing w:after="0"/>
              <w:rPr>
                <w:sz w:val="20"/>
                <w:szCs w:val="20"/>
                <w:color w:val="auto"/>
              </w:rPr>
            </w:pPr>
            <w:r>
              <w:rPr>
                <w:rFonts w:ascii="Times New Roman" w:cs="Times New Roman" w:eastAsia="Times New Roman" w:hAnsi="Times New Roman"/>
                <w:sz w:val="14"/>
                <w:szCs w:val="14"/>
                <w:color w:val="auto"/>
              </w:rPr>
              <w:t>(Address of principal executive office)</w:t>
            </w:r>
          </w:p>
        </w:tc>
        <w:tc>
          <w:tcPr>
            <w:tcW w:w="6100" w:type="dxa"/>
            <w:vAlign w:val="bottom"/>
          </w:tcPr>
          <w:p>
            <w:pPr>
              <w:jc w:val="center"/>
              <w:ind w:left="4019"/>
              <w:spacing w:after="0"/>
              <w:rPr>
                <w:sz w:val="20"/>
                <w:szCs w:val="20"/>
                <w:color w:val="auto"/>
              </w:rPr>
            </w:pPr>
            <w:r>
              <w:rPr>
                <w:rFonts w:ascii="Times New Roman" w:cs="Times New Roman" w:eastAsia="Times New Roman" w:hAnsi="Times New Roman"/>
                <w:sz w:val="14"/>
                <w:szCs w:val="14"/>
                <w:color w:val="auto"/>
              </w:rPr>
              <w:t>(Zip Code)</w:t>
            </w:r>
          </w:p>
        </w:tc>
      </w:tr>
      <w:tr>
        <w:trPr>
          <w:trHeight w:val="365"/>
        </w:trPr>
        <w:tc>
          <w:tcPr>
            <w:tcW w:w="3560" w:type="dxa"/>
            <w:vAlign w:val="bottom"/>
          </w:tcPr>
          <w:p>
            <w:pPr>
              <w:spacing w:after="0"/>
              <w:rPr>
                <w:sz w:val="24"/>
                <w:szCs w:val="24"/>
                <w:color w:val="auto"/>
              </w:rPr>
            </w:pPr>
          </w:p>
        </w:tc>
        <w:tc>
          <w:tcPr>
            <w:tcW w:w="6100" w:type="dxa"/>
            <w:vAlign w:val="bottom"/>
          </w:tcPr>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(214) 756-6900</w:t>
            </w:r>
          </w:p>
        </w:tc>
      </w:tr>
      <w:tr>
        <w:trPr>
          <w:trHeight w:val="188"/>
        </w:trPr>
        <w:tc>
          <w:tcPr>
            <w:tcW w:w="3560" w:type="dxa"/>
            <w:vAlign w:val="bottom"/>
          </w:tcPr>
          <w:p>
            <w:pPr>
              <w:spacing w:after="0"/>
              <w:rPr>
                <w:sz w:val="16"/>
                <w:szCs w:val="16"/>
                <w:color w:val="auto"/>
              </w:rPr>
            </w:pPr>
          </w:p>
        </w:tc>
        <w:tc>
          <w:tcPr>
            <w:tcW w:w="6100" w:type="dxa"/>
            <w:vAlign w:val="bottom"/>
          </w:tcPr>
          <w:p>
            <w:pPr>
              <w:jc w:val="center"/>
              <w:ind w:right="273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bl>
    <w:p>
      <w:pPr>
        <w:ind w:left="1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w:t>
      </w:r>
    </w:p>
    <w:p>
      <w:pPr>
        <w:spacing w:after="0" w:line="4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57" w:lineRule="exact"/>
        <w:rPr>
          <w:sz w:val="24"/>
          <w:szCs w:val="24"/>
          <w:color w:val="auto"/>
        </w:rPr>
      </w:pPr>
    </w:p>
    <w:tbl>
      <w:tblPr>
        <w:tblLayout w:type="fixed"/>
        <w:tblInd w:w="860" w:type="dxa"/>
        <w:tblCellMar>
          <w:top w:w="0" w:type="dxa"/>
          <w:left w:w="0" w:type="dxa"/>
          <w:bottom w:w="0" w:type="dxa"/>
          <w:right w:w="0" w:type="dxa"/>
        </w:tblCellMar>
      </w:tblPr>
      <w:tr>
        <w:trPr>
          <w:trHeight w:val="188"/>
        </w:trPr>
        <w:tc>
          <w:tcPr>
            <w:tcW w:w="6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6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185"/>
        </w:trPr>
        <w:tc>
          <w:tcPr>
            <w:tcW w:w="66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10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w:t>
            </w: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13"/>
        </w:trPr>
        <w:tc>
          <w:tcPr>
            <w:tcW w:w="27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1520" w:type="dxa"/>
            <w:vAlign w:val="bottom"/>
          </w:tcPr>
          <w:p>
            <w:pPr>
              <w:spacing w:after="0"/>
              <w:rPr>
                <w:sz w:val="18"/>
                <w:szCs w:val="18"/>
                <w:color w:val="auto"/>
              </w:rPr>
            </w:pPr>
          </w:p>
        </w:tc>
        <w:tc>
          <w:tcPr>
            <w:tcW w:w="24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WHG</w:t>
            </w:r>
          </w:p>
        </w:tc>
        <w:tc>
          <w:tcPr>
            <w:tcW w:w="26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149" w:lineRule="exact"/>
        <w:rPr>
          <w:sz w:val="24"/>
          <w:szCs w:val="24"/>
          <w:color w:val="auto"/>
        </w:rPr>
      </w:pPr>
    </w:p>
    <w:p>
      <w:pPr>
        <w:ind w:right="12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 w:lineRule="exact"/>
        <w:rPr>
          <w:sz w:val="24"/>
          <w:szCs w:val="24"/>
          <w:color w:val="auto"/>
        </w:rPr>
      </w:pPr>
    </w:p>
    <w:p>
      <w:pPr>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60"/>
        <w:spacing w:after="0" w:line="27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4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32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4960" w:type="dxa"/>
            <w:vAlign w:val="bottom"/>
          </w:tcPr>
          <w:p>
            <w:pPr>
              <w:ind w:left="2640"/>
              <w:spacing w:after="0"/>
              <w:rPr>
                <w:sz w:val="20"/>
                <w:szCs w:val="20"/>
                <w:color w:val="auto"/>
              </w:rPr>
            </w:pPr>
            <w:r>
              <w:rPr>
                <w:rFonts w:ascii="Times New Roman" w:cs="Times New Roman" w:eastAsia="Times New Roman" w:hAnsi="Times New Roman"/>
                <w:sz w:val="14"/>
                <w:szCs w:val="14"/>
                <w:color w:val="auto"/>
              </w:rPr>
              <w:t>Accelerated filer</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6"/>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32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4960" w:type="dxa"/>
            <w:vAlign w:val="bottom"/>
          </w:tcPr>
          <w:p>
            <w:pPr>
              <w:ind w:left="26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7"/>
        </w:trPr>
        <w:tc>
          <w:tcPr>
            <w:tcW w:w="18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4960" w:type="dxa"/>
            <w:vAlign w:val="bottom"/>
          </w:tcPr>
          <w:p>
            <w:pPr>
              <w:ind w:left="2640"/>
              <w:spacing w:after="0"/>
              <w:rPr>
                <w:sz w:val="20"/>
                <w:szCs w:val="20"/>
                <w:color w:val="auto"/>
              </w:rPr>
            </w:pPr>
            <w:r>
              <w:rPr>
                <w:rFonts w:ascii="Times New Roman" w:cs="Times New Roman" w:eastAsia="Times New Roman" w:hAnsi="Times New Roman"/>
                <w:sz w:val="14"/>
                <w:szCs w:val="14"/>
                <w:color w:val="auto"/>
              </w:rPr>
              <w:t>Emerging growth company</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00" w:lineRule="exact"/>
        <w:rPr>
          <w:sz w:val="24"/>
          <w:szCs w:val="24"/>
          <w:color w:val="auto"/>
        </w:rPr>
      </w:pPr>
    </w:p>
    <w:p>
      <w:pPr>
        <w:ind w:right="420"/>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accounting standards provided pursuant to Section 13(a) of the Exchange Act. </w:t>
      </w:r>
      <w:r>
        <w:rPr>
          <w:rFonts w:ascii="MS PGothic" w:cs="MS PGothic" w:eastAsia="MS PGothic" w:hAnsi="MS PGothic"/>
          <w:sz w:val="14"/>
          <w:szCs w:val="14"/>
          <w:color w:val="auto"/>
        </w:rPr>
        <w:t>☐</w:t>
      </w:r>
    </w:p>
    <w:p>
      <w:pPr>
        <w:spacing w:after="0" w:line="2" w:lineRule="exact"/>
        <w:rPr>
          <w:sz w:val="24"/>
          <w:szCs w:val="24"/>
          <w:color w:val="auto"/>
        </w:rPr>
      </w:pPr>
    </w:p>
    <w:p>
      <w:pPr>
        <w:ind w:right="3620"/>
        <w:spacing w:after="0" w:line="22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Shares of common stock, par value $0.01 per share, outstanding as of October 22, 2025: 9,408,130.</w:t>
      </w:r>
    </w:p>
    <w:p>
      <w:pPr>
        <w:spacing w:after="0" w:line="1"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802640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58" w:right="4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PART I</w:t>
            </w:r>
          </w:p>
        </w:tc>
        <w:tc>
          <w:tcPr>
            <w:tcW w:w="764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FINANCIAL INFORMATION</w:t>
            </w:r>
          </w:p>
        </w:tc>
        <w:tc>
          <w:tcPr>
            <w:tcW w:w="24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PAGE</w:t>
            </w:r>
          </w:p>
        </w:tc>
      </w:tr>
      <w:tr>
        <w:trPr>
          <w:trHeight w:val="324"/>
        </w:trPr>
        <w:tc>
          <w:tcPr>
            <w:tcW w:w="11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Item 1.</w:t>
            </w:r>
          </w:p>
        </w:tc>
        <w:tc>
          <w:tcPr>
            <w:tcW w:w="764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Financial Statements</w:t>
            </w:r>
          </w:p>
        </w:tc>
        <w:tc>
          <w:tcPr>
            <w:tcW w:w="2460" w:type="dxa"/>
            <w:vAlign w:val="bottom"/>
          </w:tcPr>
          <w:p>
            <w:pPr>
              <w:spacing w:after="0"/>
              <w:rPr>
                <w:sz w:val="24"/>
                <w:szCs w:val="24"/>
                <w:color w:val="auto"/>
              </w:rPr>
            </w:pPr>
          </w:p>
        </w:tc>
      </w:tr>
      <w:tr>
        <w:trPr>
          <w:trHeight w:val="289"/>
        </w:trPr>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Condensed Consolidated Balance Sheets</w:t>
            </w:r>
          </w:p>
        </w:tc>
        <w:tc>
          <w:tcPr>
            <w:tcW w:w="5000" w:type="dxa"/>
            <w:vAlign w:val="bottom"/>
            <w:gridSpan w:val="8"/>
          </w:tcPr>
          <w:p>
            <w:pPr>
              <w:spacing w:after="0"/>
              <w:rPr>
                <w:sz w:val="24"/>
                <w:szCs w:val="24"/>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w:t>
            </w:r>
          </w:p>
        </w:tc>
      </w:tr>
      <w:tr>
        <w:trPr>
          <w:trHeight w:val="250"/>
        </w:trPr>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4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Condensed Consolidated Statements of Operations</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w:t>
            </w:r>
          </w:p>
        </w:tc>
      </w:tr>
      <w:tr>
        <w:trPr>
          <w:trHeight w:val="20"/>
        </w:trPr>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4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Condensed Consolidated Statements of Stockholders’ Equity</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w:t>
            </w:r>
          </w:p>
        </w:tc>
      </w:tr>
      <w:tr>
        <w:trPr>
          <w:trHeight w:val="250"/>
        </w:trPr>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34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Condensed Consolidated Statements of Cash Flows</w:t>
            </w:r>
          </w:p>
        </w:tc>
        <w:tc>
          <w:tcPr>
            <w:tcW w:w="600" w:type="dxa"/>
            <w:vAlign w:val="bottom"/>
            <w:tcBorders>
              <w:top w:val="single" w:sz="8" w:color="0000FF"/>
            </w:tcBorders>
            <w:gridSpan w:val="4"/>
          </w:tcPr>
          <w:p>
            <w:pPr>
              <w:spacing w:after="0"/>
              <w:rPr>
                <w:sz w:val="21"/>
                <w:szCs w:val="21"/>
                <w:color w:val="auto"/>
              </w:rPr>
            </w:pPr>
          </w:p>
        </w:tc>
        <w:tc>
          <w:tcPr>
            <w:tcW w:w="3700" w:type="dxa"/>
            <w:vAlign w:val="bottom"/>
            <w:gridSpan w:val="2"/>
          </w:tcPr>
          <w:p>
            <w:pPr>
              <w:spacing w:after="0"/>
              <w:rPr>
                <w:sz w:val="21"/>
                <w:szCs w:val="21"/>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w:t>
            </w:r>
          </w:p>
        </w:tc>
      </w:tr>
      <w:tr>
        <w:trPr>
          <w:trHeight w:val="250"/>
        </w:trPr>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4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Notes to Condensed Consolidated Financial Statements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w:t>
            </w:r>
          </w:p>
        </w:tc>
      </w:tr>
      <w:tr>
        <w:trPr>
          <w:trHeight w:val="20"/>
        </w:trPr>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50"/>
        </w:trPr>
        <w:tc>
          <w:tcPr>
            <w:tcW w:w="11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Item 2.</w:t>
            </w:r>
          </w:p>
        </w:tc>
        <w:tc>
          <w:tcPr>
            <w:tcW w:w="764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w:t>
            </w:r>
          </w:p>
        </w:tc>
      </w:tr>
      <w:tr>
        <w:trPr>
          <w:trHeight w:val="250"/>
        </w:trPr>
        <w:tc>
          <w:tcPr>
            <w:tcW w:w="11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Item 3.</w:t>
            </w:r>
          </w:p>
        </w:tc>
        <w:tc>
          <w:tcPr>
            <w:tcW w:w="392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1880" w:type="dxa"/>
            <w:vAlign w:val="bottom"/>
            <w:tcBorders>
              <w:top w:val="single" w:sz="8" w:color="0000FF"/>
            </w:tcBorders>
            <w:gridSpan w:val="2"/>
          </w:tcPr>
          <w:p>
            <w:pPr>
              <w:spacing w:after="0"/>
              <w:rPr>
                <w:sz w:val="21"/>
                <w:szCs w:val="21"/>
                <w:color w:val="auto"/>
              </w:rPr>
            </w:pPr>
          </w:p>
        </w:tc>
        <w:tc>
          <w:tcPr>
            <w:tcW w:w="1840" w:type="dxa"/>
            <w:vAlign w:val="bottom"/>
          </w:tcPr>
          <w:p>
            <w:pPr>
              <w:spacing w:after="0"/>
              <w:rPr>
                <w:sz w:val="21"/>
                <w:szCs w:val="21"/>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w:t>
            </w:r>
          </w:p>
        </w:tc>
      </w:tr>
      <w:tr>
        <w:trPr>
          <w:trHeight w:val="250"/>
        </w:trPr>
        <w:tc>
          <w:tcPr>
            <w:tcW w:w="11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Item 4.</w:t>
            </w:r>
          </w:p>
        </w:tc>
        <w:tc>
          <w:tcPr>
            <w:tcW w:w="764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w:t>
            </w:r>
          </w:p>
        </w:tc>
      </w:tr>
      <w:tr>
        <w:trPr>
          <w:trHeight w:val="20"/>
        </w:trPr>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3740" w:type="dxa"/>
            <w:vAlign w:val="bottom"/>
            <w:gridSpan w:val="4"/>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50"/>
        </w:trPr>
        <w:tc>
          <w:tcPr>
            <w:tcW w:w="11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PART II</w:t>
            </w:r>
          </w:p>
        </w:tc>
        <w:tc>
          <w:tcPr>
            <w:tcW w:w="764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26</w:t>
            </w:r>
          </w:p>
        </w:tc>
      </w:tr>
      <w:tr>
        <w:trPr>
          <w:trHeight w:val="250"/>
        </w:trPr>
        <w:tc>
          <w:tcPr>
            <w:tcW w:w="11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Item 1.</w:t>
            </w:r>
          </w:p>
        </w:tc>
        <w:tc>
          <w:tcPr>
            <w:tcW w:w="12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9"/>
              </w:rPr>
              <w:t>Legal Proceedings</w:t>
            </w:r>
          </w:p>
        </w:tc>
        <w:tc>
          <w:tcPr>
            <w:tcW w:w="480" w:type="dxa"/>
            <w:vAlign w:val="bottom"/>
            <w:tcBorders>
              <w:top w:val="single" w:sz="8" w:color="0000FF"/>
            </w:tcBorders>
            <w:gridSpan w:val="2"/>
          </w:tcPr>
          <w:p>
            <w:pPr>
              <w:spacing w:after="0"/>
              <w:rPr>
                <w:sz w:val="21"/>
                <w:szCs w:val="21"/>
                <w:color w:val="auto"/>
              </w:rPr>
            </w:pPr>
          </w:p>
        </w:tc>
        <w:tc>
          <w:tcPr>
            <w:tcW w:w="5960" w:type="dxa"/>
            <w:vAlign w:val="bottom"/>
            <w:gridSpan w:val="9"/>
          </w:tcPr>
          <w:p>
            <w:pPr>
              <w:spacing w:after="0"/>
              <w:rPr>
                <w:sz w:val="21"/>
                <w:szCs w:val="21"/>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26</w:t>
            </w:r>
          </w:p>
        </w:tc>
      </w:tr>
      <w:tr>
        <w:trPr>
          <w:trHeight w:val="250"/>
        </w:trPr>
        <w:tc>
          <w:tcPr>
            <w:tcW w:w="11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Item 1A.</w:t>
            </w:r>
          </w:p>
        </w:tc>
        <w:tc>
          <w:tcPr>
            <w:tcW w:w="764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26</w:t>
            </w:r>
          </w:p>
        </w:tc>
      </w:tr>
      <w:tr>
        <w:trPr>
          <w:trHeight w:val="20"/>
        </w:trPr>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100" w:type="dxa"/>
            <w:vAlign w:val="bottom"/>
            <w:gridSpan w:val="8"/>
          </w:tcPr>
          <w:p>
            <w:pPr>
              <w:spacing w:after="0" w:line="20" w:lineRule="exact"/>
              <w:rPr>
                <w:sz w:val="1"/>
                <w:szCs w:val="1"/>
                <w:color w:val="auto"/>
              </w:rPr>
            </w:pPr>
          </w:p>
        </w:tc>
        <w:tc>
          <w:tcPr>
            <w:tcW w:w="3740" w:type="dxa"/>
            <w:vAlign w:val="bottom"/>
            <w:gridSpan w:val="4"/>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50"/>
        </w:trPr>
        <w:tc>
          <w:tcPr>
            <w:tcW w:w="11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Item 2.</w:t>
            </w:r>
          </w:p>
        </w:tc>
        <w:tc>
          <w:tcPr>
            <w:tcW w:w="764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26</w:t>
            </w:r>
          </w:p>
        </w:tc>
      </w:tr>
      <w:tr>
        <w:trPr>
          <w:trHeight w:val="250"/>
        </w:trPr>
        <w:tc>
          <w:tcPr>
            <w:tcW w:w="11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Item 6.</w:t>
            </w:r>
          </w:p>
        </w:tc>
        <w:tc>
          <w:tcPr>
            <w:tcW w:w="390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rPr>
              <w:t>Exhibits</w:t>
            </w:r>
          </w:p>
        </w:tc>
        <w:tc>
          <w:tcPr>
            <w:tcW w:w="3740" w:type="dxa"/>
            <w:vAlign w:val="bottom"/>
            <w:gridSpan w:val="4"/>
          </w:tcPr>
          <w:p>
            <w:pPr>
              <w:spacing w:after="0"/>
              <w:rPr>
                <w:sz w:val="21"/>
                <w:szCs w:val="21"/>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27</w:t>
            </w:r>
          </w:p>
        </w:tc>
      </w:tr>
      <w:tr>
        <w:trPr>
          <w:trHeight w:val="250"/>
        </w:trPr>
        <w:tc>
          <w:tcPr>
            <w:tcW w:w="11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Signatures</w:t>
            </w:r>
          </w:p>
        </w:tc>
        <w:tc>
          <w:tcPr>
            <w:tcW w:w="540" w:type="dxa"/>
            <w:vAlign w:val="bottom"/>
            <w:tcBorders>
              <w:top w:val="single" w:sz="8" w:color="0000FF"/>
            </w:tcBorders>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28</w:t>
            </w:r>
          </w:p>
        </w:tc>
      </w:tr>
      <w:tr>
        <w:trPr>
          <w:trHeight w:val="2943"/>
        </w:trPr>
        <w:tc>
          <w:tcPr>
            <w:tcW w:w="60" w:type="dxa"/>
            <w:vAlign w:val="bottom"/>
            <w:tcBorders>
              <w:bottom w:val="single" w:sz="8" w:color="9A9A9A"/>
            </w:tcBorders>
          </w:tcPr>
          <w:p>
            <w:pPr>
              <w:spacing w:after="0"/>
              <w:rPr>
                <w:sz w:val="24"/>
                <w:szCs w:val="24"/>
                <w:color w:val="auto"/>
              </w:rPr>
            </w:pPr>
          </w:p>
        </w:tc>
        <w:tc>
          <w:tcPr>
            <w:tcW w:w="70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and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September 30, 2025</w:t>
            </w:r>
          </w:p>
        </w:tc>
        <w:tc>
          <w:tcPr>
            <w:tcW w:w="240" w:type="dxa"/>
            <w:vAlign w:val="bottom"/>
          </w:tcPr>
          <w:p>
            <w:pPr>
              <w:spacing w:after="0"/>
              <w:rPr>
                <w:sz w:val="17"/>
                <w:szCs w:val="17"/>
                <w:color w:val="auto"/>
              </w:rPr>
            </w:pPr>
          </w:p>
        </w:tc>
        <w:tc>
          <w:tcPr>
            <w:tcW w:w="1740" w:type="dxa"/>
            <w:vAlign w:val="bottom"/>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December 31, 2024</w:t>
            </w:r>
          </w:p>
        </w:tc>
      </w:tr>
      <w:tr>
        <w:trPr>
          <w:trHeight w:val="187"/>
        </w:trPr>
        <w:tc>
          <w:tcPr>
            <w:tcW w:w="6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220" w:type="dxa"/>
            <w:vAlign w:val="bottom"/>
            <w:tcBorders>
              <w:top w:val="single" w:sz="8" w:color="auto"/>
            </w:tcBorders>
            <w:shd w:val="clear" w:color="auto" w:fill="CCEEFF"/>
          </w:tcPr>
          <w:p>
            <w:pPr>
              <w:spacing w:after="0"/>
              <w:rPr>
                <w:sz w:val="16"/>
                <w:szCs w:val="16"/>
                <w:color w:val="auto"/>
              </w:rPr>
            </w:pPr>
          </w:p>
        </w:tc>
        <w:tc>
          <w:tcPr>
            <w:tcW w:w="1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spacing w:after="0"/>
              <w:rPr>
                <w:sz w:val="16"/>
                <w:szCs w:val="16"/>
                <w:color w:val="auto"/>
              </w:rPr>
            </w:pPr>
          </w:p>
        </w:tc>
      </w:tr>
      <w:tr>
        <w:trPr>
          <w:trHeight w:val="200"/>
        </w:trPr>
        <w:tc>
          <w:tcPr>
            <w:tcW w:w="69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21,604</w:t>
            </w:r>
          </w:p>
        </w:tc>
        <w:tc>
          <w:tcPr>
            <w:tcW w:w="10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18,847</w:t>
            </w:r>
          </w:p>
        </w:tc>
      </w:tr>
      <w:tr>
        <w:trPr>
          <w:trHeight w:val="205"/>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Accounts receivable</w:t>
            </w: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14,570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14,453</w:t>
            </w:r>
          </w:p>
        </w:tc>
      </w:tr>
      <w:tr>
        <w:trPr>
          <w:trHeight w:val="200"/>
        </w:trPr>
        <w:tc>
          <w:tcPr>
            <w:tcW w:w="69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Investments, at fair value (amortized cost of $18,354 and $26,788)</w:t>
            </w:r>
          </w:p>
        </w:tc>
        <w:tc>
          <w:tcPr>
            <w:tcW w:w="2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19,729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27,694</w:t>
            </w:r>
          </w:p>
        </w:tc>
      </w:tr>
      <w:tr>
        <w:trPr>
          <w:trHeight w:val="205"/>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Investments under measurement alternative</w:t>
            </w: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14,697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10,747</w:t>
            </w:r>
          </w:p>
        </w:tc>
      </w:tr>
      <w:tr>
        <w:trPr>
          <w:trHeight w:val="200"/>
        </w:trPr>
        <w:tc>
          <w:tcPr>
            <w:tcW w:w="69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Equity method investments</w:t>
            </w:r>
          </w:p>
        </w:tc>
        <w:tc>
          <w:tcPr>
            <w:tcW w:w="2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4,263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4,250</w:t>
            </w:r>
          </w:p>
        </w:tc>
      </w:tr>
      <w:tr>
        <w:trPr>
          <w:trHeight w:val="205"/>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Income taxes receivable</w:t>
            </w:r>
          </w:p>
        </w:tc>
        <w:tc>
          <w:tcPr>
            <w:tcW w:w="22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295</w:t>
            </w:r>
          </w:p>
        </w:tc>
      </w:tr>
      <w:tr>
        <w:trPr>
          <w:trHeight w:val="200"/>
        </w:trPr>
        <w:tc>
          <w:tcPr>
            <w:tcW w:w="69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Other assets</w:t>
            </w:r>
          </w:p>
        </w:tc>
        <w:tc>
          <w:tcPr>
            <w:tcW w:w="2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7,647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6,780</w:t>
            </w:r>
          </w:p>
        </w:tc>
      </w:tr>
      <w:tr>
        <w:trPr>
          <w:trHeight w:val="205"/>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Goodwill</w:t>
            </w: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39,501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39,501</w:t>
            </w:r>
          </w:p>
        </w:tc>
      </w:tr>
      <w:tr>
        <w:trPr>
          <w:trHeight w:val="200"/>
        </w:trPr>
        <w:tc>
          <w:tcPr>
            <w:tcW w:w="69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Deferred income taxes</w:t>
            </w:r>
          </w:p>
        </w:tc>
        <w:tc>
          <w:tcPr>
            <w:tcW w:w="2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2,556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2,244</w:t>
            </w:r>
          </w:p>
        </w:tc>
      </w:tr>
      <w:tr>
        <w:trPr>
          <w:trHeight w:val="205"/>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9,841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2,559</w:t>
            </w:r>
          </w:p>
        </w:tc>
      </w:tr>
      <w:tr>
        <w:trPr>
          <w:trHeight w:val="200"/>
        </w:trPr>
        <w:tc>
          <w:tcPr>
            <w:tcW w:w="69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Intangible assets, net</w:t>
            </w:r>
          </w:p>
        </w:tc>
        <w:tc>
          <w:tcPr>
            <w:tcW w:w="2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18,981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21,668</w:t>
            </w:r>
          </w:p>
        </w:tc>
      </w:tr>
      <w:tr>
        <w:trPr>
          <w:trHeight w:val="205"/>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Property and equipment, net of accumulated depreciation of $8,821 and $8,424</w:t>
            </w:r>
          </w:p>
        </w:tc>
        <w:tc>
          <w:tcPr>
            <w:tcW w:w="22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657</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951</w:t>
            </w:r>
          </w:p>
        </w:tc>
      </w:tr>
      <w:tr>
        <w:trPr>
          <w:trHeight w:val="194"/>
        </w:trPr>
        <w:tc>
          <w:tcPr>
            <w:tcW w:w="6940" w:type="dxa"/>
            <w:vAlign w:val="bottom"/>
          </w:tcPr>
          <w:p>
            <w:pPr>
              <w:ind w:left="680"/>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2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154,046</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149,989</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72"/>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2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r>
      <w:tr>
        <w:trPr>
          <w:trHeight w:val="200"/>
        </w:trPr>
        <w:tc>
          <w:tcPr>
            <w:tcW w:w="69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Accounts payable and accrued liabilities</w:t>
            </w: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5,436</w:t>
            </w:r>
          </w:p>
        </w:tc>
        <w:tc>
          <w:tcPr>
            <w:tcW w:w="10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6,413</w:t>
            </w:r>
          </w:p>
        </w:tc>
      </w:tr>
      <w:tr>
        <w:trPr>
          <w:trHeight w:val="205"/>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Dividends payable</w:t>
            </w: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2,579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2,466</w:t>
            </w:r>
          </w:p>
        </w:tc>
      </w:tr>
      <w:tr>
        <w:trPr>
          <w:trHeight w:val="200"/>
        </w:trPr>
        <w:tc>
          <w:tcPr>
            <w:tcW w:w="69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Compensation and benefits payable</w:t>
            </w:r>
          </w:p>
        </w:tc>
        <w:tc>
          <w:tcPr>
            <w:tcW w:w="2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8,808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10,924</w:t>
            </w:r>
          </w:p>
        </w:tc>
      </w:tr>
      <w:tr>
        <w:trPr>
          <w:trHeight w:val="205"/>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10,323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3,197</w:t>
            </w:r>
          </w:p>
        </w:tc>
      </w:tr>
      <w:tr>
        <w:trPr>
          <w:trHeight w:val="200"/>
        </w:trPr>
        <w:tc>
          <w:tcPr>
            <w:tcW w:w="69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Income taxes payable</w:t>
            </w:r>
          </w:p>
        </w:tc>
        <w:tc>
          <w:tcPr>
            <w:tcW w:w="2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Contingent consideration</w:t>
            </w:r>
          </w:p>
        </w:tc>
        <w:tc>
          <w:tcPr>
            <w:tcW w:w="22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4,657</w:t>
            </w:r>
          </w:p>
        </w:tc>
      </w:tr>
      <w:tr>
        <w:trPr>
          <w:trHeight w:val="194"/>
        </w:trPr>
        <w:tc>
          <w:tcPr>
            <w:tcW w:w="69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220" w:type="dxa"/>
            <w:vAlign w:val="bottom"/>
            <w:tcBorders>
              <w:top w:val="single" w:sz="8" w:color="auto"/>
              <w:bottom w:val="single" w:sz="8" w:color="auto"/>
            </w:tcBorders>
          </w:tcPr>
          <w:p>
            <w:pPr>
              <w:spacing w:after="0"/>
              <w:rPr>
                <w:sz w:val="16"/>
                <w:szCs w:val="16"/>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28,067</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27,657</w:t>
            </w:r>
          </w:p>
        </w:tc>
      </w:tr>
      <w:tr>
        <w:trPr>
          <w:trHeight w:val="18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Commitments and contingencies (Note 10)</w:t>
            </w:r>
          </w:p>
        </w:tc>
        <w:tc>
          <w:tcPr>
            <w:tcW w:w="22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r>
      <w:tr>
        <w:trPr>
          <w:trHeight w:val="202"/>
        </w:trPr>
        <w:tc>
          <w:tcPr>
            <w:tcW w:w="69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Stockholders' Equity:</w:t>
            </w: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149"/>
        </w:trPr>
        <w:tc>
          <w:tcPr>
            <w:tcW w:w="69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5"/>
                <w:szCs w:val="15"/>
                <w:color w:val="auto"/>
              </w:rPr>
              <w:t>Common stock, $0.01 par value, authorized 25,000,000 shares, issued 12,391,817 and 12,137,080,</w:t>
            </w:r>
          </w:p>
        </w:tc>
        <w:tc>
          <w:tcPr>
            <w:tcW w:w="2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r>
      <w:tr>
        <w:trPr>
          <w:trHeight w:val="216"/>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respectively and outstanding 9,408,125 and 9,234,575, respectively</w:t>
            </w: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w:t>
            </w:r>
          </w:p>
        </w:tc>
      </w:tr>
      <w:tr>
        <w:trPr>
          <w:trHeight w:val="200"/>
        </w:trPr>
        <w:tc>
          <w:tcPr>
            <w:tcW w:w="69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2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204,897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202,239</w:t>
            </w:r>
          </w:p>
        </w:tc>
      </w:tr>
      <w:tr>
        <w:trPr>
          <w:trHeight w:val="205"/>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Treasury stock, at cost – 2,983,692 and 2,902,505 shares, respectively</w:t>
            </w: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(89,612)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(88,277)</w:t>
            </w:r>
          </w:p>
        </w:tc>
      </w:tr>
      <w:tr>
        <w:trPr>
          <w:trHeight w:val="200"/>
        </w:trPr>
        <w:tc>
          <w:tcPr>
            <w:tcW w:w="6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Retained earnings</w:t>
            </w: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8,489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6,207</w:t>
            </w:r>
          </w:p>
        </w:tc>
      </w:tr>
      <w:tr>
        <w:trPr>
          <w:trHeight w:val="198"/>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Westwood Holdings Group, Inc. stockholders’ equity</w:t>
            </w: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123,898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120,291</w:t>
            </w:r>
          </w:p>
        </w:tc>
      </w:tr>
      <w:tr>
        <w:trPr>
          <w:trHeight w:val="202"/>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Noncontrolling interest in consolidated subsidiary</w:t>
            </w: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2,081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2,041</w:t>
            </w:r>
          </w:p>
        </w:tc>
      </w:tr>
      <w:tr>
        <w:trPr>
          <w:trHeight w:val="19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equity</w:t>
            </w:r>
          </w:p>
        </w:tc>
        <w:tc>
          <w:tcPr>
            <w:tcW w:w="22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125,979</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122,332</w:t>
            </w:r>
          </w:p>
        </w:tc>
      </w:tr>
      <w:tr>
        <w:trPr>
          <w:trHeight w:val="194"/>
        </w:trPr>
        <w:tc>
          <w:tcPr>
            <w:tcW w:w="6940" w:type="dxa"/>
            <w:vAlign w:val="bottom"/>
          </w:tcPr>
          <w:p>
            <w:pPr>
              <w:ind w:left="680"/>
              <w:spacing w:after="0"/>
              <w:rPr>
                <w:sz w:val="20"/>
                <w:szCs w:val="20"/>
                <w:color w:val="auto"/>
              </w:rPr>
            </w:pPr>
            <w:r>
              <w:rPr>
                <w:rFonts w:ascii="Times New Roman" w:cs="Times New Roman" w:eastAsia="Times New Roman" w:hAnsi="Times New Roman"/>
                <w:sz w:val="15"/>
                <w:szCs w:val="15"/>
                <w:b w:val="1"/>
                <w:bCs w:val="1"/>
                <w:color w:val="auto"/>
              </w:rPr>
              <w:t>Total liabilities and stockholders' equity</w:t>
            </w:r>
          </w:p>
        </w:tc>
        <w:tc>
          <w:tcPr>
            <w:tcW w:w="2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154,046</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149,989</w:t>
            </w:r>
          </w:p>
        </w:tc>
      </w:tr>
      <w:tr>
        <w:trPr>
          <w:trHeight w:val="23"/>
        </w:trPr>
        <w:tc>
          <w:tcPr>
            <w:tcW w:w="6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008" w:right="4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 and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40" w:type="dxa"/>
            <w:vAlign w:val="bottom"/>
            <w:gridSpan w:val="4"/>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2"/>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Advisory fees: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Asset-based</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17,774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51,730</w:t>
            </w:r>
          </w:p>
        </w:tc>
        <w:tc>
          <w:tcPr>
            <w:tcW w:w="0" w:type="dxa"/>
            <w:vAlign w:val="bottom"/>
          </w:tcPr>
          <w:p>
            <w:pPr>
              <w:spacing w:after="0"/>
              <w:rPr>
                <w:sz w:val="1"/>
                <w:szCs w:val="1"/>
                <w:color w:val="auto"/>
              </w:rPr>
            </w:pPr>
          </w:p>
        </w:tc>
      </w:tr>
      <w:tr>
        <w:trPr>
          <w:trHeight w:val="213"/>
        </w:trPr>
        <w:tc>
          <w:tcPr>
            <w:tcW w:w="5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Trust fees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15,787</w:t>
            </w: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1,622</w:t>
            </w:r>
          </w:p>
        </w:tc>
        <w:tc>
          <w:tcPr>
            <w:tcW w:w="0" w:type="dxa"/>
            <w:vAlign w:val="bottom"/>
          </w:tcPr>
          <w:p>
            <w:pPr>
              <w:spacing w:after="0"/>
              <w:rPr>
                <w:sz w:val="1"/>
                <w:szCs w:val="1"/>
                <w:color w:val="auto"/>
              </w:rPr>
            </w:pPr>
          </w:p>
        </w:tc>
      </w:tr>
      <w:tr>
        <w:trPr>
          <w:trHeight w:val="207"/>
        </w:trPr>
        <w:tc>
          <w:tcPr>
            <w:tcW w:w="514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6"/>
                <w:szCs w:val="16"/>
                <w:color w:val="auto"/>
              </w:rPr>
              <w:t>Total revenues</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24,289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23,719</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70,661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69,139</w:t>
            </w:r>
          </w:p>
        </w:tc>
        <w:tc>
          <w:tcPr>
            <w:tcW w:w="0" w:type="dxa"/>
            <w:vAlign w:val="bottom"/>
          </w:tcPr>
          <w:p>
            <w:pPr>
              <w:spacing w:after="0"/>
              <w:rPr>
                <w:sz w:val="1"/>
                <w:szCs w:val="1"/>
                <w:color w:val="auto"/>
              </w:rPr>
            </w:pPr>
          </w:p>
        </w:tc>
      </w:tr>
      <w:tr>
        <w:trPr>
          <w:trHeight w:val="19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Employee compensation and benefits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13,572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41,921</w:t>
            </w: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Sales and marketing</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2,027</w:t>
            </w:r>
          </w:p>
        </w:tc>
        <w:tc>
          <w:tcPr>
            <w:tcW w:w="0" w:type="dxa"/>
            <w:vAlign w:val="bottom"/>
          </w:tcPr>
          <w:p>
            <w:pPr>
              <w:spacing w:after="0"/>
              <w:rPr>
                <w:sz w:val="1"/>
                <w:szCs w:val="1"/>
                <w:color w:val="auto"/>
              </w:rPr>
            </w:pPr>
          </w:p>
        </w:tc>
      </w:tr>
      <w:tr>
        <w:trPr>
          <w:trHeight w:val="213"/>
        </w:trPr>
        <w:tc>
          <w:tcPr>
            <w:tcW w:w="5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Westwood funds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2,374</w:t>
            </w: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Information technology</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7,212</w:t>
            </w:r>
          </w:p>
        </w:tc>
        <w:tc>
          <w:tcPr>
            <w:tcW w:w="0" w:type="dxa"/>
            <w:vAlign w:val="bottom"/>
          </w:tcPr>
          <w:p>
            <w:pPr>
              <w:spacing w:after="0"/>
              <w:rPr>
                <w:sz w:val="1"/>
                <w:szCs w:val="1"/>
                <w:color w:val="auto"/>
              </w:rPr>
            </w:pPr>
          </w:p>
        </w:tc>
      </w:tr>
      <w:tr>
        <w:trPr>
          <w:trHeight w:val="213"/>
        </w:trPr>
        <w:tc>
          <w:tcPr>
            <w:tcW w:w="5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Professional services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4,751</w:t>
            </w: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8,903</w:t>
            </w:r>
          </w:p>
        </w:tc>
        <w:tc>
          <w:tcPr>
            <w:tcW w:w="0" w:type="dxa"/>
            <w:vAlign w:val="bottom"/>
          </w:tcPr>
          <w:p>
            <w:pPr>
              <w:spacing w:after="0"/>
              <w:rPr>
                <w:sz w:val="1"/>
                <w:szCs w:val="1"/>
                <w:color w:val="auto"/>
              </w:rPr>
            </w:pPr>
          </w:p>
        </w:tc>
      </w:tr>
      <w:tr>
        <w:trPr>
          <w:trHeight w:val="213"/>
        </w:trPr>
        <w:tc>
          <w:tcPr>
            <w:tcW w:w="5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from change in fair value of contingent consideration</w:t>
            </w:r>
          </w:p>
        </w:tc>
        <w:tc>
          <w:tcPr>
            <w:tcW w:w="2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3,682</w:t>
            </w:r>
          </w:p>
        </w:tc>
        <w:tc>
          <w:tcPr>
            <w:tcW w:w="0" w:type="dxa"/>
            <w:vAlign w:val="bottom"/>
          </w:tcPr>
          <w:p>
            <w:pPr>
              <w:spacing w:after="0"/>
              <w:rPr>
                <w:sz w:val="1"/>
                <w:szCs w:val="1"/>
                <w:color w:val="auto"/>
              </w:rPr>
            </w:pPr>
          </w:p>
        </w:tc>
      </w:tr>
      <w:tr>
        <w:trPr>
          <w:trHeight w:val="212"/>
        </w:trPr>
        <w:tc>
          <w:tcPr>
            <w:tcW w:w="5140" w:type="dxa"/>
            <w:vAlign w:val="bottom"/>
            <w:tcBorders>
              <w:top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Total expenses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22,280</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24,213</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67,852</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70,870</w:t>
            </w:r>
          </w:p>
        </w:tc>
        <w:tc>
          <w:tcPr>
            <w:tcW w:w="0" w:type="dxa"/>
            <w:vAlign w:val="bottom"/>
          </w:tcPr>
          <w:p>
            <w:pPr>
              <w:spacing w:after="0"/>
              <w:rPr>
                <w:sz w:val="1"/>
                <w:szCs w:val="1"/>
                <w:color w:val="auto"/>
              </w:rPr>
            </w:pPr>
          </w:p>
        </w:tc>
      </w:tr>
      <w:tr>
        <w:trPr>
          <w:trHeight w:val="207"/>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operating income (loss)</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(1,731)</w:t>
            </w:r>
          </w:p>
        </w:tc>
        <w:tc>
          <w:tcPr>
            <w:tcW w:w="0" w:type="dxa"/>
            <w:vAlign w:val="bottom"/>
          </w:tcPr>
          <w:p>
            <w:pPr>
              <w:spacing w:after="0"/>
              <w:rPr>
                <w:sz w:val="1"/>
                <w:szCs w:val="1"/>
                <w:color w:val="auto"/>
              </w:rPr>
            </w:pPr>
          </w:p>
        </w:tc>
      </w:tr>
      <w:tr>
        <w:trPr>
          <w:trHeight w:val="145"/>
        </w:trPr>
        <w:tc>
          <w:tcPr>
            <w:tcW w:w="5140" w:type="dxa"/>
            <w:vAlign w:val="bottom"/>
            <w:shd w:val="clear" w:color="auto" w:fill="CCEEFF"/>
          </w:tcPr>
          <w:p>
            <w:pPr>
              <w:ind w:left="360"/>
              <w:spacing w:after="0" w:line="145" w:lineRule="exact"/>
              <w:rPr>
                <w:sz w:val="20"/>
                <w:szCs w:val="20"/>
                <w:color w:val="auto"/>
              </w:rPr>
            </w:pPr>
            <w:r>
              <w:rPr>
                <w:rFonts w:ascii="Times New Roman" w:cs="Times New Roman" w:eastAsia="Times New Roman" w:hAnsi="Times New Roman"/>
                <w:sz w:val="16"/>
                <w:szCs w:val="16"/>
                <w:color w:val="auto"/>
              </w:rPr>
              <w:t>Net change in unrealized appreciation (depreciation) on private</w:t>
            </w:r>
          </w:p>
        </w:tc>
        <w:tc>
          <w:tcPr>
            <w:tcW w:w="24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1,932</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1,932</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investments</w:t>
            </w:r>
          </w:p>
        </w:tc>
        <w:tc>
          <w:tcPr>
            <w:tcW w:w="2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investment income</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1,590</w:t>
            </w: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income</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0" w:type="dxa"/>
            <w:vAlign w:val="bottom"/>
          </w:tcPr>
          <w:p>
            <w:pPr>
              <w:spacing w:after="0"/>
              <w:rPr>
                <w:sz w:val="1"/>
                <w:szCs w:val="1"/>
                <w:color w:val="auto"/>
              </w:rPr>
            </w:pPr>
          </w:p>
        </w:tc>
      </w:tr>
      <w:tr>
        <w:trPr>
          <w:trHeight w:val="207"/>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6,752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0" w:type="dxa"/>
            <w:vAlign w:val="bottom"/>
          </w:tcPr>
          <w:p>
            <w:pPr>
              <w:spacing w:after="0"/>
              <w:rPr>
                <w:sz w:val="1"/>
                <w:szCs w:val="1"/>
                <w:color w:val="auto"/>
              </w:rPr>
            </w:pPr>
          </w:p>
        </w:tc>
      </w:tr>
      <w:tr>
        <w:trPr>
          <w:trHeight w:val="212"/>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tax provision</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0" w:type="dxa"/>
            <w:vAlign w:val="bottom"/>
          </w:tcPr>
          <w:p>
            <w:pPr>
              <w:spacing w:after="0"/>
              <w:rPr>
                <w:sz w:val="1"/>
                <w:szCs w:val="1"/>
                <w:color w:val="auto"/>
              </w:rPr>
            </w:pPr>
          </w:p>
        </w:tc>
      </w:tr>
      <w:tr>
        <w:trPr>
          <w:trHeight w:val="183"/>
        </w:trPr>
        <w:tc>
          <w:tcPr>
            <w:tcW w:w="514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Net income</w:t>
            </w:r>
          </w:p>
        </w:tc>
        <w:tc>
          <w:tcPr>
            <w:tcW w:w="240" w:type="dxa"/>
            <w:vAlign w:val="bottom"/>
            <w:tcBorders>
              <w:bottom w:val="single" w:sz="8" w:color="auto"/>
            </w:tcBorders>
          </w:tcPr>
          <w:p>
            <w:pPr>
              <w:jc w:val="right"/>
              <w:ind w:right="5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3,729</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5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159</w:t>
            </w:r>
          </w:p>
        </w:tc>
        <w:tc>
          <w:tcPr>
            <w:tcW w:w="80" w:type="dxa"/>
            <w:vAlign w:val="bottom"/>
          </w:tcPr>
          <w:p>
            <w:pPr>
              <w:spacing w:after="0"/>
              <w:rPr>
                <w:sz w:val="15"/>
                <w:szCs w:val="15"/>
                <w:color w:val="auto"/>
              </w:rPr>
            </w:pPr>
          </w:p>
        </w:tc>
        <w:tc>
          <w:tcPr>
            <w:tcW w:w="280" w:type="dxa"/>
            <w:vAlign w:val="bottom"/>
            <w:tcBorders>
              <w:bottom w:val="single" w:sz="8" w:color="auto"/>
            </w:tcBorders>
          </w:tcPr>
          <w:p>
            <w:pPr>
              <w:jc w:val="right"/>
              <w:ind w:right="9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5,237</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5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income (loss) attributable to noncontrolling interest</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07"/>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attributable to Westwood Holdings Group, Inc.</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214"/>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shares outstanding:</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8,418,174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8,123,714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8,359,584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8,140,664</w:t>
            </w:r>
          </w:p>
        </w:tc>
        <w:tc>
          <w:tcPr>
            <w:tcW w:w="0" w:type="dxa"/>
            <w:vAlign w:val="bottom"/>
          </w:tcPr>
          <w:p>
            <w:pPr>
              <w:spacing w:after="0"/>
              <w:rPr>
                <w:sz w:val="1"/>
                <w:szCs w:val="1"/>
                <w:color w:val="auto"/>
              </w:rPr>
            </w:pPr>
          </w:p>
        </w:tc>
      </w:tr>
      <w:tr>
        <w:trPr>
          <w:trHeight w:val="210"/>
        </w:trPr>
        <w:tc>
          <w:tcPr>
            <w:tcW w:w="5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8,941,347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8,488,372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8,846,168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8,448,629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For the </w:t>
      </w:r>
      <w:r>
        <w:rPr>
          <w:rFonts w:ascii="Times New Roman" w:cs="Times New Roman" w:eastAsia="Times New Roman" w:hAnsi="Times New Roman"/>
          <w:sz w:val="16"/>
          <w:szCs w:val="16"/>
          <w:b w:val="1"/>
          <w:bCs w:val="1"/>
          <w:color w:val="auto"/>
        </w:rPr>
        <w:t>Three Months Ended</w:t>
      </w:r>
      <w:r>
        <w:rPr>
          <w:rFonts w:ascii="Times New Roman" w:cs="Times New Roman" w:eastAsia="Times New Roman" w:hAnsi="Times New Roman"/>
          <w:sz w:val="18"/>
          <w:szCs w:val="18"/>
          <w:b w:val="1"/>
          <w:bCs w:val="1"/>
          <w:color w:val="auto"/>
        </w:rPr>
        <w:t xml:space="preserve"> September 30,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880" w:type="dxa"/>
            <w:vAlign w:val="bottom"/>
          </w:tcPr>
          <w:p>
            <w:pPr>
              <w:spacing w:after="0"/>
              <w:rPr>
                <w:sz w:val="17"/>
                <w:szCs w:val="17"/>
                <w:color w:val="auto"/>
              </w:rPr>
            </w:pPr>
          </w:p>
        </w:tc>
        <w:tc>
          <w:tcPr>
            <w:tcW w:w="2180" w:type="dxa"/>
            <w:vAlign w:val="bottom"/>
            <w:gridSpan w:val="5"/>
          </w:tcPr>
          <w:p>
            <w:pPr>
              <w:ind w:left="360"/>
              <w:spacing w:after="0"/>
              <w:rPr>
                <w:sz w:val="20"/>
                <w:szCs w:val="20"/>
                <w:color w:val="auto"/>
              </w:rPr>
            </w:pPr>
            <w:r>
              <w:rPr>
                <w:rFonts w:ascii="Times New Roman" w:cs="Times New Roman" w:eastAsia="Times New Roman" w:hAnsi="Times New Roman"/>
                <w:sz w:val="15"/>
                <w:szCs w:val="15"/>
                <w:b w:val="1"/>
                <w:bCs w:val="1"/>
                <w:color w:val="auto"/>
              </w:rPr>
              <w:t>Common Stock, Par</w:t>
            </w:r>
          </w:p>
        </w:tc>
        <w:tc>
          <w:tcPr>
            <w:tcW w:w="120" w:type="dxa"/>
            <w:vAlign w:val="bottom"/>
          </w:tcPr>
          <w:p>
            <w:pPr>
              <w:spacing w:after="0"/>
              <w:rPr>
                <w:sz w:val="17"/>
                <w:szCs w:val="17"/>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40" w:type="dxa"/>
            <w:vAlign w:val="bottom"/>
          </w:tcPr>
          <w:p>
            <w:pPr>
              <w:spacing w:after="0"/>
              <w:rPr>
                <w:sz w:val="17"/>
                <w:szCs w:val="17"/>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7"/>
              </w:rPr>
              <w:t>Treasury</w:t>
            </w: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Noncontrolling</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80" w:type="dxa"/>
            <w:vAlign w:val="bottom"/>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88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40" w:type="dxa"/>
            <w:vAlign w:val="bottom"/>
          </w:tcPr>
          <w:p>
            <w:pPr>
              <w:spacing w:after="0"/>
              <w:rPr>
                <w:sz w:val="18"/>
                <w:szCs w:val="18"/>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16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Paid-In Capital</w:t>
            </w:r>
          </w:p>
        </w:tc>
        <w:tc>
          <w:tcPr>
            <w:tcW w:w="14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Stock</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Retained Earnings</w:t>
            </w:r>
          </w:p>
        </w:tc>
        <w:tc>
          <w:tcPr>
            <w:tcW w:w="16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Interest</w:t>
            </w:r>
          </w:p>
        </w:tc>
        <w:tc>
          <w:tcPr>
            <w:tcW w:w="220" w:type="dxa"/>
            <w:vAlign w:val="bottom"/>
          </w:tcPr>
          <w:p>
            <w:pPr>
              <w:spacing w:after="0"/>
              <w:rPr>
                <w:sz w:val="18"/>
                <w:szCs w:val="18"/>
                <w:color w:val="auto"/>
              </w:rPr>
            </w:pPr>
          </w:p>
        </w:tc>
        <w:tc>
          <w:tcPr>
            <w:tcW w:w="740" w:type="dxa"/>
            <w:vAlign w:val="bottom"/>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13"/>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June 30, 2025</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9,408,125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203,594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(89,612)</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122,358</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3,729</w:t>
            </w:r>
          </w:p>
        </w:tc>
        <w:tc>
          <w:tcPr>
            <w:tcW w:w="0" w:type="dxa"/>
            <w:vAlign w:val="bottom"/>
          </w:tcPr>
          <w:p>
            <w:pPr>
              <w:spacing w:after="0"/>
              <w:rPr>
                <w:sz w:val="1"/>
                <w:szCs w:val="1"/>
                <w:color w:val="auto"/>
              </w:rPr>
            </w:pPr>
          </w:p>
        </w:tc>
      </w:tr>
      <w:tr>
        <w:trPr>
          <w:trHeight w:val="219"/>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($0.15 per share)</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0" w:type="dxa"/>
            <w:vAlign w:val="bottom"/>
          </w:tcPr>
          <w:p>
            <w:pPr>
              <w:spacing w:after="0"/>
              <w:rPr>
                <w:sz w:val="1"/>
                <w:szCs w:val="1"/>
                <w:color w:val="auto"/>
              </w:rPr>
            </w:pPr>
          </w:p>
        </w:tc>
      </w:tr>
      <w:tr>
        <w:trPr>
          <w:trHeight w:val="235"/>
        </w:trPr>
        <w:tc>
          <w:tcPr>
            <w:tcW w:w="2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September 30, 2025</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9,408,125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204,897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(89,612)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125,979</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4"/>
        </w:trPr>
        <w:tc>
          <w:tcPr>
            <w:tcW w:w="2880" w:type="dxa"/>
            <w:vAlign w:val="bottom"/>
          </w:tcPr>
          <w:p>
            <w:pPr>
              <w:spacing w:after="0"/>
              <w:rPr>
                <w:sz w:val="24"/>
                <w:szCs w:val="24"/>
                <w:color w:val="auto"/>
              </w:rPr>
            </w:pPr>
          </w:p>
        </w:tc>
        <w:tc>
          <w:tcPr>
            <w:tcW w:w="2180" w:type="dxa"/>
            <w:vAlign w:val="bottom"/>
            <w:gridSpan w:val="5"/>
          </w:tcPr>
          <w:p>
            <w:pPr>
              <w:ind w:left="360"/>
              <w:spacing w:after="0"/>
              <w:rPr>
                <w:sz w:val="20"/>
                <w:szCs w:val="20"/>
                <w:color w:val="auto"/>
              </w:rPr>
            </w:pPr>
            <w:r>
              <w:rPr>
                <w:rFonts w:ascii="Times New Roman" w:cs="Times New Roman" w:eastAsia="Times New Roman" w:hAnsi="Times New Roman"/>
                <w:sz w:val="15"/>
                <w:szCs w:val="15"/>
                <w:b w:val="1"/>
                <w:bCs w:val="1"/>
                <w:color w:val="auto"/>
              </w:rPr>
              <w:t>Common Stock, Par</w:t>
            </w:r>
          </w:p>
        </w:tc>
        <w:tc>
          <w:tcPr>
            <w:tcW w:w="120" w:type="dxa"/>
            <w:vAlign w:val="bottom"/>
          </w:tcPr>
          <w:p>
            <w:pPr>
              <w:spacing w:after="0"/>
              <w:rPr>
                <w:sz w:val="24"/>
                <w:szCs w:val="24"/>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40" w:type="dxa"/>
            <w:vAlign w:val="bottom"/>
          </w:tcPr>
          <w:p>
            <w:pPr>
              <w:spacing w:after="0"/>
              <w:rPr>
                <w:sz w:val="24"/>
                <w:szCs w:val="24"/>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7"/>
              </w:rPr>
              <w:t>Treasury</w:t>
            </w: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Noncontrolling</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880" w:type="dxa"/>
            <w:vAlign w:val="bottom"/>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88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40" w:type="dxa"/>
            <w:vAlign w:val="bottom"/>
          </w:tcPr>
          <w:p>
            <w:pPr>
              <w:spacing w:after="0"/>
              <w:rPr>
                <w:sz w:val="18"/>
                <w:szCs w:val="18"/>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16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Paid-In Capital</w:t>
            </w:r>
          </w:p>
        </w:tc>
        <w:tc>
          <w:tcPr>
            <w:tcW w:w="14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Stock</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Retained Earnings</w:t>
            </w:r>
          </w:p>
        </w:tc>
        <w:tc>
          <w:tcPr>
            <w:tcW w:w="16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Interest</w:t>
            </w:r>
          </w:p>
        </w:tc>
        <w:tc>
          <w:tcPr>
            <w:tcW w:w="220" w:type="dxa"/>
            <w:vAlign w:val="bottom"/>
          </w:tcPr>
          <w:p>
            <w:pPr>
              <w:spacing w:after="0"/>
              <w:rPr>
                <w:sz w:val="18"/>
                <w:szCs w:val="18"/>
                <w:color w:val="auto"/>
              </w:rPr>
            </w:pPr>
          </w:p>
        </w:tc>
        <w:tc>
          <w:tcPr>
            <w:tcW w:w="740" w:type="dxa"/>
            <w:vAlign w:val="bottom"/>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13"/>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June 30, 2024</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9,293,447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202,064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(88,005)</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120,466</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219"/>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($0.15 per share)</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1,409</w:t>
            </w:r>
          </w:p>
        </w:tc>
        <w:tc>
          <w:tcPr>
            <w:tcW w:w="0" w:type="dxa"/>
            <w:vAlign w:val="bottom"/>
          </w:tcPr>
          <w:p>
            <w:pPr>
              <w:spacing w:after="0"/>
              <w:rPr>
                <w:sz w:val="1"/>
                <w:szCs w:val="1"/>
                <w:color w:val="auto"/>
              </w:rPr>
            </w:pPr>
          </w:p>
        </w:tc>
      </w:tr>
      <w:tr>
        <w:trPr>
          <w:trHeight w:val="219"/>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treasury stock</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(21,879)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0" w:type="dxa"/>
            <w:vAlign w:val="bottom"/>
          </w:tcPr>
          <w:p>
            <w:pPr>
              <w:spacing w:after="0"/>
              <w:rPr>
                <w:sz w:val="1"/>
                <w:szCs w:val="1"/>
                <w:color w:val="auto"/>
              </w:rPr>
            </w:pPr>
          </w:p>
        </w:tc>
      </w:tr>
      <w:tr>
        <w:trPr>
          <w:trHeight w:val="207"/>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September 30, 2024</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9,271,568</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202,247</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(88,278)</w:t>
            </w:r>
          </w:p>
        </w:tc>
        <w:tc>
          <w:tcPr>
            <w:tcW w:w="12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4,293</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1,999</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120,384</w:t>
            </w:r>
          </w:p>
        </w:tc>
        <w:tc>
          <w:tcPr>
            <w:tcW w:w="0" w:type="dxa"/>
            <w:vAlign w:val="bottom"/>
          </w:tcPr>
          <w:p>
            <w:pPr>
              <w:spacing w:after="0"/>
              <w:rPr>
                <w:sz w:val="1"/>
                <w:szCs w:val="1"/>
                <w:color w:val="auto"/>
              </w:rPr>
            </w:pPr>
          </w:p>
        </w:tc>
      </w:tr>
      <w:tr>
        <w:trPr>
          <w:trHeight w:val="23"/>
        </w:trPr>
        <w:tc>
          <w:tcPr>
            <w:tcW w:w="28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51" w:right="3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For the </w:t>
      </w:r>
      <w:r>
        <w:rPr>
          <w:rFonts w:ascii="Times New Roman" w:cs="Times New Roman" w:eastAsia="Times New Roman" w:hAnsi="Times New Roman"/>
          <w:sz w:val="16"/>
          <w:szCs w:val="16"/>
          <w:b w:val="1"/>
          <w:bCs w:val="1"/>
          <w:color w:val="auto"/>
        </w:rPr>
        <w:t>Nine Months Ended</w:t>
      </w:r>
      <w:r>
        <w:rPr>
          <w:rFonts w:ascii="Times New Roman" w:cs="Times New Roman" w:eastAsia="Times New Roman" w:hAnsi="Times New Roman"/>
          <w:sz w:val="18"/>
          <w:szCs w:val="18"/>
          <w:b w:val="1"/>
          <w:bCs w:val="1"/>
          <w:color w:val="auto"/>
        </w:rPr>
        <w:t xml:space="preserve"> September 30,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60" w:type="dxa"/>
            <w:vAlign w:val="bottom"/>
            <w:gridSpan w:val="7"/>
          </w:tcPr>
          <w:p>
            <w:pPr>
              <w:ind w:left="360"/>
              <w:spacing w:after="0"/>
              <w:rPr>
                <w:sz w:val="20"/>
                <w:szCs w:val="20"/>
                <w:color w:val="auto"/>
              </w:rPr>
            </w:pPr>
            <w:r>
              <w:rPr>
                <w:rFonts w:ascii="Times New Roman" w:cs="Times New Roman" w:eastAsia="Times New Roman" w:hAnsi="Times New Roman"/>
                <w:sz w:val="15"/>
                <w:szCs w:val="15"/>
                <w:b w:val="1"/>
                <w:bCs w:val="1"/>
                <w:color w:val="auto"/>
              </w:rPr>
              <w:t>Common Stock, Par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Treasury</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Noncontrolling</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5"/>
                <w:szCs w:val="15"/>
                <w:b w:val="1"/>
                <w:bCs w:val="1"/>
                <w:color w:val="auto"/>
              </w:rPr>
              <w:t>Paid-In Capital</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Stock</w:t>
            </w:r>
          </w:p>
        </w:tc>
        <w:tc>
          <w:tcPr>
            <w:tcW w:w="20" w:type="dxa"/>
            <w:vAlign w:val="bottom"/>
          </w:tcPr>
          <w:p>
            <w:pPr>
              <w:spacing w:after="0"/>
              <w:rPr>
                <w:sz w:val="17"/>
                <w:szCs w:val="17"/>
                <w:color w:val="auto"/>
              </w:rPr>
            </w:pPr>
          </w:p>
        </w:tc>
        <w:tc>
          <w:tcPr>
            <w:tcW w:w="1460" w:type="dxa"/>
            <w:vAlign w:val="bottom"/>
            <w:gridSpan w:val="4"/>
          </w:tcPr>
          <w:p>
            <w:pPr>
              <w:ind w:left="60"/>
              <w:spacing w:after="0"/>
              <w:rPr>
                <w:sz w:val="20"/>
                <w:szCs w:val="20"/>
                <w:color w:val="auto"/>
              </w:rPr>
            </w:pPr>
            <w:r>
              <w:rPr>
                <w:rFonts w:ascii="Times New Roman" w:cs="Times New Roman" w:eastAsia="Times New Roman" w:hAnsi="Times New Roman"/>
                <w:sz w:val="15"/>
                <w:szCs w:val="15"/>
                <w:b w:val="1"/>
                <w:bCs w:val="1"/>
                <w:color w:val="auto"/>
              </w:rPr>
              <w:t>Retained Earnings</w:t>
            </w:r>
          </w:p>
        </w:tc>
        <w:tc>
          <w:tcPr>
            <w:tcW w:w="160" w:type="dxa"/>
            <w:vAlign w:val="bottom"/>
          </w:tcPr>
          <w:p>
            <w:pPr>
              <w:spacing w:after="0"/>
              <w:rPr>
                <w:sz w:val="17"/>
                <w:szCs w:val="17"/>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9"/>
              </w:rPr>
              <w:t>Interest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10"/>
        </w:trPr>
        <w:tc>
          <w:tcPr>
            <w:tcW w:w="28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2024</w:t>
            </w:r>
          </w:p>
        </w:tc>
        <w:tc>
          <w:tcPr>
            <w:tcW w:w="1060" w:type="dxa"/>
            <w:vAlign w:val="bottom"/>
            <w:tcBorders>
              <w:top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9,234,575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202,239</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(88,277)</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2,041</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122,332</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88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restricted stock, net of</w:t>
            </w:r>
          </w:p>
        </w:tc>
        <w:tc>
          <w:tcPr>
            <w:tcW w:w="1060" w:type="dxa"/>
            <w:vAlign w:val="bottom"/>
            <w:gridSpan w:val="2"/>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254,737</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2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forfeitures</w:t>
            </w:r>
          </w:p>
        </w:tc>
        <w:tc>
          <w:tcPr>
            <w:tcW w:w="10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3"/>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Dividends declared ($0.45 per share)</w:t>
            </w:r>
          </w:p>
        </w:tc>
        <w:tc>
          <w:tcPr>
            <w:tcW w:w="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(4,180)</w:t>
            </w:r>
          </w:p>
        </w:tc>
        <w:tc>
          <w:tcPr>
            <w:tcW w:w="0" w:type="dxa"/>
            <w:vAlign w:val="bottom"/>
          </w:tcPr>
          <w:p>
            <w:pPr>
              <w:spacing w:after="0"/>
              <w:rPr>
                <w:sz w:val="1"/>
                <w:szCs w:val="1"/>
                <w:color w:val="auto"/>
              </w:rPr>
            </w:pPr>
          </w:p>
        </w:tc>
      </w:tr>
      <w:tr>
        <w:trPr>
          <w:trHeight w:val="219"/>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8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Restricted stock returned for payment of</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(81,187)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(1,335)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2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(1,335)</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taxes</w:t>
            </w:r>
          </w:p>
        </w:tc>
        <w:tc>
          <w:tcPr>
            <w:tcW w:w="1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8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September 30, 2025</w:t>
            </w:r>
          </w:p>
        </w:tc>
        <w:tc>
          <w:tcPr>
            <w:tcW w:w="1060" w:type="dxa"/>
            <w:vAlign w:val="bottom"/>
            <w:tcBorders>
              <w:top w:val="single" w:sz="8" w:color="auto"/>
              <w:bottom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9,408,125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204,897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2,081</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125,979</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7"/>
        </w:trPr>
        <w:tc>
          <w:tcPr>
            <w:tcW w:w="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gridSpan w:val="7"/>
          </w:tcPr>
          <w:p>
            <w:pPr>
              <w:ind w:left="360"/>
              <w:spacing w:after="0"/>
              <w:rPr>
                <w:sz w:val="20"/>
                <w:szCs w:val="20"/>
                <w:color w:val="auto"/>
              </w:rPr>
            </w:pPr>
            <w:r>
              <w:rPr>
                <w:rFonts w:ascii="Times New Roman" w:cs="Times New Roman" w:eastAsia="Times New Roman" w:hAnsi="Times New Roman"/>
                <w:sz w:val="15"/>
                <w:szCs w:val="15"/>
                <w:b w:val="1"/>
                <w:bCs w:val="1"/>
                <w:color w:val="auto"/>
              </w:rPr>
              <w:t>Common Stock, Par</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7"/>
              </w:rPr>
              <w:t>Treasury</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Noncontrolling</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5"/>
                <w:szCs w:val="15"/>
                <w:b w:val="1"/>
                <w:bCs w:val="1"/>
                <w:color w:val="auto"/>
              </w:rPr>
              <w:t>Paid-In Capital</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Stock</w:t>
            </w:r>
          </w:p>
        </w:tc>
        <w:tc>
          <w:tcPr>
            <w:tcW w:w="20" w:type="dxa"/>
            <w:vAlign w:val="bottom"/>
          </w:tcPr>
          <w:p>
            <w:pPr>
              <w:spacing w:after="0"/>
              <w:rPr>
                <w:sz w:val="17"/>
                <w:szCs w:val="17"/>
                <w:color w:val="auto"/>
              </w:rPr>
            </w:pPr>
          </w:p>
        </w:tc>
        <w:tc>
          <w:tcPr>
            <w:tcW w:w="1460" w:type="dxa"/>
            <w:vAlign w:val="bottom"/>
            <w:gridSpan w:val="4"/>
          </w:tcPr>
          <w:p>
            <w:pPr>
              <w:ind w:left="80"/>
              <w:spacing w:after="0"/>
              <w:rPr>
                <w:sz w:val="20"/>
                <w:szCs w:val="20"/>
                <w:color w:val="auto"/>
              </w:rPr>
            </w:pPr>
            <w:r>
              <w:rPr>
                <w:rFonts w:ascii="Times New Roman" w:cs="Times New Roman" w:eastAsia="Times New Roman" w:hAnsi="Times New Roman"/>
                <w:sz w:val="15"/>
                <w:szCs w:val="15"/>
                <w:b w:val="1"/>
                <w:bCs w:val="1"/>
                <w:color w:val="auto"/>
              </w:rPr>
              <w:t>Retained Earnings</w:t>
            </w:r>
          </w:p>
        </w:tc>
        <w:tc>
          <w:tcPr>
            <w:tcW w:w="160" w:type="dxa"/>
            <w:vAlign w:val="bottom"/>
          </w:tcPr>
          <w:p>
            <w:pPr>
              <w:spacing w:after="0"/>
              <w:rPr>
                <w:sz w:val="17"/>
                <w:szCs w:val="17"/>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Interest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2023</w:t>
            </w:r>
          </w:p>
        </w:tc>
        <w:tc>
          <w:tcPr>
            <w:tcW w:w="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9,140,760</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201,622</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(85,990)</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4,650</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2,045</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28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restricted stock, net of</w:t>
            </w:r>
          </w:p>
        </w:tc>
        <w:tc>
          <w:tcPr>
            <w:tcW w:w="10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317,336</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forfeitures</w:t>
            </w:r>
          </w:p>
        </w:tc>
        <w:tc>
          <w:tcPr>
            <w:tcW w:w="10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3"/>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declared ($0.45 per share)</w:t>
            </w:r>
          </w:p>
        </w:tc>
        <w:tc>
          <w:tcPr>
            <w:tcW w:w="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treasury stock</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(108,225)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28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Restricted stock returned for payment of</w:t>
            </w:r>
          </w:p>
        </w:tc>
        <w:tc>
          <w:tcPr>
            <w:tcW w:w="10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(78,303)</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taxes</w:t>
            </w:r>
          </w:p>
        </w:tc>
        <w:tc>
          <w:tcPr>
            <w:tcW w:w="10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3"/>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September 30, 2024</w:t>
            </w:r>
          </w:p>
        </w:tc>
        <w:tc>
          <w:tcPr>
            <w:tcW w:w="2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9,271,568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202,247</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(88,278)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4,293</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120,384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27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20" w:type="dxa"/>
            <w:vAlign w:val="bottom"/>
          </w:tcPr>
          <w:p>
            <w:pPr>
              <w:spacing w:after="0"/>
              <w:rPr>
                <w:sz w:val="16"/>
                <w:szCs w:val="16"/>
                <w:color w:val="auto"/>
              </w:rPr>
            </w:pPr>
          </w:p>
        </w:tc>
      </w:tr>
      <w:tr>
        <w:trPr>
          <w:trHeight w:val="23"/>
        </w:trPr>
        <w:tc>
          <w:tcPr>
            <w:tcW w:w="79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90"/>
        </w:trPr>
        <w:tc>
          <w:tcPr>
            <w:tcW w:w="79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r>
      <w:tr>
        <w:trPr>
          <w:trHeight w:val="18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10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r>
      <w:tr>
        <w:trPr>
          <w:trHeight w:val="200"/>
        </w:trPr>
        <w:tc>
          <w:tcPr>
            <w:tcW w:w="794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Net income</w:t>
            </w:r>
          </w:p>
        </w:tc>
        <w:tc>
          <w:tcPr>
            <w:tcW w:w="1020" w:type="dxa"/>
            <w:vAlign w:val="bottom"/>
          </w:tcPr>
          <w:p>
            <w:pPr>
              <w:jc w:val="right"/>
              <w:ind w:right="845"/>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5,237</w:t>
            </w:r>
          </w:p>
        </w:tc>
        <w:tc>
          <w:tcPr>
            <w:tcW w:w="100" w:type="dxa"/>
            <w:vAlign w:val="bottom"/>
          </w:tcPr>
          <w:p>
            <w:pPr>
              <w:spacing w:after="0"/>
              <w:rPr>
                <w:sz w:val="17"/>
                <w:szCs w:val="17"/>
                <w:color w:val="auto"/>
              </w:rPr>
            </w:pPr>
          </w:p>
        </w:tc>
        <w:tc>
          <w:tcPr>
            <w:tcW w:w="1080" w:type="dxa"/>
            <w:vAlign w:val="bottom"/>
          </w:tcPr>
          <w:p>
            <w:pPr>
              <w:jc w:val="right"/>
              <w:ind w:right="904"/>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w:t>
            </w:r>
          </w:p>
        </w:tc>
      </w:tr>
      <w:tr>
        <w:trPr>
          <w:trHeight w:val="205"/>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Adjustments to reconcile net income to net cash provided by operating activities:</w:t>
            </w: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00"/>
        </w:trPr>
        <w:tc>
          <w:tcPr>
            <w:tcW w:w="794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Depreciation</w:t>
            </w:r>
          </w:p>
        </w:tc>
        <w:tc>
          <w:tcPr>
            <w:tcW w:w="10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376</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464</w:t>
            </w:r>
          </w:p>
        </w:tc>
      </w:tr>
      <w:tr>
        <w:trPr>
          <w:trHeight w:val="205"/>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Amortization of intangible assets</w:t>
            </w: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3,143</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3,085</w:t>
            </w:r>
          </w:p>
        </w:tc>
      </w:tr>
      <w:tr>
        <w:trPr>
          <w:trHeight w:val="200"/>
        </w:trPr>
        <w:tc>
          <w:tcPr>
            <w:tcW w:w="794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Net change in unrealized (appreciation) depreciation on investments</w:t>
            </w:r>
          </w:p>
        </w:tc>
        <w:tc>
          <w:tcPr>
            <w:tcW w:w="10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(1,840)</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(917)</w:t>
            </w:r>
          </w:p>
        </w:tc>
      </w:tr>
      <w:tr>
        <w:trPr>
          <w:trHeight w:val="205"/>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3,925</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4,321</w:t>
            </w:r>
          </w:p>
        </w:tc>
      </w:tr>
      <w:tr>
        <w:trPr>
          <w:trHeight w:val="200"/>
        </w:trPr>
        <w:tc>
          <w:tcPr>
            <w:tcW w:w="794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Deferred income taxes</w:t>
            </w:r>
          </w:p>
        </w:tc>
        <w:tc>
          <w:tcPr>
            <w:tcW w:w="10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(312)</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(864)</w:t>
            </w:r>
          </w:p>
        </w:tc>
      </w:tr>
      <w:tr>
        <w:trPr>
          <w:trHeight w:val="205"/>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Non-cash lease expense</w:t>
            </w: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851</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831</w:t>
            </w:r>
          </w:p>
        </w:tc>
      </w:tr>
      <w:tr>
        <w:trPr>
          <w:trHeight w:val="200"/>
        </w:trPr>
        <w:tc>
          <w:tcPr>
            <w:tcW w:w="794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Fair value change of contingent consideration</w:t>
            </w:r>
          </w:p>
        </w:tc>
        <w:tc>
          <w:tcPr>
            <w:tcW w:w="102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3,682</w:t>
            </w:r>
          </w:p>
        </w:tc>
      </w:tr>
      <w:tr>
        <w:trPr>
          <w:trHeight w:val="205"/>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Change in operating assets and liabilities:</w:t>
            </w: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00"/>
        </w:trPr>
        <w:tc>
          <w:tcPr>
            <w:tcW w:w="794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Accounts receivable</w:t>
            </w:r>
          </w:p>
        </w:tc>
        <w:tc>
          <w:tcPr>
            <w:tcW w:w="10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w:t>
            </w:r>
          </w:p>
        </w:tc>
      </w:tr>
      <w:tr>
        <w:trPr>
          <w:trHeight w:val="205"/>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Other assets</w:t>
            </w: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(867)</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(644)</w:t>
            </w:r>
          </w:p>
        </w:tc>
      </w:tr>
      <w:tr>
        <w:trPr>
          <w:trHeight w:val="200"/>
        </w:trPr>
        <w:tc>
          <w:tcPr>
            <w:tcW w:w="794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Accounts payable and accrued liabilities</w:t>
            </w:r>
          </w:p>
        </w:tc>
        <w:tc>
          <w:tcPr>
            <w:tcW w:w="10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(1,006)</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(1,192)</w:t>
            </w:r>
          </w:p>
        </w:tc>
      </w:tr>
      <w:tr>
        <w:trPr>
          <w:trHeight w:val="205"/>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Compensation and benefits payable</w:t>
            </w: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(2,115)</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(1,254)</w:t>
            </w:r>
          </w:p>
        </w:tc>
      </w:tr>
      <w:tr>
        <w:trPr>
          <w:trHeight w:val="200"/>
        </w:trPr>
        <w:tc>
          <w:tcPr>
            <w:tcW w:w="794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Income taxes receivable and payable</w:t>
            </w:r>
          </w:p>
        </w:tc>
        <w:tc>
          <w:tcPr>
            <w:tcW w:w="10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1,216</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(434)</w:t>
            </w:r>
          </w:p>
        </w:tc>
      </w:tr>
      <w:tr>
        <w:trPr>
          <w:trHeight w:val="205"/>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Other liabilities</w:t>
            </w: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(949)</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(1,041)</w:t>
            </w:r>
          </w:p>
        </w:tc>
      </w:tr>
      <w:tr>
        <w:trPr>
          <w:trHeight w:val="200"/>
        </w:trPr>
        <w:tc>
          <w:tcPr>
            <w:tcW w:w="794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Net sales of trading securities</w:t>
            </w:r>
          </w:p>
        </w:tc>
        <w:tc>
          <w:tcPr>
            <w:tcW w:w="10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7,842</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6,267</w:t>
            </w:r>
          </w:p>
        </w:tc>
      </w:tr>
      <w:tr>
        <w:trPr>
          <w:trHeight w:val="205"/>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Contingent consideration</w:t>
            </w:r>
          </w:p>
        </w:tc>
        <w:tc>
          <w:tcPr>
            <w:tcW w:w="10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(4,442)</w:t>
            </w:r>
          </w:p>
        </w:tc>
        <w:tc>
          <w:tcPr>
            <w:tcW w:w="10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4"/>
        </w:trPr>
        <w:tc>
          <w:tcPr>
            <w:tcW w:w="794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10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10,942</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12,214</w:t>
            </w:r>
          </w:p>
        </w:tc>
      </w:tr>
      <w:tr>
        <w:trPr>
          <w:trHeight w:val="185"/>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10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r>
      <w:tr>
        <w:trPr>
          <w:trHeight w:val="200"/>
        </w:trPr>
        <w:tc>
          <w:tcPr>
            <w:tcW w:w="794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Purchase of property and equipment</w:t>
            </w:r>
          </w:p>
        </w:tc>
        <w:tc>
          <w:tcPr>
            <w:tcW w:w="10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w:t>
            </w:r>
          </w:p>
        </w:tc>
      </w:tr>
      <w:tr>
        <w:trPr>
          <w:trHeight w:val="205"/>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Purchase of investments</w:t>
            </w: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(2,000)</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(1,500)</w:t>
            </w:r>
          </w:p>
        </w:tc>
      </w:tr>
      <w:tr>
        <w:trPr>
          <w:trHeight w:val="200"/>
        </w:trPr>
        <w:tc>
          <w:tcPr>
            <w:tcW w:w="7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5"/>
                <w:szCs w:val="15"/>
                <w:color w:val="auto"/>
              </w:rPr>
              <w:t>Additions to internally developed software</w:t>
            </w:r>
          </w:p>
        </w:tc>
        <w:tc>
          <w:tcPr>
            <w:tcW w:w="10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(449)</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8"/>
        </w:trPr>
        <w:tc>
          <w:tcPr>
            <w:tcW w:w="79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10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(2,531)</w:t>
            </w:r>
          </w:p>
        </w:tc>
        <w:tc>
          <w:tcPr>
            <w:tcW w:w="10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(1,534)</w:t>
            </w:r>
          </w:p>
        </w:tc>
      </w:tr>
      <w:tr>
        <w:trPr>
          <w:trHeight w:val="182"/>
        </w:trPr>
        <w:tc>
          <w:tcPr>
            <w:tcW w:w="79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03"/>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Purchases of treasury stock</w:t>
            </w:r>
          </w:p>
        </w:tc>
        <w:tc>
          <w:tcPr>
            <w:tcW w:w="10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(1,348)</w:t>
            </w:r>
          </w:p>
        </w:tc>
      </w:tr>
      <w:tr>
        <w:trPr>
          <w:trHeight w:val="200"/>
        </w:trPr>
        <w:tc>
          <w:tcPr>
            <w:tcW w:w="794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Restricted stock returned for payment of taxes</w:t>
            </w:r>
          </w:p>
        </w:tc>
        <w:tc>
          <w:tcPr>
            <w:tcW w:w="10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(1,335)</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(940)</w:t>
            </w:r>
          </w:p>
        </w:tc>
      </w:tr>
      <w:tr>
        <w:trPr>
          <w:trHeight w:val="205"/>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Payment of contingent consideration in acquisition</w:t>
            </w: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(201)</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(1,815)</w:t>
            </w:r>
          </w:p>
        </w:tc>
      </w:tr>
      <w:tr>
        <w:trPr>
          <w:trHeight w:val="200"/>
        </w:trPr>
        <w:tc>
          <w:tcPr>
            <w:tcW w:w="7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5"/>
                <w:szCs w:val="15"/>
                <w:color w:val="auto"/>
              </w:rPr>
              <w:t>Cash dividends paid</w:t>
            </w:r>
          </w:p>
        </w:tc>
        <w:tc>
          <w:tcPr>
            <w:tcW w:w="10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(4,118)</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(4,209)</w:t>
            </w:r>
          </w:p>
        </w:tc>
      </w:tr>
      <w:tr>
        <w:trPr>
          <w:trHeight w:val="198"/>
        </w:trPr>
        <w:tc>
          <w:tcPr>
            <w:tcW w:w="79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Net cash used in financing activities</w:t>
            </w:r>
          </w:p>
        </w:tc>
        <w:tc>
          <w:tcPr>
            <w:tcW w:w="10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(5,654)</w:t>
            </w:r>
          </w:p>
        </w:tc>
        <w:tc>
          <w:tcPr>
            <w:tcW w:w="10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(8,312)</w:t>
            </w:r>
          </w:p>
        </w:tc>
      </w:tr>
      <w:tr>
        <w:trPr>
          <w:trHeight w:val="194"/>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NET CHANGE IN CASH AND CASH EQUIVALENTS</w:t>
            </w:r>
          </w:p>
        </w:tc>
        <w:tc>
          <w:tcPr>
            <w:tcW w:w="10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2,757</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2,368</w:t>
            </w:r>
          </w:p>
        </w:tc>
      </w:tr>
      <w:tr>
        <w:trPr>
          <w:trHeight w:val="198"/>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and cash equivalents, beginning of period</w:t>
            </w:r>
          </w:p>
        </w:tc>
        <w:tc>
          <w:tcPr>
            <w:tcW w:w="10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18,847</w:t>
            </w:r>
          </w:p>
        </w:tc>
        <w:tc>
          <w:tcPr>
            <w:tcW w:w="10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20,422</w:t>
            </w:r>
          </w:p>
        </w:tc>
      </w:tr>
      <w:tr>
        <w:trPr>
          <w:trHeight w:val="169"/>
        </w:trPr>
        <w:tc>
          <w:tcPr>
            <w:tcW w:w="7940" w:type="dxa"/>
            <w:vAlign w:val="bottom"/>
          </w:tcPr>
          <w:p>
            <w:pPr>
              <w:ind w:left="20"/>
              <w:spacing w:after="0" w:line="169" w:lineRule="exact"/>
              <w:rPr>
                <w:sz w:val="20"/>
                <w:szCs w:val="20"/>
                <w:color w:val="auto"/>
              </w:rPr>
            </w:pPr>
            <w:r>
              <w:rPr>
                <w:rFonts w:ascii="Times New Roman" w:cs="Times New Roman" w:eastAsia="Times New Roman" w:hAnsi="Times New Roman"/>
                <w:sz w:val="15"/>
                <w:szCs w:val="15"/>
                <w:color w:val="auto"/>
              </w:rPr>
              <w:t>Cash and cash equivalents, end of period</w:t>
            </w:r>
          </w:p>
        </w:tc>
        <w:tc>
          <w:tcPr>
            <w:tcW w:w="1020" w:type="dxa"/>
            <w:vAlign w:val="bottom"/>
            <w:tcBorders>
              <w:bottom w:val="single" w:sz="8" w:color="auto"/>
            </w:tcBorders>
          </w:tcPr>
          <w:p>
            <w:pPr>
              <w:jc w:val="right"/>
              <w:ind w:right="845"/>
              <w:spacing w:after="0" w:line="169" w:lineRule="exact"/>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21,604</w:t>
            </w:r>
          </w:p>
        </w:tc>
        <w:tc>
          <w:tcPr>
            <w:tcW w:w="100" w:type="dxa"/>
            <w:vAlign w:val="bottom"/>
          </w:tcPr>
          <w:p>
            <w:pPr>
              <w:spacing w:after="0"/>
              <w:rPr>
                <w:sz w:val="14"/>
                <w:szCs w:val="14"/>
                <w:color w:val="auto"/>
              </w:rPr>
            </w:pPr>
          </w:p>
        </w:tc>
        <w:tc>
          <w:tcPr>
            <w:tcW w:w="1080" w:type="dxa"/>
            <w:vAlign w:val="bottom"/>
            <w:tcBorders>
              <w:bottom w:val="single" w:sz="8" w:color="auto"/>
            </w:tcBorders>
          </w:tcPr>
          <w:p>
            <w:pPr>
              <w:jc w:val="right"/>
              <w:ind w:right="904"/>
              <w:spacing w:after="0" w:line="169" w:lineRule="exact"/>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22,790</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170"/>
        </w:trPr>
        <w:tc>
          <w:tcPr>
            <w:tcW w:w="794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5"/>
                <w:szCs w:val="15"/>
                <w:b w:val="1"/>
                <w:bCs w:val="1"/>
                <w:color w:val="auto"/>
              </w:rPr>
              <w:t>SUPPLEMENTAL CASH FLOW INFORMATION:</w:t>
            </w:r>
          </w:p>
        </w:tc>
        <w:tc>
          <w:tcPr>
            <w:tcW w:w="10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r>
      <w:tr>
        <w:trPr>
          <w:trHeight w:val="200"/>
        </w:trPr>
        <w:tc>
          <w:tcPr>
            <w:tcW w:w="794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Cash paid during the period for income taxes</w:t>
            </w:r>
          </w:p>
        </w:tc>
        <w:tc>
          <w:tcPr>
            <w:tcW w:w="1020" w:type="dxa"/>
            <w:vAlign w:val="bottom"/>
          </w:tcPr>
          <w:p>
            <w:pPr>
              <w:jc w:val="right"/>
              <w:ind w:right="845"/>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609</w:t>
            </w:r>
          </w:p>
        </w:tc>
        <w:tc>
          <w:tcPr>
            <w:tcW w:w="100" w:type="dxa"/>
            <w:vAlign w:val="bottom"/>
          </w:tcPr>
          <w:p>
            <w:pPr>
              <w:spacing w:after="0"/>
              <w:rPr>
                <w:sz w:val="17"/>
                <w:szCs w:val="17"/>
                <w:color w:val="auto"/>
              </w:rPr>
            </w:pPr>
          </w:p>
        </w:tc>
        <w:tc>
          <w:tcPr>
            <w:tcW w:w="1080" w:type="dxa"/>
            <w:vAlign w:val="bottom"/>
          </w:tcPr>
          <w:p>
            <w:pPr>
              <w:jc w:val="right"/>
              <w:ind w:right="904"/>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1,817</w:t>
            </w:r>
          </w:p>
        </w:tc>
      </w:tr>
      <w:tr>
        <w:trPr>
          <w:trHeight w:val="205"/>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Accrued dividends</w:t>
            </w:r>
          </w:p>
        </w:tc>
        <w:tc>
          <w:tcPr>
            <w:tcW w:w="1020" w:type="dxa"/>
            <w:vAlign w:val="bottom"/>
            <w:shd w:val="clear" w:color="auto" w:fill="CCEEFF"/>
          </w:tcPr>
          <w:p>
            <w:pPr>
              <w:jc w:val="right"/>
              <w:ind w:right="845"/>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2,579</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04"/>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2,336</w:t>
            </w:r>
          </w:p>
        </w:tc>
      </w:tr>
      <w:tr>
        <w:trPr>
          <w:trHeight w:val="198"/>
        </w:trPr>
        <w:tc>
          <w:tcPr>
            <w:tcW w:w="794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Operating lease assets obtained in exchange for operating lease liabilities</w:t>
            </w:r>
          </w:p>
        </w:tc>
        <w:tc>
          <w:tcPr>
            <w:tcW w:w="1020" w:type="dxa"/>
            <w:vAlign w:val="bottom"/>
          </w:tcPr>
          <w:p>
            <w:pPr>
              <w:jc w:val="right"/>
              <w:ind w:right="845"/>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8,133</w:t>
            </w:r>
          </w:p>
        </w:tc>
        <w:tc>
          <w:tcPr>
            <w:tcW w:w="100" w:type="dxa"/>
            <w:vAlign w:val="bottom"/>
          </w:tcPr>
          <w:p>
            <w:pPr>
              <w:spacing w:after="0"/>
              <w:rPr>
                <w:sz w:val="17"/>
                <w:szCs w:val="17"/>
                <w:color w:val="auto"/>
              </w:rPr>
            </w:pPr>
          </w:p>
        </w:tc>
        <w:tc>
          <w:tcPr>
            <w:tcW w:w="1080" w:type="dxa"/>
            <w:vAlign w:val="bottom"/>
          </w:tcPr>
          <w:p>
            <w:pPr>
              <w:jc w:val="right"/>
              <w:ind w:right="904"/>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7" w:name="page8"/>
    <w:bookmarkEnd w:id="7"/>
    <w:p>
      <w:pPr>
        <w:jc w:val="center"/>
        <w:ind w:left="380" w:right="2620"/>
        <w:spacing w:after="0" w:line="278" w:lineRule="auto"/>
        <w:rPr>
          <w:sz w:val="20"/>
          <w:szCs w:val="20"/>
          <w:color w:val="auto"/>
        </w:rPr>
      </w:pPr>
      <w:r>
        <w:rPr>
          <w:rFonts w:ascii="Times New Roman" w:cs="Times New Roman" w:eastAsia="Times New Roman" w:hAnsi="Times New Roman"/>
          <w:sz w:val="18"/>
          <w:szCs w:val="18"/>
          <w:b w:val="1"/>
          <w:bCs w:val="1"/>
          <w:color w:val="auto"/>
        </w:rPr>
        <w:t>WESTWOOD HOLDINGS GROUP, INC. NOTES TO CONDENSED CONSOLIDATED FINANCIAL STATEMENTS (Unaudited)</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121"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Westwood Holdings Group, Inc. (“Westwood”, “the Company”, “we”, “us” or “our”) was incorporated under the laws of the State of Delaware on December 12, 2001. Westwood manages investment assets and provides services for its clients through its subsidiaries, Westwood Management Corp., Westwood Advisors, L.L.C., Salient Advisors, L.P. and Broadmark Asset Management LLC, (referred to hereinafter together as “Westwood Management”), and Westwood Trust.</w:t>
      </w:r>
    </w:p>
    <w:p>
      <w:pPr>
        <w:spacing w:after="0" w:line="72"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Westwood Management provides investment advisory services to institutional clients, a family of mutual funds called the Westwood Funds®, other mutual funds, individual investors and clients of Westwood Trust. Westwood Trust provides trust and custodial services and participation in self-sponsored common trust funds ("CTFs") to institutions and high net worth individuals. Revenue is largely dependent on the total value and composition of assets under management ("AUM") and assets under advisement ("AUA"), and fluctuations in financial markets and in the composition of AUM impact our revenues and results of operations.</w:t>
      </w:r>
    </w:p>
    <w:p>
      <w:pPr>
        <w:spacing w:after="0" w:line="75" w:lineRule="exact"/>
        <w:rPr>
          <w:sz w:val="20"/>
          <w:szCs w:val="20"/>
          <w:color w:val="auto"/>
        </w:rPr>
      </w:pPr>
    </w:p>
    <w:p>
      <w:pPr>
        <w:ind w:right="620" w:firstLine="486"/>
        <w:spacing w:after="0" w:line="282" w:lineRule="auto"/>
        <w:rPr>
          <w:sz w:val="20"/>
          <w:szCs w:val="20"/>
          <w:color w:val="auto"/>
        </w:rPr>
      </w:pPr>
      <w:r>
        <w:rPr>
          <w:rFonts w:ascii="Times New Roman" w:cs="Times New Roman" w:eastAsia="Times New Roman" w:hAnsi="Times New Roman"/>
          <w:sz w:val="18"/>
          <w:szCs w:val="18"/>
          <w:color w:val="auto"/>
        </w:rPr>
        <w:t>Westwood Management is registered with the Securities and Exchange Commission ("SEC") as an investment adviser under the Investment Advisers Act of 1940, as amended. Westwood Trust is chartered and regulated by the Texas Department of Banking.</w:t>
      </w:r>
    </w:p>
    <w:p>
      <w:pPr>
        <w:spacing w:after="0" w:line="50" w:lineRule="exact"/>
        <w:rPr>
          <w:sz w:val="20"/>
          <w:szCs w:val="20"/>
          <w:color w:val="auto"/>
        </w:rPr>
      </w:pPr>
    </w:p>
    <w:p>
      <w:pPr>
        <w:ind w:left="40" w:right="6300" w:hanging="32"/>
        <w:spacing w:after="0" w:line="377" w:lineRule="auto"/>
        <w:tabs>
          <w:tab w:leader="none" w:pos="18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spacing w:after="0" w:line="2"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are unaudited and are presented in accordance with the requirements for quarterly reports on Form 10-Q and consequently do not include all of the information and footnote disclosures required by accounting principles generally accepted in the United States of America ("GAAP"). The Company’s Condensed Consolidated Financial Statements reflect all adjustments (consisting only of normal recurring adjustments) necessary to a fair statement of our interim financial position and results of operations and cash flows for the periods presented. The accompanying Condensed Consolidated Financial Statements are presented in accordance with GAAP and the rules and regulations of the SEC. The Condensed Consolidated Balance Sheets have been reclassified to unclassified balance sheets to better reflect the nature of the Company’s operations. Prior year amounts have been reclassified for consistency with the current year presentation.</w:t>
      </w:r>
    </w:p>
    <w:p>
      <w:pPr>
        <w:spacing w:after="0" w:line="81" w:lineRule="exact"/>
        <w:rPr>
          <w:sz w:val="20"/>
          <w:szCs w:val="20"/>
          <w:color w:val="auto"/>
        </w:rPr>
      </w:pPr>
    </w:p>
    <w:p>
      <w:pPr>
        <w:ind w:right="280" w:firstLine="486"/>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should be read in conjunction with our Consolidated Financial Statements, and notes thereto, included in our Annual Report on Form 10-K for the year ended December 31, 2024. Operating results for the periods in these Condensed Consolidated Financial Statements are not necessarily indicative of results for any future period. The accompanying Condensed Consolidated Financial Statements include the accounts of Westwood and its subsidiaries. All intercompany accounts and transactions have been eliminated upon consolidation.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w:t>
      </w:r>
    </w:p>
    <w:p>
      <w:pPr>
        <w:spacing w:after="0" w:line="115"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 xml:space="preserve">On January 1, 2025, the Financial Accounting Standards Board ("FASB") issued Accounting Standards Update ("ASU") ASU 2023-09,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Taxes (Topic 740): Improvements to Income Tax Disclosures </w:t>
      </w:r>
      <w:r>
        <w:rPr>
          <w:rFonts w:ascii="Times New Roman" w:cs="Times New Roman" w:eastAsia="Times New Roman" w:hAnsi="Times New Roman"/>
          <w:sz w:val="18"/>
          <w:szCs w:val="18"/>
          <w:color w:val="auto"/>
        </w:rPr>
        <w:t>("ASU 2023-09"), became effective and requires, among other things, greater disaggregation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information in the rate reconciliation and for paid income taxes to be disaggregated by jurisdiction. ASU 2023-09 affects financial statement disclosure only, which is not required until year end 2025 and, as a result, does not affect our results of operations or financial condition.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Statement Reporting</w:t>
      </w:r>
    </w:p>
    <w:p>
      <w:pPr>
        <w:spacing w:after="0" w:line="115" w:lineRule="exact"/>
        <w:rPr>
          <w:sz w:val="20"/>
          <w:szCs w:val="20"/>
          <w:color w:val="auto"/>
        </w:rPr>
      </w:pPr>
    </w:p>
    <w:p>
      <w:pPr>
        <w:ind w:firstLine="486"/>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("ASU 2024-03"). ASU 2024-03 requires public companies to disclose, in the notes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financial statements, specified information about certain costs and expenses at each interim and annual reporting period. The FASB further clarified the effective date in January 2025 with the issuance of ASU 2025-01, </w:t>
      </w:r>
      <w:r>
        <w:rPr>
          <w:rFonts w:ascii="Times New Roman" w:cs="Times New Roman" w:eastAsia="Times New Roman" w:hAnsi="Times New Roman"/>
          <w:sz w:val="18"/>
          <w:szCs w:val="18"/>
          <w:i w:val="1"/>
          <w:iCs w:val="1"/>
          <w:color w:val="auto"/>
        </w:rPr>
        <w:t>Income Statement - Reporting Comprehensive Income - 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(Subtopic 220-40): Clarifying the Effective Date </w:t>
      </w:r>
      <w:r>
        <w:rPr>
          <w:rFonts w:ascii="Times New Roman" w:cs="Times New Roman" w:eastAsia="Times New Roman" w:hAnsi="Times New Roman"/>
          <w:sz w:val="18"/>
          <w:szCs w:val="18"/>
          <w:color w:val="auto"/>
        </w:rPr>
        <w:t>("ASU 2025-01"). ASU 2024-03 is effective for annual periods beginning after December 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and interim periods within annual reporting periods beginning after December 15, 2027, with early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WESTWOOD HOLDINGS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 (Unaudited)</w:t>
      </w:r>
    </w:p>
    <w:p>
      <w:pPr>
        <w:spacing w:after="0" w:line="200" w:lineRule="exact"/>
        <w:rPr>
          <w:sz w:val="20"/>
          <w:szCs w:val="20"/>
          <w:color w:val="auto"/>
        </w:rPr>
      </w:pPr>
    </w:p>
    <w:p>
      <w:pPr>
        <w:spacing w:after="0" w:line="250"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adoption permitted. The requirements should be applied on a prospective basis while retrospective application is permitted. We are in the process of analyzing the impact of this ASU on our condensed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Internal-Use Software</w:t>
      </w:r>
    </w:p>
    <w:p>
      <w:pPr>
        <w:spacing w:after="0" w:line="115" w:lineRule="exact"/>
        <w:rPr>
          <w:sz w:val="20"/>
          <w:szCs w:val="20"/>
          <w:color w:val="auto"/>
        </w:rPr>
      </w:pPr>
    </w:p>
    <w:p>
      <w:pPr>
        <w:ind w:firstLine="486"/>
        <w:spacing w:after="0" w:line="257"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 - Goodwill and Other - 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the Accounting for Internal-Use Software </w:t>
      </w:r>
      <w:r>
        <w:rPr>
          <w:rFonts w:ascii="Times New Roman" w:cs="Times New Roman" w:eastAsia="Times New Roman" w:hAnsi="Times New Roman"/>
          <w:sz w:val="18"/>
          <w:szCs w:val="18"/>
          <w:color w:val="auto"/>
        </w:rPr>
        <w:t>("ASU 2025-06"). ASU 2025-06 is intended to simplify the capitalization guidance by removing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references to software development project stages so that the guidance is neutral to different software development methods. The amendments in this ASU are effective for annual reporting periods beginning after December 15, 2027, and interim reporting periods within those annual reporting periods, with early adoption permitted. The amendments in this update permit an entity to apply the new guidance using a prospective, retrospective or modified transition approach. We are in the process of analyzing the impact of this ASU on our condensed consolidated financial statements.</w:t>
      </w:r>
    </w:p>
    <w:p>
      <w:pPr>
        <w:spacing w:after="0" w:line="72" w:lineRule="exact"/>
        <w:rPr>
          <w:sz w:val="20"/>
          <w:szCs w:val="20"/>
          <w:color w:val="auto"/>
        </w:rPr>
      </w:pPr>
    </w:p>
    <w:p>
      <w:pPr>
        <w:ind w:right="9600" w:firstLine="8"/>
        <w:spacing w:after="0" w:line="377"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Revenue Recognition</w:t>
      </w:r>
    </w:p>
    <w:p>
      <w:pPr>
        <w:spacing w:after="0" w:line="2" w:lineRule="exact"/>
        <w:rPr>
          <w:sz w:val="20"/>
          <w:szCs w:val="20"/>
          <w:color w:val="auto"/>
        </w:rPr>
      </w:pPr>
    </w:p>
    <w:p>
      <w:pPr>
        <w:ind w:right="20" w:firstLine="486"/>
        <w:spacing w:after="0" w:line="277" w:lineRule="auto"/>
        <w:rPr>
          <w:sz w:val="20"/>
          <w:szCs w:val="20"/>
          <w:color w:val="auto"/>
        </w:rPr>
      </w:pPr>
      <w:r>
        <w:rPr>
          <w:rFonts w:ascii="Times New Roman" w:cs="Times New Roman" w:eastAsia="Times New Roman" w:hAnsi="Times New Roman"/>
          <w:sz w:val="17"/>
          <w:szCs w:val="17"/>
          <w:color w:val="auto"/>
        </w:rPr>
        <w:t>Revenues are recognized when the performance obligation (the investment management and advisory or trust services provided to the client) defined by the investment advisory or sub-advisory agreement is satisfied. For each performance obligation, we determine at contract inception whether the revenue satisfies over time or at a point in time. We derive our revenues from investment advisory fees, trust fees and other sources of revenues such as gains and losses from our seed money investments into new investment strategies. The "Other, net” revenues on our Condensed Consolidated Statements of</w:t>
      </w:r>
    </w:p>
    <w:p>
      <w:pPr>
        <w:spacing w:after="0" w:line="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Operations are the unrealized gains and losses on our seed money investments, and our seed money investments are included in "Investments, at fair value" on our Condensed Consolidated Balance Sheets. Advisory and trust fees are calculated based on a percentage of AUM or AUA, as applicable, and the performance obligation is realized over the current calendar quarter. Once clients receive our investment advisory services we have an enforceable right to payment.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Advisory Fee Revenues</w:t>
      </w:r>
    </w:p>
    <w:p>
      <w:pPr>
        <w:spacing w:after="0" w:line="121"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Our advisory fees are generated by Westwood Management for managing client accounts under investment advisory and sub-advisory agreements. Advisory fees are typically calculated based on a percentage of AUM and AUA and are paid in accordance with the terms of the agreements. Advisory fees are paid quarterly in advance based on AUM on the last day of the preceding quarter, quarterly in arrears based on AUM on the last day of the quarter just ended or are based on a daily or monthly analysis of AUM for the stated period. We recognize advisory fee revenues as services are rendered. Since our advance paying clients' billing periods coincide with the calendar quarter to which such payments relate, revenue is recognized within the quarter and our Condensed Consolidated Financial Statements contain no deferred advisory fee revenues. Advisory clients typically consist of institutional and mutual fund accounts.</w:t>
      </w:r>
    </w:p>
    <w:p>
      <w:pPr>
        <w:spacing w:after="0" w:line="81"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Institutional investors include separate accounts of (i) corporate pension and profit sharing plans, public employee retirement funds, Taft-Hartley plans, endowments, foundations and individuals; (ii) sub-advisory relationships where Westwood provides investment management services for funds offered by other financial institutions; (iii) pooled investment vehicles, including collective investment trusts; and (iv) managed account relationships with brokerage firms and other registered investment advisors that offer Westwood products to their customers.</w:t>
      </w:r>
    </w:p>
    <w:p>
      <w:pPr>
        <w:spacing w:after="0" w:line="72" w:lineRule="exact"/>
        <w:rPr>
          <w:sz w:val="20"/>
          <w:szCs w:val="20"/>
          <w:color w:val="auto"/>
        </w:rPr>
      </w:pPr>
    </w:p>
    <w:p>
      <w:pPr>
        <w:ind w:right="80" w:firstLine="486"/>
        <w:spacing w:after="0" w:line="312" w:lineRule="auto"/>
        <w:rPr>
          <w:sz w:val="20"/>
          <w:szCs w:val="20"/>
          <w:color w:val="auto"/>
        </w:rPr>
      </w:pPr>
      <w:r>
        <w:rPr>
          <w:rFonts w:ascii="Times New Roman" w:cs="Times New Roman" w:eastAsia="Times New Roman" w:hAnsi="Times New Roman"/>
          <w:sz w:val="17"/>
          <w:szCs w:val="17"/>
          <w:color w:val="auto"/>
        </w:rPr>
        <w:t>Mutual funds include the Westwood Funds®, a family of mutual funds for which Westwood Management serves as advisor. These funds are available to individual investors, as well as offered as part of our suite of investment strategies for institutional investors and wealth management accounts.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Arrangements with Performance-Based Obligations</w:t>
      </w:r>
    </w:p>
    <w:p>
      <w:pPr>
        <w:spacing w:after="0" w:line="121"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A limited number of our advisory clients have a contractual performance-based fee component in their contracts, which generates additional revenues if we outperform a specified index over a specific period of time, and a limited number of our mutual fund offerings have fees that generate additional revenues if we outperform specified indices over specific periods of time. Performance-based fees are paid after the performance obligation has been satisfied.</w:t>
      </w:r>
    </w:p>
    <w:p>
      <w:pPr>
        <w:spacing w:after="0" w:line="72"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The revenue is based on future market performance and is subject to many factors outside our control. We cannot conclude that a significant reversal in the cumulative amount of revenue recognized will not occur during the measurement period, and therefore the revenue is recorded at the end of the measurement period when the performance obligation has been satisfied.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 Fee Revenues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 (Unaudited)</w:t>
      </w:r>
    </w:p>
    <w:p>
      <w:pPr>
        <w:spacing w:after="0" w:line="200" w:lineRule="exact"/>
        <w:rPr>
          <w:sz w:val="20"/>
          <w:szCs w:val="20"/>
          <w:color w:val="auto"/>
        </w:rPr>
      </w:pPr>
    </w:p>
    <w:p>
      <w:pPr>
        <w:spacing w:after="0" w:line="250"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Our trust fees are generated by Westwood Trust pursuant to trust or custodial agreements. Trust fees are separately negotiated with each client and are generally based on a percentage of AUM. Westwood Trust also provides trust services to a small number of clients on a fixed fee basis. The fees for most of our trust clients are calculated quarterly in arrears, based on a daily average of AUM for the quarter, or monthly, based on the month-end value of AUM. Since billing periods for most of Westwood Trust’s clients coincide with the calendar quarter, revenue is fully recognized within the quarter and our Condensed Consolidated Financial Statements contain no deferred fee revenues.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Disaggregated</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our revenue disaggregated by account type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60" w:type="dxa"/>
            <w:vAlign w:val="bottom"/>
          </w:tcPr>
          <w:p>
            <w:pPr>
              <w:spacing w:after="0"/>
              <w:rPr>
                <w:sz w:val="18"/>
                <w:szCs w:val="18"/>
                <w:color w:val="auto"/>
              </w:rPr>
            </w:pPr>
          </w:p>
        </w:tc>
        <w:tc>
          <w:tcPr>
            <w:tcW w:w="3640" w:type="dxa"/>
            <w:vAlign w:val="bottom"/>
            <w:gridSpan w:val="6"/>
          </w:tcPr>
          <w:p>
            <w:pPr>
              <w:ind w:left="5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40" w:type="dxa"/>
            <w:vAlign w:val="bottom"/>
          </w:tcPr>
          <w:p>
            <w:pPr>
              <w:spacing w:after="0"/>
              <w:rPr>
                <w:sz w:val="18"/>
                <w:szCs w:val="18"/>
                <w:color w:val="auto"/>
              </w:rPr>
            </w:pPr>
          </w:p>
        </w:tc>
        <w:tc>
          <w:tcPr>
            <w:tcW w:w="3200" w:type="dxa"/>
            <w:vAlign w:val="bottom"/>
            <w:gridSpan w:val="4"/>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406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Advisory Fees:</w:t>
            </w:r>
          </w:p>
        </w:tc>
        <w:tc>
          <w:tcPr>
            <w:tcW w:w="10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Institutional</w:t>
            </w:r>
          </w:p>
        </w:tc>
        <w:tc>
          <w:tcPr>
            <w:tcW w:w="1080" w:type="dxa"/>
            <w:vAlign w:val="bottom"/>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10,946</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31,826</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29,490</w:t>
            </w:r>
          </w:p>
        </w:tc>
      </w:tr>
      <w:tr>
        <w:trPr>
          <w:trHeight w:val="230"/>
        </w:trPr>
        <w:tc>
          <w:tcPr>
            <w:tcW w:w="4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Mutual Funds</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20,619</w:t>
            </w:r>
          </w:p>
        </w:tc>
      </w:tr>
      <w:tr>
        <w:trPr>
          <w:trHeight w:val="229"/>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Wealth Management</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w:t>
            </w: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Trust Fees</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15,787</w:t>
            </w:r>
          </w:p>
        </w:tc>
      </w:tr>
      <w:tr>
        <w:trPr>
          <w:trHeight w:val="229"/>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0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w:t>
            </w:r>
          </w:p>
        </w:tc>
      </w:tr>
      <w:tr>
        <w:trPr>
          <w:trHeight w:val="248"/>
        </w:trPr>
        <w:tc>
          <w:tcPr>
            <w:tcW w:w="40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080" w:type="dxa"/>
            <w:vAlign w:val="bottom"/>
            <w:tcBorders>
              <w:bottom w:val="single" w:sz="8" w:color="auto"/>
            </w:tcBorders>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69,139</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our revenue disaggregated by our clients' geographical locations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tc>
        <w:tc>
          <w:tcPr>
            <w:tcW w:w="20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Advisory</w:t>
            </w:r>
          </w:p>
        </w:tc>
        <w:tc>
          <w:tcPr>
            <w:tcW w:w="28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Trust</w:t>
            </w:r>
          </w:p>
        </w:tc>
        <w:tc>
          <w:tcPr>
            <w:tcW w:w="26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80" w:type="dxa"/>
            <w:vAlign w:val="bottom"/>
          </w:tcPr>
          <w:p>
            <w:pPr>
              <w:spacing w:after="0"/>
              <w:rPr>
                <w:sz w:val="18"/>
                <w:szCs w:val="18"/>
                <w:color w:val="auto"/>
              </w:rPr>
            </w:pPr>
          </w:p>
        </w:tc>
        <w:tc>
          <w:tcPr>
            <w:tcW w:w="98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30"/>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18,721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24,123</w:t>
            </w: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24,289</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403"/>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2024</w:t>
            </w:r>
          </w:p>
        </w:tc>
        <w:tc>
          <w:tcPr>
            <w:tcW w:w="200" w:type="dxa"/>
            <w:vAlign w:val="bottom"/>
          </w:tcPr>
          <w:p>
            <w:pPr>
              <w:spacing w:after="0"/>
              <w:rPr>
                <w:sz w:val="24"/>
                <w:szCs w:val="24"/>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Advisory</w:t>
            </w:r>
          </w:p>
        </w:tc>
        <w:tc>
          <w:tcPr>
            <w:tcW w:w="280" w:type="dxa"/>
            <w:vAlign w:val="bottom"/>
          </w:tcPr>
          <w:p>
            <w:pPr>
              <w:spacing w:after="0"/>
              <w:rPr>
                <w:sz w:val="24"/>
                <w:szCs w:val="24"/>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Trust</w:t>
            </w:r>
          </w:p>
        </w:tc>
        <w:tc>
          <w:tcPr>
            <w:tcW w:w="260" w:type="dxa"/>
            <w:vAlign w:val="bottom"/>
          </w:tcPr>
          <w:p>
            <w:pPr>
              <w:spacing w:after="0"/>
              <w:rPr>
                <w:sz w:val="24"/>
                <w:szCs w:val="24"/>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80" w:type="dxa"/>
            <w:vAlign w:val="bottom"/>
          </w:tcPr>
          <w:p>
            <w:pPr>
              <w:spacing w:after="0"/>
              <w:rPr>
                <w:sz w:val="24"/>
                <w:szCs w:val="24"/>
                <w:color w:val="auto"/>
              </w:rPr>
            </w:pPr>
          </w:p>
        </w:tc>
        <w:tc>
          <w:tcPr>
            <w:tcW w:w="98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30"/>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17,528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23,473</w:t>
            </w: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23,719</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768"/>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200" w:type="dxa"/>
            <w:vAlign w:val="bottom"/>
          </w:tcPr>
          <w:p>
            <w:pPr>
              <w:spacing w:after="0"/>
              <w:rPr>
                <w:sz w:val="24"/>
                <w:szCs w:val="24"/>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Advisory</w:t>
            </w:r>
          </w:p>
        </w:tc>
        <w:tc>
          <w:tcPr>
            <w:tcW w:w="280" w:type="dxa"/>
            <w:vAlign w:val="bottom"/>
          </w:tcPr>
          <w:p>
            <w:pPr>
              <w:spacing w:after="0"/>
              <w:rPr>
                <w:sz w:val="24"/>
                <w:szCs w:val="24"/>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Trust</w:t>
            </w:r>
          </w:p>
        </w:tc>
        <w:tc>
          <w:tcPr>
            <w:tcW w:w="260" w:type="dxa"/>
            <w:vAlign w:val="bottom"/>
          </w:tcPr>
          <w:p>
            <w:pPr>
              <w:spacing w:after="0"/>
              <w:rPr>
                <w:sz w:val="24"/>
                <w:szCs w:val="24"/>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80" w:type="dxa"/>
            <w:vAlign w:val="bottom"/>
          </w:tcPr>
          <w:p>
            <w:pPr>
              <w:spacing w:after="0"/>
              <w:rPr>
                <w:sz w:val="24"/>
                <w:szCs w:val="24"/>
                <w:color w:val="auto"/>
              </w:rPr>
            </w:pPr>
          </w:p>
        </w:tc>
        <w:tc>
          <w:tcPr>
            <w:tcW w:w="98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r>
      <w:tr>
        <w:trPr>
          <w:trHeight w:val="230"/>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53,947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70,035</w:t>
            </w: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70,661</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417"/>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2024</w:t>
            </w:r>
          </w:p>
        </w:tc>
        <w:tc>
          <w:tcPr>
            <w:tcW w:w="200" w:type="dxa"/>
            <w:vAlign w:val="bottom"/>
          </w:tcPr>
          <w:p>
            <w:pPr>
              <w:spacing w:after="0"/>
              <w:rPr>
                <w:sz w:val="24"/>
                <w:szCs w:val="24"/>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Advisory</w:t>
            </w:r>
          </w:p>
        </w:tc>
        <w:tc>
          <w:tcPr>
            <w:tcW w:w="280" w:type="dxa"/>
            <w:vAlign w:val="bottom"/>
          </w:tcPr>
          <w:p>
            <w:pPr>
              <w:spacing w:after="0"/>
              <w:rPr>
                <w:sz w:val="24"/>
                <w:szCs w:val="24"/>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Trust</w:t>
            </w:r>
          </w:p>
        </w:tc>
        <w:tc>
          <w:tcPr>
            <w:tcW w:w="260" w:type="dxa"/>
            <w:vAlign w:val="bottom"/>
          </w:tcPr>
          <w:p>
            <w:pPr>
              <w:spacing w:after="0"/>
              <w:rPr>
                <w:sz w:val="24"/>
                <w:szCs w:val="24"/>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80" w:type="dxa"/>
            <w:vAlign w:val="bottom"/>
          </w:tcPr>
          <w:p>
            <w:pPr>
              <w:spacing w:after="0"/>
              <w:rPr>
                <w:sz w:val="24"/>
                <w:szCs w:val="24"/>
                <w:color w:val="auto"/>
              </w:rPr>
            </w:pPr>
          </w:p>
        </w:tc>
        <w:tc>
          <w:tcPr>
            <w:tcW w:w="98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r>
      <w:tr>
        <w:trPr>
          <w:trHeight w:val="230"/>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50,967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68,376</w:t>
            </w: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69,139</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SEGMENT REPORTING</w:t>
      </w:r>
    </w:p>
    <w:p>
      <w:pPr>
        <w:spacing w:after="0" w:line="121"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We operate two segments: Advisory and Trust. These segments are managed separately based on the types of products and services offered and their related client bases. The Company’s segment information is prepared on the same basis that management uses to review the financial information for operational decision-making purposes.</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 (Unaudited)</w:t>
      </w:r>
    </w:p>
    <w:p>
      <w:pPr>
        <w:spacing w:after="0" w:line="200" w:lineRule="exact"/>
        <w:rPr>
          <w:sz w:val="20"/>
          <w:szCs w:val="20"/>
          <w:color w:val="auto"/>
        </w:rPr>
      </w:pPr>
    </w:p>
    <w:p>
      <w:pPr>
        <w:spacing w:after="0" w:line="250" w:lineRule="exact"/>
        <w:rPr>
          <w:sz w:val="20"/>
          <w:szCs w:val="20"/>
          <w:color w:val="auto"/>
        </w:rPr>
      </w:pPr>
    </w:p>
    <w:p>
      <w:pPr>
        <w:ind w:right="640" w:firstLine="486"/>
        <w:spacing w:after="0" w:line="312" w:lineRule="auto"/>
        <w:rPr>
          <w:sz w:val="20"/>
          <w:szCs w:val="20"/>
          <w:color w:val="auto"/>
        </w:rPr>
      </w:pPr>
      <w:r>
        <w:rPr>
          <w:rFonts w:ascii="Times New Roman" w:cs="Times New Roman" w:eastAsia="Times New Roman" w:hAnsi="Times New Roman"/>
          <w:sz w:val="17"/>
          <w:szCs w:val="17"/>
          <w:color w:val="auto"/>
        </w:rPr>
        <w:t>The Company's Chief Operating Decision Maker ("CODM"), our Chief Executive Officer, evaluates the performance of our segments based primarily on revenues. The CODM does not evaluate the performance of our segments on segment expenses so those have not been disclosed.</w:t>
      </w:r>
    </w:p>
    <w:p>
      <w:pPr>
        <w:spacing w:after="0" w:line="32"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Westwood Holdings Group, Inc., the parent company of Advisory and Trust, does not have revenues and is the entity in which we record typical holding company expenses including employee compensation and benefits for holding company employees, directors’ fees and investor relations costs. All segment accounting policies are the same as those described in the summary of significant accounting policies. Intersegment balances that eliminate in consolidation have been applied to the appropriate segment.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Advisory</w:t>
      </w:r>
    </w:p>
    <w:p>
      <w:pPr>
        <w:spacing w:after="0" w:line="121" w:lineRule="exact"/>
        <w:rPr>
          <w:sz w:val="20"/>
          <w:szCs w:val="20"/>
          <w:color w:val="auto"/>
        </w:rPr>
      </w:pPr>
    </w:p>
    <w:p>
      <w:pPr>
        <w:ind w:right="20" w:firstLine="486"/>
        <w:spacing w:after="0" w:line="281" w:lineRule="auto"/>
        <w:rPr>
          <w:sz w:val="20"/>
          <w:szCs w:val="20"/>
          <w:color w:val="auto"/>
        </w:rPr>
      </w:pPr>
      <w:r>
        <w:rPr>
          <w:rFonts w:ascii="Times New Roman" w:cs="Times New Roman" w:eastAsia="Times New Roman" w:hAnsi="Times New Roman"/>
          <w:sz w:val="17"/>
          <w:szCs w:val="17"/>
          <w:color w:val="auto"/>
        </w:rPr>
        <w:t>Our Advisory segment provides investment advisory services to (i) corporate pension and profit sharing plans, public employee retirement funds, Taft-Hartley plans, endowments, foundations and individuals, (ii) sub-advisory relationships where Westwood provides investment management services to the Westwood Funds®, funds offered by other financial institutions and funds offered by our Trust segment and (iii) pooled investment vehicles, including collective investment trusts. Westwood Management provides investment advisory services to similar clients, which are included in our Advisory segment.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w:t>
      </w:r>
    </w:p>
    <w:p>
      <w:pPr>
        <w:spacing w:after="0" w:line="121" w:lineRule="exact"/>
        <w:rPr>
          <w:sz w:val="20"/>
          <w:szCs w:val="20"/>
          <w:color w:val="auto"/>
        </w:rPr>
      </w:pPr>
    </w:p>
    <w:p>
      <w:pPr>
        <w:ind w:right="420" w:firstLine="486"/>
        <w:spacing w:after="0" w:line="275" w:lineRule="auto"/>
        <w:rPr>
          <w:sz w:val="20"/>
          <w:szCs w:val="20"/>
          <w:color w:val="auto"/>
        </w:rPr>
      </w:pPr>
      <w:r>
        <w:rPr>
          <w:rFonts w:ascii="Times New Roman" w:cs="Times New Roman" w:eastAsia="Times New Roman" w:hAnsi="Times New Roman"/>
          <w:sz w:val="18"/>
          <w:szCs w:val="18"/>
          <w:color w:val="auto"/>
        </w:rPr>
        <w:t>Westwood Trust provides trust and custodial services and participation in common trust funds that it sponsors to institutions and high net worth individuals. Westwood Trust is included in our Trust segment.</w:t>
      </w:r>
    </w:p>
    <w:tbl>
      <w:tblPr>
        <w:tblLayout w:type="fixed"/>
        <w:tblInd w:w="0" w:type="dxa"/>
        <w:tblCellMar>
          <w:top w:w="0" w:type="dxa"/>
          <w:left w:w="0" w:type="dxa"/>
          <w:bottom w:w="0" w:type="dxa"/>
          <w:right w:w="0" w:type="dxa"/>
        </w:tblCellMar>
      </w:tblPr>
      <w:tr>
        <w:trPr>
          <w:trHeight w:val="165"/>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4"/>
                <w:szCs w:val="14"/>
                <w:color w:val="auto"/>
              </w:rPr>
            </w:pP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Advisory</w:t>
            </w:r>
          </w:p>
        </w:tc>
        <w:tc>
          <w:tcPr>
            <w:tcW w:w="220" w:type="dxa"/>
            <w:vAlign w:val="bottom"/>
          </w:tcPr>
          <w:p>
            <w:pPr>
              <w:spacing w:after="0"/>
              <w:rPr>
                <w:sz w:val="14"/>
                <w:szCs w:val="14"/>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Trust</w:t>
            </w:r>
          </w:p>
        </w:tc>
        <w:tc>
          <w:tcPr>
            <w:tcW w:w="140" w:type="dxa"/>
            <w:vAlign w:val="bottom"/>
          </w:tcPr>
          <w:p>
            <w:pPr>
              <w:spacing w:after="0"/>
              <w:rPr>
                <w:sz w:val="14"/>
                <w:szCs w:val="14"/>
                <w:color w:val="auto"/>
              </w:rPr>
            </w:pPr>
          </w:p>
        </w:tc>
        <w:tc>
          <w:tcPr>
            <w:tcW w:w="1040" w:type="dxa"/>
            <w:vAlign w:val="bottom"/>
            <w:gridSpan w:val="2"/>
          </w:tcPr>
          <w:p>
            <w:pPr>
              <w:jc w:val="center"/>
              <w:ind w:right="240"/>
              <w:spacing w:after="0" w:line="165" w:lineRule="exact"/>
              <w:rPr>
                <w:sz w:val="20"/>
                <w:szCs w:val="20"/>
                <w:color w:val="auto"/>
              </w:rPr>
            </w:pPr>
            <w:r>
              <w:rPr>
                <w:rFonts w:ascii="Times New Roman" w:cs="Times New Roman" w:eastAsia="Times New Roman" w:hAnsi="Times New Roman"/>
                <w:sz w:val="16"/>
                <w:szCs w:val="16"/>
                <w:b w:val="1"/>
                <w:bCs w:val="1"/>
                <w:color w:val="auto"/>
              </w:rPr>
              <w:t>Westwood</w:t>
            </w:r>
          </w:p>
        </w:tc>
        <w:tc>
          <w:tcPr>
            <w:tcW w:w="160" w:type="dxa"/>
            <w:vAlign w:val="bottom"/>
          </w:tcPr>
          <w:p>
            <w:pPr>
              <w:spacing w:after="0"/>
              <w:rPr>
                <w:sz w:val="14"/>
                <w:szCs w:val="14"/>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60" w:type="dxa"/>
            <w:vAlign w:val="bottom"/>
          </w:tcPr>
          <w:p>
            <w:pPr>
              <w:spacing w:after="0"/>
              <w:rPr>
                <w:sz w:val="14"/>
                <w:szCs w:val="14"/>
                <w:color w:val="auto"/>
              </w:rPr>
            </w:pPr>
          </w:p>
        </w:tc>
        <w:tc>
          <w:tcPr>
            <w:tcW w:w="11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50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Holdings</w:t>
            </w:r>
          </w:p>
        </w:tc>
        <w:tc>
          <w:tcPr>
            <w:tcW w:w="1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fee revenues from external sources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18,887</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24,303</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intersegment revenues</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35"/>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24,289</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20" w:type="dxa"/>
            <w:vAlign w:val="bottom"/>
            <w:tcBorders>
              <w:top w:val="single" w:sz="8" w:color="CCEEFF"/>
            </w:tcBorders>
            <w:vMerge w:val="continue"/>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Pr>
          <w:p>
            <w:pPr>
              <w:spacing w:after="0"/>
              <w:rPr>
                <w:sz w:val="16"/>
                <w:szCs w:val="16"/>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3,729</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324,684</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46,177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(239,824)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154,046</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goodwill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39,501</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equity-method investments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4,263</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expenditures for long-lived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56"/>
        </w:trPr>
        <w:tc>
          <w:tcPr>
            <w:tcW w:w="5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2024</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fee revenues from external sources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17,774</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23,221</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intersegment revenues</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0" w:type="dxa"/>
            <w:vAlign w:val="bottom"/>
          </w:tcPr>
          <w:p>
            <w:pPr>
              <w:spacing w:after="0"/>
              <w:rPr>
                <w:sz w:val="1"/>
                <w:szCs w:val="1"/>
                <w:color w:val="auto"/>
              </w:rPr>
            </w:pPr>
          </w:p>
        </w:tc>
      </w:tr>
      <w:tr>
        <w:trPr>
          <w:trHeight w:val="235"/>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23,719</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20" w:type="dxa"/>
            <w:vAlign w:val="bottom"/>
            <w:vMerge w:val="continue"/>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301,975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46,809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14,462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(211,745)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151,501</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goodwill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39,501</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equity-method investments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4,211</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4,211</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expenditures for long-lived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 (Unaudited)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6"/>
                <w:szCs w:val="16"/>
                <w:color w:val="auto"/>
              </w:rPr>
            </w:pP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Advisory</w:t>
            </w:r>
          </w:p>
        </w:tc>
        <w:tc>
          <w:tcPr>
            <w:tcW w:w="220" w:type="dxa"/>
            <w:vAlign w:val="bottom"/>
          </w:tcPr>
          <w:p>
            <w:pPr>
              <w:spacing w:after="0"/>
              <w:rPr>
                <w:sz w:val="16"/>
                <w:szCs w:val="16"/>
                <w:color w:val="auto"/>
              </w:rPr>
            </w:pPr>
          </w:p>
        </w:tc>
        <w:tc>
          <w:tcPr>
            <w:tcW w:w="9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Trust</w:t>
            </w:r>
          </w:p>
        </w:tc>
        <w:tc>
          <w:tcPr>
            <w:tcW w:w="140" w:type="dxa"/>
            <w:vAlign w:val="bottom"/>
          </w:tcPr>
          <w:p>
            <w:pPr>
              <w:spacing w:after="0"/>
              <w:rPr>
                <w:sz w:val="16"/>
                <w:szCs w:val="16"/>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Westwood</w:t>
            </w:r>
          </w:p>
        </w:tc>
        <w:tc>
          <w:tcPr>
            <w:tcW w:w="160" w:type="dxa"/>
            <w:vAlign w:val="bottom"/>
          </w:tcPr>
          <w:p>
            <w:pPr>
              <w:spacing w:after="0"/>
              <w:rPr>
                <w:sz w:val="16"/>
                <w:szCs w:val="16"/>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60" w:type="dxa"/>
            <w:vAlign w:val="bottom"/>
          </w:tcPr>
          <w:p>
            <w:pPr>
              <w:spacing w:after="0"/>
              <w:rPr>
                <w:sz w:val="16"/>
                <w:szCs w:val="16"/>
                <w:color w:val="auto"/>
              </w:rPr>
            </w:pPr>
          </w:p>
        </w:tc>
        <w:tc>
          <w:tcPr>
            <w:tcW w:w="1140" w:type="dxa"/>
            <w:vAlign w:val="bottom"/>
            <w:vMerge w:val="restart"/>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50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Holdings</w:t>
            </w:r>
          </w:p>
        </w:tc>
        <w:tc>
          <w:tcPr>
            <w:tcW w:w="1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fee revenues from external sources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54,573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70,487</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intersegment revenues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(4,727)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48"/>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(4,727)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70,661</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20" w:type="dxa"/>
            <w:vAlign w:val="bottom"/>
            <w:tcBorders>
              <w:top w:val="single" w:sz="8" w:color="CCEEFF"/>
            </w:tcBorders>
            <w:vMerge w:val="continue"/>
          </w:tcPr>
          <w:p>
            <w:pPr>
              <w:spacing w:after="0"/>
              <w:rPr>
                <w:sz w:val="17"/>
                <w:szCs w:val="17"/>
                <w:color w:val="auto"/>
              </w:rPr>
            </w:pPr>
          </w:p>
        </w:tc>
        <w:tc>
          <w:tcPr>
            <w:tcW w:w="1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462</w:t>
            </w:r>
          </w:p>
        </w:tc>
        <w:tc>
          <w:tcPr>
            <w:tcW w:w="120" w:type="dxa"/>
            <w:vAlign w:val="bottom"/>
          </w:tcPr>
          <w:p>
            <w:pPr>
              <w:spacing w:after="0"/>
              <w:rPr>
                <w:sz w:val="17"/>
                <w:szCs w:val="17"/>
                <w:color w:val="auto"/>
              </w:rPr>
            </w:pPr>
          </w:p>
        </w:tc>
        <w:tc>
          <w:tcPr>
            <w:tcW w:w="220" w:type="dxa"/>
            <w:vAlign w:val="bottom"/>
            <w:tcBorders>
              <w:top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ind w:left="6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ind w:left="8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858</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(10,720)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0" w:type="dxa"/>
            <w:vAlign w:val="bottom"/>
          </w:tcPr>
          <w:p>
            <w:pPr>
              <w:spacing w:after="0"/>
              <w:rPr>
                <w:sz w:val="1"/>
                <w:szCs w:val="1"/>
                <w:color w:val="auto"/>
              </w:rPr>
            </w:pPr>
          </w:p>
        </w:tc>
      </w:tr>
      <w:tr>
        <w:trPr>
          <w:trHeight w:val="257"/>
        </w:trPr>
        <w:tc>
          <w:tcPr>
            <w:tcW w:w="5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2024</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fee revenues from external sources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51,730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67,517</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intersegment revenues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(4,552)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0" w:type="dxa"/>
            <w:vAlign w:val="bottom"/>
          </w:tcPr>
          <w:p>
            <w:pPr>
              <w:spacing w:after="0"/>
              <w:rPr>
                <w:sz w:val="1"/>
                <w:szCs w:val="1"/>
                <w:color w:val="auto"/>
              </w:rPr>
            </w:pPr>
          </w:p>
        </w:tc>
      </w:tr>
      <w:tr>
        <w:trPr>
          <w:trHeight w:val="248"/>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(4,552)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69,139</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20" w:type="dxa"/>
            <w:vAlign w:val="bottom"/>
            <w:vMerge w:val="continue"/>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818</w:t>
            </w:r>
          </w:p>
        </w:tc>
        <w:tc>
          <w:tcPr>
            <w:tcW w:w="120" w:type="dxa"/>
            <w:vAlign w:val="bottom"/>
          </w:tcPr>
          <w:p>
            <w:pPr>
              <w:spacing w:after="0"/>
              <w:rPr>
                <w:sz w:val="17"/>
                <w:szCs w:val="17"/>
                <w:color w:val="auto"/>
              </w:rPr>
            </w:pPr>
          </w:p>
        </w:tc>
        <w:tc>
          <w:tcPr>
            <w:tcW w:w="220" w:type="dxa"/>
            <w:vAlign w:val="bottom"/>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ind w:left="6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8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1,187</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(13,191)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INVESTMENTS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investments consist of the following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September 30, 2025</w:t>
            </w:r>
          </w:p>
        </w:tc>
        <w:tc>
          <w:tcPr>
            <w:tcW w:w="200" w:type="dxa"/>
            <w:vAlign w:val="bottom"/>
          </w:tcPr>
          <w:p>
            <w:pPr>
              <w:spacing w:after="0"/>
              <w:rPr>
                <w:sz w:val="17"/>
                <w:szCs w:val="17"/>
                <w:color w:val="auto"/>
              </w:rPr>
            </w:pPr>
          </w:p>
        </w:tc>
        <w:tc>
          <w:tcPr>
            <w:tcW w:w="1600" w:type="dxa"/>
            <w:vAlign w:val="bottom"/>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December 31, 2024</w:t>
            </w:r>
          </w:p>
        </w:tc>
      </w:tr>
      <w:tr>
        <w:trPr>
          <w:trHeight w:val="213"/>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19,729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27,694</w:t>
            </w: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under measurement alternative</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10,747</w:t>
            </w: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4,250</w:t>
            </w:r>
          </w:p>
        </w:tc>
      </w:tr>
      <w:tr>
        <w:trPr>
          <w:trHeight w:val="210"/>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investments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38,689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42,691</w:t>
            </w:r>
          </w:p>
        </w:tc>
      </w:tr>
      <w:tr>
        <w:trPr>
          <w:trHeight w:val="20"/>
        </w:trPr>
        <w:tc>
          <w:tcPr>
            <w:tcW w:w="7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Investments at Fair Value</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Investments carried at fair value are presented in the table below (in thousands):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 (Unaudited)</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60" w:type="dxa"/>
            <w:vAlign w:val="bottom"/>
          </w:tcPr>
          <w:p>
            <w:pPr>
              <w:spacing w:after="0"/>
              <w:rPr>
                <w:sz w:val="16"/>
                <w:szCs w:val="16"/>
                <w:color w:val="auto"/>
              </w:rPr>
            </w:pPr>
          </w:p>
        </w:tc>
        <w:tc>
          <w:tcPr>
            <w:tcW w:w="960" w:type="dxa"/>
            <w:vAlign w:val="bottom"/>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162"/>
        </w:trPr>
        <w:tc>
          <w:tcPr>
            <w:tcW w:w="6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40" w:type="dxa"/>
            <w:vAlign w:val="bottom"/>
          </w:tcPr>
          <w:p>
            <w:pPr>
              <w:spacing w:after="0"/>
              <w:rPr>
                <w:sz w:val="14"/>
                <w:szCs w:val="14"/>
                <w:color w:val="auto"/>
              </w:rPr>
            </w:pPr>
          </w:p>
        </w:tc>
        <w:tc>
          <w:tcPr>
            <w:tcW w:w="11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40" w:type="dxa"/>
            <w:vAlign w:val="bottom"/>
          </w:tcPr>
          <w:p>
            <w:pPr>
              <w:spacing w:after="0"/>
              <w:rPr>
                <w:sz w:val="14"/>
                <w:szCs w:val="14"/>
                <w:color w:val="auto"/>
              </w:rPr>
            </w:pPr>
          </w:p>
        </w:tc>
        <w:tc>
          <w:tcPr>
            <w:tcW w:w="10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60" w:type="dxa"/>
            <w:vAlign w:val="bottom"/>
          </w:tcPr>
          <w:p>
            <w:pPr>
              <w:spacing w:after="0"/>
              <w:rPr>
                <w:sz w:val="14"/>
                <w:szCs w:val="14"/>
                <w:color w:val="auto"/>
              </w:rPr>
            </w:pPr>
          </w:p>
        </w:tc>
        <w:tc>
          <w:tcPr>
            <w:tcW w:w="960" w:type="dxa"/>
            <w:vAlign w:val="bottom"/>
          </w:tcPr>
          <w:p>
            <w:pPr>
              <w:jc w:val="center"/>
              <w:ind w:right="71"/>
              <w:spacing w:after="0" w:line="162" w:lineRule="exact"/>
              <w:rPr>
                <w:sz w:val="20"/>
                <w:szCs w:val="20"/>
                <w:color w:val="auto"/>
              </w:rPr>
            </w:pPr>
            <w:r>
              <w:rPr>
                <w:rFonts w:ascii="Times New Roman" w:cs="Times New Roman" w:eastAsia="Times New Roman" w:hAnsi="Times New Roman"/>
                <w:sz w:val="16"/>
                <w:szCs w:val="16"/>
                <w:b w:val="1"/>
                <w:bCs w:val="1"/>
                <w:color w:val="auto"/>
                <w:w w:val="95"/>
              </w:rPr>
              <w:t>Fair</w:t>
            </w:r>
          </w:p>
        </w:tc>
        <w:tc>
          <w:tcPr>
            <w:tcW w:w="0" w:type="dxa"/>
            <w:vAlign w:val="bottom"/>
          </w:tcPr>
          <w:p>
            <w:pPr>
              <w:spacing w:after="0"/>
              <w:rPr>
                <w:sz w:val="1"/>
                <w:szCs w:val="1"/>
                <w:color w:val="auto"/>
              </w:rPr>
            </w:pPr>
          </w:p>
        </w:tc>
      </w:tr>
      <w:tr>
        <w:trPr>
          <w:trHeight w:val="214"/>
        </w:trPr>
        <w:tc>
          <w:tcPr>
            <w:tcW w:w="6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60" w:type="dxa"/>
            <w:vAlign w:val="bottom"/>
          </w:tcPr>
          <w:p>
            <w:pPr>
              <w:spacing w:after="0"/>
              <w:rPr>
                <w:sz w:val="18"/>
                <w:szCs w:val="18"/>
                <w:color w:val="auto"/>
              </w:rPr>
            </w:pPr>
          </w:p>
        </w:tc>
        <w:tc>
          <w:tcPr>
            <w:tcW w:w="960" w:type="dxa"/>
            <w:vAlign w:val="bottom"/>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11"/>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7,444</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8,974</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funds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Exchange-traded bond funds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23"/>
        </w:trPr>
        <w:tc>
          <w:tcPr>
            <w:tcW w:w="64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trading securities</w:t>
            </w: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17,706</w:t>
            </w:r>
          </w:p>
        </w:tc>
        <w:tc>
          <w:tcPr>
            <w:tcW w:w="0" w:type="dxa"/>
            <w:vAlign w:val="bottom"/>
          </w:tcPr>
          <w:p>
            <w:pPr>
              <w:spacing w:after="0"/>
              <w:rPr>
                <w:sz w:val="1"/>
                <w:szCs w:val="1"/>
                <w:color w:val="auto"/>
              </w:rPr>
            </w:pPr>
          </w:p>
        </w:tc>
      </w:tr>
      <w:tr>
        <w:trPr>
          <w:trHeight w:val="230"/>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Private investment funds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48"/>
        </w:trPr>
        <w:tc>
          <w:tcPr>
            <w:tcW w:w="64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investments carried at fair value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19,729</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16,056</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7,803</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funds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Exchange-traded bond funds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23"/>
        </w:trPr>
        <w:tc>
          <w:tcPr>
            <w:tcW w:w="64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trading securities</w:t>
            </w: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25,748</w:t>
            </w:r>
          </w:p>
        </w:tc>
        <w:tc>
          <w:tcPr>
            <w:tcW w:w="0" w:type="dxa"/>
            <w:vAlign w:val="bottom"/>
          </w:tcPr>
          <w:p>
            <w:pPr>
              <w:spacing w:after="0"/>
              <w:rPr>
                <w:sz w:val="1"/>
                <w:szCs w:val="1"/>
                <w:color w:val="auto"/>
              </w:rPr>
            </w:pPr>
          </w:p>
        </w:tc>
      </w:tr>
      <w:tr>
        <w:trPr>
          <w:trHeight w:val="230"/>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Private investment funds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0" w:type="dxa"/>
            <w:vAlign w:val="bottom"/>
          </w:tcPr>
          <w:p>
            <w:pPr>
              <w:spacing w:after="0"/>
              <w:rPr>
                <w:sz w:val="1"/>
                <w:szCs w:val="1"/>
                <w:color w:val="auto"/>
              </w:rPr>
            </w:pPr>
          </w:p>
        </w:tc>
      </w:tr>
      <w:tr>
        <w:trPr>
          <w:trHeight w:val="248"/>
        </w:trPr>
        <w:tc>
          <w:tcPr>
            <w:tcW w:w="64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investments carried at fair value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27,694</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Investments Under Measurement Alternative</w:t>
      </w:r>
    </w:p>
    <w:p>
      <w:pPr>
        <w:spacing w:after="0" w:line="117" w:lineRule="exact"/>
        <w:rPr>
          <w:sz w:val="20"/>
          <w:szCs w:val="20"/>
          <w:color w:val="auto"/>
        </w:rPr>
      </w:pPr>
    </w:p>
    <w:p>
      <w:pPr>
        <w:jc w:val="both"/>
        <w:ind w:right="120" w:firstLine="486"/>
        <w:spacing w:after="0" w:line="266" w:lineRule="auto"/>
        <w:rPr>
          <w:sz w:val="20"/>
          <w:szCs w:val="20"/>
          <w:color w:val="auto"/>
        </w:rPr>
      </w:pPr>
      <w:r>
        <w:rPr>
          <w:rFonts w:ascii="Times New Roman" w:cs="Times New Roman" w:eastAsia="Times New Roman" w:hAnsi="Times New Roman"/>
          <w:sz w:val="18"/>
          <w:szCs w:val="18"/>
          <w:color w:val="auto"/>
        </w:rPr>
        <w:t>Our investments below represent equity interests in private companies without readily determinable fair values. The Company has elected to apply the measurement alternative of cost minus impairment, if any, adjusted for any observable price changes in orderly transactions for these investments. The acquisition cost of Westwood Engineered Beta ("WEBs") is allocated using the relative fair value method between preferred stock and a call option.</w:t>
      </w:r>
    </w:p>
    <w:p>
      <w:pPr>
        <w:spacing w:after="0" w:line="68"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2025 we recorded an unrealized gain of approximately $2.0 million for our investment in TXSE Group Inc ("TXSE") following observable price changes in the third quarter of 2025. No impairments of these investments were recorded during the three and nine months ended September 30, 2025 or September 30, 2024. Balances are shown below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Investment:</w:t>
            </w:r>
          </w:p>
        </w:tc>
        <w:tc>
          <w:tcPr>
            <w:tcW w:w="18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CCEEFF"/>
            </w:tcBorders>
          </w:tcPr>
          <w:p>
            <w:pPr>
              <w:spacing w:after="0" w:line="20" w:lineRule="exact"/>
              <w:rPr>
                <w:sz w:val="1"/>
                <w:szCs w:val="1"/>
                <w:color w:val="auto"/>
              </w:rPr>
            </w:pPr>
          </w:p>
        </w:tc>
        <w:tc>
          <w:tcPr>
            <w:tcW w:w="66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InvestCloud, Inc.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4,455</w:t>
            </w:r>
          </w:p>
        </w:tc>
      </w:tr>
      <w:tr>
        <w:trPr>
          <w:trHeight w:val="229"/>
        </w:trPr>
        <w:tc>
          <w:tcPr>
            <w:tcW w:w="20" w:type="dxa"/>
            <w:vAlign w:val="bottom"/>
          </w:tcPr>
          <w:p>
            <w:pPr>
              <w:spacing w:after="0"/>
              <w:rPr>
                <w:sz w:val="19"/>
                <w:szCs w:val="19"/>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Vista Bancshares, Inc.</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2,792</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2,792</w:t>
            </w:r>
          </w:p>
        </w:tc>
      </w:tr>
      <w:tr>
        <w:trPr>
          <w:trHeight w:val="230"/>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WEBs - preferred stock</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2,799</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w:t>
            </w:r>
          </w:p>
        </w:tc>
      </w:tr>
      <w:tr>
        <w:trPr>
          <w:trHeight w:val="230"/>
        </w:trPr>
        <w:tc>
          <w:tcPr>
            <w:tcW w:w="20" w:type="dxa"/>
            <w:vAlign w:val="bottom"/>
          </w:tcPr>
          <w:p>
            <w:pPr>
              <w:spacing w:after="0"/>
              <w:rPr>
                <w:sz w:val="19"/>
                <w:szCs w:val="19"/>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WEBs - call option</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230"/>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TXSE</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r>
      <w:tr>
        <w:trPr>
          <w:trHeight w:val="229"/>
        </w:trPr>
        <w:tc>
          <w:tcPr>
            <w:tcW w:w="20" w:type="dxa"/>
            <w:vAlign w:val="bottom"/>
            <w:tcBorders>
              <w:bottom w:val="single" w:sz="8" w:color="CCEEFF"/>
            </w:tcBorders>
          </w:tcPr>
          <w:p>
            <w:pPr>
              <w:spacing w:after="0"/>
              <w:rPr>
                <w:sz w:val="19"/>
                <w:szCs w:val="19"/>
                <w:color w:val="auto"/>
              </w:rPr>
            </w:pPr>
          </w:p>
        </w:tc>
        <w:tc>
          <w:tcPr>
            <w:tcW w:w="7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Ridgeline, Inc.</w:t>
            </w: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5"/>
        </w:trPr>
        <w:tc>
          <w:tcPr>
            <w:tcW w:w="20" w:type="dxa"/>
            <w:vAlign w:val="bottom"/>
            <w:tcBorders>
              <w:bottom w:val="single" w:sz="8" w:color="CCEEFF"/>
            </w:tcBorders>
            <w:shd w:val="clear" w:color="auto" w:fill="CCEEFF"/>
          </w:tcPr>
          <w:p>
            <w:pPr>
              <w:spacing w:after="0"/>
              <w:rPr>
                <w:sz w:val="19"/>
                <w:szCs w:val="19"/>
                <w:color w:val="auto"/>
              </w:rPr>
            </w:pPr>
          </w:p>
        </w:tc>
        <w:tc>
          <w:tcPr>
            <w:tcW w:w="75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investments under measurement alternative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14,697</w:t>
            </w: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Method Investments</w:t>
      </w:r>
    </w:p>
    <w:p>
      <w:pPr>
        <w:spacing w:after="0" w:line="117"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These investments represent ownership interests in non-controlled partnerships and are measured based on our share of the net earnings or losses of the investee. Investment balances are included in “Equity method investments” on our Condensed Consolidated Balance Sheets and our proportionate share of the investee's earnings and losses are included in our</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(Continued), (Unaudited)</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Operations under "Other income." Balances are shown below (in thousands):</w:t>
      </w:r>
    </w:p>
    <w:p>
      <w:pPr>
        <w:sectPr>
          <w:pgSz w:w="11900" w:h="16838" w:orient="portrait"/>
          <w:cols w:equalWidth="0" w:num="1">
            <w:col w:w="11240"/>
          </w:cols>
          <w:pgMar w:left="320" w:top="360" w:right="339" w:bottom="1440" w:gutter="0" w:footer="0" w:header="0"/>
        </w:sectPr>
      </w:pPr>
    </w:p>
    <w:p>
      <w:pPr>
        <w:spacing w:after="0" w:line="5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6"/>
          <w:szCs w:val="16"/>
          <w:b w:val="1"/>
          <w:bCs w:val="1"/>
          <w:color w:val="auto"/>
        </w:rPr>
        <w:t>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21590</wp:posOffset>
            </wp:positionV>
            <wp:extent cx="21431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6" w:lineRule="exact"/>
        <w:rPr>
          <w:sz w:val="20"/>
          <w:szCs w:val="20"/>
          <w:color w:val="auto"/>
        </w:rPr>
      </w:pPr>
    </w:p>
    <w:p>
      <w:pPr>
        <w:ind w:left="4680"/>
        <w:spacing w:after="0"/>
        <w:tabs>
          <w:tab w:leader="none" w:pos="6480" w:val="left"/>
        </w:tabs>
        <w:rPr>
          <w:sz w:val="20"/>
          <w:szCs w:val="20"/>
          <w:color w:val="auto"/>
        </w:rPr>
      </w:pPr>
      <w:r>
        <w:rPr>
          <w:rFonts w:ascii="Times New Roman" w:cs="Times New Roman" w:eastAsia="Times New Roman" w:hAnsi="Times New Roman"/>
          <w:sz w:val="16"/>
          <w:szCs w:val="16"/>
          <w:b w:val="1"/>
          <w:bCs w:val="1"/>
          <w:color w:val="auto"/>
        </w:rPr>
        <w:t>Carrying value</w:t>
      </w:r>
      <w:r>
        <w:rPr>
          <w:sz w:val="20"/>
          <w:szCs w:val="20"/>
          <w:color w:val="auto"/>
        </w:rPr>
        <w:tab/>
      </w:r>
      <w:r>
        <w:rPr>
          <w:rFonts w:ascii="Times New Roman" w:cs="Times New Roman" w:eastAsia="Times New Roman" w:hAnsi="Times New Roman"/>
          <w:sz w:val="16"/>
          <w:szCs w:val="16"/>
          <w:b w:val="1"/>
          <w:bCs w:val="1"/>
          <w:color w:val="auto"/>
        </w:rPr>
        <w:t>Ownership</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21590</wp:posOffset>
            </wp:positionV>
            <wp:extent cx="21431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6"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6"/>
          <w:szCs w:val="16"/>
          <w:b w:val="1"/>
          <w:bCs w:val="1"/>
          <w:color w:val="auto"/>
        </w:rPr>
        <w:t>Carrying value</w:t>
      </w:r>
      <w:r>
        <w:rPr>
          <w:sz w:val="20"/>
          <w:szCs w:val="20"/>
          <w:color w:val="auto"/>
        </w:rPr>
        <w:tab/>
      </w:r>
      <w:r>
        <w:rPr>
          <w:rFonts w:ascii="Times New Roman" w:cs="Times New Roman" w:eastAsia="Times New Roman" w:hAnsi="Times New Roman"/>
          <w:sz w:val="16"/>
          <w:szCs w:val="16"/>
          <w:b w:val="1"/>
          <w:bCs w:val="1"/>
          <w:color w:val="auto"/>
        </w:rPr>
        <w:t>Ownership</w:t>
      </w:r>
    </w:p>
    <w:p>
      <w:pPr>
        <w:spacing w:after="0" w:line="48" w:lineRule="exact"/>
        <w:rPr>
          <w:sz w:val="20"/>
          <w:szCs w:val="20"/>
          <w:color w:val="auto"/>
        </w:rPr>
      </w:pPr>
    </w:p>
    <w:p>
      <w:pPr>
        <w:sectPr>
          <w:pgSz w:w="11900" w:h="16838" w:orient="portrait"/>
          <w:cols w:equalWidth="0" w:num="2">
            <w:col w:w="7420" w:space="720"/>
            <w:col w:w="3100"/>
          </w:cols>
          <w:pgMar w:left="320" w:top="360"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4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r>
      <w:tr>
        <w:trPr>
          <w:trHeight w:val="20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Zarvona Energy Fund GP, L.P.</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2480" w:type="dxa"/>
            <w:vAlign w:val="bottom"/>
            <w:gridSpan w:val="3"/>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50.0 %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Zarvona Energy Fund II-A, L.P.</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Salient MLP Total Return Fund, L.P.</w:t>
            </w: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80" w:type="dxa"/>
            <w:vAlign w:val="bottom"/>
            <w:gridSpan w:val="3"/>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Salient MLP Total Return TE Fund, L.P.</w:t>
            </w: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1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1760" w:type="dxa"/>
            <w:vAlign w:val="bottom"/>
            <w:tcBorders>
              <w:bottom w:val="single" w:sz="8" w:color="CCEEFF"/>
            </w:tcBorders>
            <w:shd w:val="clear" w:color="auto" w:fill="CCEEFF"/>
          </w:tcPr>
          <w:p>
            <w:pPr>
              <w:spacing w:after="0"/>
              <w:rPr>
                <w:sz w:val="21"/>
                <w:szCs w:val="2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121"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ASC 820, Fair Value Measurements, defines fair value, establishes a framework for measuring fair value and requires disclosures regarding certain fair value measurements. ASC 820 establishes a three-tier hierarchy for measuring fair value, as follows:</w:t>
      </w:r>
    </w:p>
    <w:p>
      <w:pPr>
        <w:spacing w:after="0" w:line="54" w:lineRule="exact"/>
        <w:rPr>
          <w:sz w:val="20"/>
          <w:szCs w:val="20"/>
          <w:color w:val="auto"/>
        </w:rPr>
      </w:pPr>
    </w:p>
    <w:p>
      <w:pPr>
        <w:ind w:left="1140" w:hanging="565"/>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market prices in active markets for identical assets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that are directly or indirectly observable</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significant unobservable inputs where there is little or no market activity</w:t>
      </w:r>
    </w:p>
    <w:p>
      <w:pPr>
        <w:spacing w:after="0" w:line="11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Our investments in InvestCloud, Vista, WEBs, TXSE and Ridgeline, discussed in Note 5 “Investments,” are excluded from the recurring fair value table shown below because we have elected to apply the measurement alternative for those investments.</w:t>
      </w:r>
    </w:p>
    <w:p>
      <w:pPr>
        <w:spacing w:after="0" w:line="54"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values of our investments measured at fair value on a recurring basis within the fair value hierarchy as of the dates indicated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00" w:type="dxa"/>
            <w:vAlign w:val="bottom"/>
          </w:tcPr>
          <w:p>
            <w:pPr>
              <w:spacing w:after="0"/>
              <w:rPr>
                <w:sz w:val="14"/>
                <w:szCs w:val="14"/>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14"/>
                <w:szCs w:val="14"/>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Measured at</w:t>
            </w:r>
          </w:p>
        </w:tc>
        <w:tc>
          <w:tcPr>
            <w:tcW w:w="240" w:type="dxa"/>
            <w:vAlign w:val="bottom"/>
          </w:tcPr>
          <w:p>
            <w:pPr>
              <w:spacing w:after="0"/>
              <w:rPr>
                <w:sz w:val="14"/>
                <w:szCs w:val="14"/>
                <w:color w:val="auto"/>
              </w:rPr>
            </w:pPr>
          </w:p>
        </w:tc>
        <w:tc>
          <w:tcPr>
            <w:tcW w:w="880" w:type="dxa"/>
            <w:vAlign w:val="bottom"/>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line="216" w:lineRule="exact"/>
              <w:rPr>
                <w:sz w:val="20"/>
                <w:szCs w:val="20"/>
                <w:color w:val="auto"/>
              </w:rPr>
            </w:pPr>
            <w:r>
              <w:rPr>
                <w:rFonts w:ascii="Times New Roman" w:cs="Times New Roman" w:eastAsia="Times New Roman" w:hAnsi="Times New Roman"/>
                <w:sz w:val="16"/>
                <w:szCs w:val="16"/>
                <w:b w:val="1"/>
                <w:bCs w:val="1"/>
                <w:color w:val="auto"/>
                <w:w w:val="87"/>
              </w:rPr>
              <w:t xml:space="preserve">NAV </w:t>
            </w:r>
            <w:r>
              <w:rPr>
                <w:rFonts w:ascii="Times New Roman" w:cs="Times New Roman" w:eastAsia="Times New Roman" w:hAnsi="Times New Roman"/>
                <w:sz w:val="21"/>
                <w:szCs w:val="21"/>
                <w:color w:val="auto"/>
                <w:w w:val="87"/>
                <w:vertAlign w:val="superscript"/>
              </w:rPr>
              <w:t>(1)</w:t>
            </w: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September 30, 2025:</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trading securities</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17,556</w:t>
            </w:r>
          </w:p>
        </w:tc>
        <w:tc>
          <w:tcPr>
            <w:tcW w:w="10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2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17,706</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investment funds</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0" w:type="dxa"/>
            <w:vAlign w:val="bottom"/>
          </w:tcPr>
          <w:p>
            <w:pPr>
              <w:spacing w:after="0"/>
              <w:rPr>
                <w:sz w:val="1"/>
                <w:szCs w:val="1"/>
                <w:color w:val="auto"/>
              </w:rPr>
            </w:pPr>
          </w:p>
        </w:tc>
      </w:tr>
      <w:tr>
        <w:trPr>
          <w:trHeight w:val="196"/>
        </w:trPr>
        <w:tc>
          <w:tcPr>
            <w:tcW w:w="512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Total assets measured at fair value</w:t>
            </w: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17,556</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19,729</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trading securities</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25,748</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investment fund</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1,946</w:t>
            </w:r>
          </w:p>
        </w:tc>
        <w:tc>
          <w:tcPr>
            <w:tcW w:w="0" w:type="dxa"/>
            <w:vAlign w:val="bottom"/>
          </w:tcPr>
          <w:p>
            <w:pPr>
              <w:spacing w:after="0"/>
              <w:rPr>
                <w:sz w:val="1"/>
                <w:szCs w:val="1"/>
                <w:color w:val="auto"/>
              </w:rPr>
            </w:pPr>
          </w:p>
        </w:tc>
      </w:tr>
      <w:tr>
        <w:trPr>
          <w:trHeight w:val="248"/>
        </w:trPr>
        <w:tc>
          <w:tcPr>
            <w:tcW w:w="51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27,694</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Salient Acquisition contingent consideration</w:t>
            </w: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20" w:type="dxa"/>
            <w:vAlign w:val="bottom"/>
            <w:tcBorders>
              <w:top w:val="single" w:sz="8" w:color="CCEEFF"/>
              <w:bottom w:val="single" w:sz="8" w:color="CCEEFF"/>
            </w:tcBorders>
            <w:vMerge w:val="continue"/>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4,657</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4,657</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4,657</w:t>
            </w:r>
          </w:p>
        </w:tc>
        <w:tc>
          <w:tcPr>
            <w:tcW w:w="0" w:type="dxa"/>
            <w:vAlign w:val="bottom"/>
          </w:tcPr>
          <w:p>
            <w:pPr>
              <w:spacing w:after="0"/>
              <w:rPr>
                <w:sz w:val="1"/>
                <w:szCs w:val="1"/>
                <w:color w:val="auto"/>
              </w:rPr>
            </w:pPr>
          </w:p>
        </w:tc>
      </w:tr>
    </w:tbl>
    <w:p>
      <w:pPr>
        <w:ind w:left="20" w:right="280" w:firstLine="6"/>
        <w:spacing w:after="0" w:line="234" w:lineRule="auto"/>
        <w:tabs>
          <w:tab w:leader="none" w:pos="224"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Comprised of certain investments measured at fair value using NAV as a practical expedient. The fair value amounts presented in this table are intended to permit reconciliation of the fair value hierarchy to the amounts presented on our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-189865</wp:posOffset>
            </wp:positionV>
            <wp:extent cx="38919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91915" cy="8255"/>
                    </a:xfrm>
                    <a:prstGeom prst="rect">
                      <a:avLst/>
                    </a:prstGeom>
                    <a:noFill/>
                  </pic:spPr>
                </pic:pic>
              </a:graphicData>
            </a:graphic>
          </wp:anchor>
        </w:drawing>
      </w:r>
    </w:p>
    <w:p>
      <w:pPr>
        <w:spacing w:after="0" w:line="174" w:lineRule="exact"/>
        <w:rPr>
          <w:sz w:val="20"/>
          <w:szCs w:val="20"/>
          <w:color w:val="auto"/>
        </w:rPr>
      </w:pPr>
    </w:p>
    <w:p>
      <w:pPr>
        <w:ind w:right="88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Level 3 liabilities measured at fair value on a recurring basis for the periods presented (in thousands):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 (Unaudited)</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400" w:type="dxa"/>
            <w:vAlign w:val="bottom"/>
            <w:tcBorders>
              <w:bottom w:val="single" w:sz="8" w:color="auto"/>
            </w:tcBorders>
            <w:gridSpan w:val="9"/>
          </w:tcPr>
          <w:p>
            <w:pPr>
              <w:ind w:left="160"/>
              <w:spacing w:after="0"/>
              <w:rPr>
                <w:sz w:val="20"/>
                <w:szCs w:val="20"/>
                <w:color w:val="auto"/>
              </w:rPr>
            </w:pPr>
            <w:r>
              <w:rPr>
                <w:rFonts w:ascii="Times New Roman" w:cs="Times New Roman" w:eastAsia="Times New Roman" w:hAnsi="Times New Roman"/>
                <w:sz w:val="16"/>
                <w:szCs w:val="16"/>
                <w:b w:val="1"/>
                <w:bCs w:val="1"/>
                <w:color w:val="auto"/>
              </w:rPr>
              <w:t>Fair Value using Significant Unobservable Inputs (Level 3)</w:t>
            </w:r>
          </w:p>
        </w:tc>
        <w:tc>
          <w:tcPr>
            <w:tcW w:w="1140" w:type="dxa"/>
            <w:vAlign w:val="bottom"/>
            <w:tcBorders>
              <w:bottom w:val="single" w:sz="8" w:color="auto"/>
            </w:tcBorders>
          </w:tcPr>
          <w:p>
            <w:pPr>
              <w:spacing w:after="0"/>
              <w:rPr>
                <w:sz w:val="18"/>
                <w:szCs w:val="18"/>
                <w:color w:val="auto"/>
              </w:rPr>
            </w:pPr>
          </w:p>
        </w:tc>
      </w:tr>
      <w:tr>
        <w:trPr>
          <w:trHeight w:val="211"/>
        </w:trPr>
        <w:tc>
          <w:tcPr>
            <w:tcW w:w="4560" w:type="dxa"/>
            <w:vAlign w:val="bottom"/>
          </w:tcPr>
          <w:p>
            <w:pPr>
              <w:spacing w:after="0"/>
              <w:rPr>
                <w:sz w:val="18"/>
                <w:szCs w:val="18"/>
                <w:color w:val="auto"/>
              </w:rPr>
            </w:pPr>
          </w:p>
        </w:tc>
        <w:tc>
          <w:tcPr>
            <w:tcW w:w="3380" w:type="dxa"/>
            <w:vAlign w:val="bottom"/>
            <w:gridSpan w:val="6"/>
          </w:tcPr>
          <w:p>
            <w:pPr>
              <w:ind w:left="3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3040" w:type="dxa"/>
            <w:vAlign w:val="bottom"/>
            <w:gridSpan w:val="4"/>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0"/>
        </w:trPr>
        <w:tc>
          <w:tcPr>
            <w:tcW w:w="456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Beginning balance</w:t>
            </w:r>
          </w:p>
        </w:tc>
        <w:tc>
          <w:tcPr>
            <w:tcW w:w="1140" w:type="dxa"/>
            <w:vAlign w:val="bottom"/>
            <w:shd w:val="clear" w:color="auto" w:fill="CCEEFF"/>
          </w:tcPr>
          <w:p>
            <w:pPr>
              <w:jc w:val="right"/>
              <w:ind w:right="957"/>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10,133</w:t>
            </w:r>
          </w:p>
        </w:tc>
      </w:tr>
      <w:tr>
        <w:trPr>
          <w:trHeight w:val="226"/>
        </w:trPr>
        <w:tc>
          <w:tcPr>
            <w:tcW w:w="4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w:t>
            </w:r>
          </w:p>
        </w:tc>
        <w:tc>
          <w:tcPr>
            <w:tcW w:w="1140" w:type="dxa"/>
            <w:vAlign w:val="bottom"/>
          </w:tcPr>
          <w:p>
            <w:pPr>
              <w:spacing w:after="0"/>
              <w:rPr>
                <w:sz w:val="19"/>
                <w:szCs w:val="19"/>
                <w:color w:val="auto"/>
              </w:rPr>
            </w:pP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(4,657)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(1,815)</w:t>
            </w:r>
          </w:p>
        </w:tc>
      </w:tr>
      <w:tr>
        <w:trPr>
          <w:trHeight w:val="233"/>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losses included in earnings</w:t>
            </w:r>
          </w:p>
        </w:tc>
        <w:tc>
          <w:tcPr>
            <w:tcW w:w="11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3,682</w:t>
            </w:r>
          </w:p>
        </w:tc>
      </w:tr>
      <w:tr>
        <w:trPr>
          <w:trHeight w:val="219"/>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Ending balance</w:t>
            </w:r>
          </w:p>
        </w:tc>
        <w:tc>
          <w:tcPr>
            <w:tcW w:w="1140" w:type="dxa"/>
            <w:vAlign w:val="bottom"/>
            <w:tcBorders>
              <w:top w:val="single" w:sz="8" w:color="auto"/>
              <w:bottom w:val="single" w:sz="8" w:color="auto"/>
            </w:tcBorders>
          </w:tcPr>
          <w:p>
            <w:pPr>
              <w:jc w:val="right"/>
              <w:ind w:right="957"/>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12,000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12,000</w:t>
            </w:r>
          </w:p>
        </w:tc>
      </w:tr>
      <w:tr>
        <w:trPr>
          <w:trHeight w:val="24"/>
        </w:trPr>
        <w:tc>
          <w:tcPr>
            <w:tcW w:w="45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final payment for the revenue retention earn-out was made in the first quarter of 2025.</w:t>
      </w:r>
    </w:p>
    <w:p>
      <w:pPr>
        <w:spacing w:after="0" w:line="117"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The September 30, 2025 contingent consideration fair value of the growth earn-out was valued based upon updated revenue growth projections following changes in asset values and revised asset flow expectations. The fair value of contingent consideration related to the growth earn-out is measured using the Monte Carlo simulation model, which considered assumptions including revenue growth projections, revenue volatility, risk free rates and discount rates. The projected contingent payment is discounted to the current period using a discounted cash flow model. Increases or decreases in projected revenues, probabilities of payment, discount rates, projected payment dates and other inputs may result in significantly higher or lower fair value measurements.</w:t>
      </w:r>
    </w:p>
    <w:p>
      <w:pPr>
        <w:spacing w:after="0" w:line="79"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range of the unobservable inputs utilized in the fair value measurement of the contingent consideration classified as level 3, the weighted averages represent the output of the Monte Carlo simulation models: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60" w:type="dxa"/>
            <w:vAlign w:val="bottom"/>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Range</w:t>
            </w:r>
          </w:p>
        </w:tc>
        <w:tc>
          <w:tcPr>
            <w:tcW w:w="2340" w:type="dxa"/>
            <w:vAlign w:val="bottom"/>
          </w:tcPr>
          <w:p>
            <w:pPr>
              <w:spacing w:after="0"/>
              <w:rPr>
                <w:sz w:val="18"/>
                <w:szCs w:val="18"/>
                <w:color w:val="auto"/>
              </w:rPr>
            </w:pPr>
          </w:p>
        </w:tc>
      </w:tr>
      <w:tr>
        <w:trPr>
          <w:trHeight w:val="212"/>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September 30, 2025:</w:t>
            </w:r>
          </w:p>
        </w:tc>
        <w:tc>
          <w:tcPr>
            <w:tcW w:w="2460" w:type="dxa"/>
            <w:vAlign w:val="bottom"/>
            <w:tcBorders>
              <w:top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880" w:type="dxa"/>
            <w:vAlign w:val="bottom"/>
            <w:tcBorders>
              <w:top w:val="single" w:sz="8" w:color="auto"/>
            </w:tcBorders>
            <w:shd w:val="clear" w:color="auto" w:fill="CCEEFF"/>
          </w:tcPr>
          <w:p>
            <w:pPr>
              <w:jc w:val="center"/>
              <w:ind w:left="213"/>
              <w:spacing w:after="0"/>
              <w:rPr>
                <w:sz w:val="20"/>
                <w:szCs w:val="20"/>
                <w:color w:val="auto"/>
              </w:rPr>
            </w:pPr>
            <w:r>
              <w:rPr>
                <w:rFonts w:ascii="Times New Roman" w:cs="Times New Roman" w:eastAsia="Times New Roman" w:hAnsi="Times New Roman"/>
                <w:sz w:val="16"/>
                <w:szCs w:val="16"/>
                <w:b w:val="1"/>
                <w:bCs w:val="1"/>
                <w:color w:val="auto"/>
                <w:w w:val="99"/>
              </w:rPr>
              <w:t>Low</w:t>
            </w: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b w:val="1"/>
                <w:bCs w:val="1"/>
                <w:color w:val="auto"/>
              </w:rPr>
              <w:t>High</w:t>
            </w:r>
          </w:p>
        </w:tc>
        <w:tc>
          <w:tcPr>
            <w:tcW w:w="10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 Average Rate</w:t>
            </w: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Growth earn-out</w:t>
            </w:r>
          </w:p>
        </w:tc>
        <w:tc>
          <w:tcPr>
            <w:tcW w:w="2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00" w:type="dxa"/>
            <w:vAlign w:val="bottom"/>
          </w:tcPr>
          <w:p>
            <w:pPr>
              <w:spacing w:after="0"/>
              <w:rPr>
                <w:sz w:val="19"/>
                <w:szCs w:val="19"/>
                <w:color w:val="auto"/>
              </w:rPr>
            </w:pPr>
          </w:p>
        </w:tc>
        <w:tc>
          <w:tcPr>
            <w:tcW w:w="880" w:type="dxa"/>
            <w:vAlign w:val="bottom"/>
            <w:tcBorders>
              <w:top w:val="single" w:sz="8" w:color="auto"/>
            </w:tcBorders>
          </w:tcPr>
          <w:p>
            <w:pPr>
              <w:jc w:val="center"/>
              <w:ind w:left="213"/>
              <w:spacing w:after="0"/>
              <w:rPr>
                <w:sz w:val="20"/>
                <w:szCs w:val="20"/>
                <w:color w:val="auto"/>
              </w:rPr>
            </w:pPr>
            <w:r>
              <w:rPr>
                <w:rFonts w:ascii="Times New Roman" w:cs="Times New Roman" w:eastAsia="Times New Roman" w:hAnsi="Times New Roman"/>
                <w:sz w:val="18"/>
                <w:szCs w:val="18"/>
                <w:color w:val="auto"/>
              </w:rPr>
              <w:t>6.5%</w:t>
            </w:r>
          </w:p>
        </w:tc>
        <w:tc>
          <w:tcPr>
            <w:tcW w:w="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2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6.8%</w:t>
            </w:r>
          </w:p>
        </w:tc>
      </w:tr>
      <w:tr>
        <w:trPr>
          <w:trHeight w:val="229"/>
        </w:trPr>
        <w:tc>
          <w:tcPr>
            <w:tcW w:w="3900" w:type="dxa"/>
            <w:vAlign w:val="bottom"/>
            <w:shd w:val="clear" w:color="auto" w:fill="CCEEFF"/>
          </w:tcPr>
          <w:p>
            <w:pPr>
              <w:spacing w:after="0"/>
              <w:rPr>
                <w:sz w:val="19"/>
                <w:szCs w:val="19"/>
                <w:color w:val="auto"/>
              </w:rPr>
            </w:pPr>
          </w:p>
        </w:tc>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880" w:type="dxa"/>
            <w:vAlign w:val="bottom"/>
            <w:shd w:val="clear" w:color="auto" w:fill="CCEEFF"/>
          </w:tcPr>
          <w:p>
            <w:pPr>
              <w:jc w:val="center"/>
              <w:ind w:left="213"/>
              <w:spacing w:after="0"/>
              <w:rPr>
                <w:sz w:val="20"/>
                <w:szCs w:val="20"/>
                <w:color w:val="auto"/>
              </w:rPr>
            </w:pPr>
            <w:r>
              <w:rPr>
                <w:rFonts w:ascii="Times New Roman" w:cs="Times New Roman" w:eastAsia="Times New Roman" w:hAnsi="Times New Roman"/>
                <w:sz w:val="18"/>
                <w:szCs w:val="18"/>
                <w:color w:val="auto"/>
              </w:rPr>
              <w:t>1.6%</w:t>
            </w:r>
          </w:p>
        </w:tc>
        <w:tc>
          <w:tcPr>
            <w:tcW w:w="1560" w:type="dxa"/>
            <w:vAlign w:val="bottom"/>
            <w:gridSpan w:val="3"/>
            <w:shd w:val="clear" w:color="auto" w:fill="CCEEFF"/>
          </w:tcPr>
          <w:p>
            <w:pPr>
              <w:jc w:val="center"/>
              <w:ind w:left="295"/>
              <w:spacing w:after="0"/>
              <w:rPr>
                <w:sz w:val="20"/>
                <w:szCs w:val="20"/>
                <w:color w:val="auto"/>
              </w:rPr>
            </w:pPr>
            <w:r>
              <w:rPr>
                <w:rFonts w:ascii="Times New Roman" w:cs="Times New Roman" w:eastAsia="Times New Roman" w:hAnsi="Times New Roman"/>
                <w:sz w:val="18"/>
                <w:szCs w:val="18"/>
                <w:color w:val="auto"/>
                <w:w w:val="98"/>
              </w:rPr>
              <w:t>11.6%</w:t>
            </w:r>
          </w:p>
        </w:tc>
        <w:tc>
          <w:tcPr>
            <w:tcW w:w="100" w:type="dxa"/>
            <w:vAlign w:val="bottom"/>
            <w:shd w:val="clear" w:color="auto" w:fill="CCEEFF"/>
          </w:tcPr>
          <w:p>
            <w:pPr>
              <w:spacing w:after="0"/>
              <w:rPr>
                <w:sz w:val="19"/>
                <w:szCs w:val="19"/>
                <w:color w:val="auto"/>
              </w:rPr>
            </w:pP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6.6%</w:t>
            </w:r>
          </w:p>
        </w:tc>
      </w:tr>
      <w:tr>
        <w:trPr>
          <w:trHeight w:val="214"/>
        </w:trPr>
        <w:tc>
          <w:tcPr>
            <w:tcW w:w="39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60" w:type="dxa"/>
            <w:vAlign w:val="bottom"/>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Range</w:t>
            </w:r>
          </w:p>
        </w:tc>
        <w:tc>
          <w:tcPr>
            <w:tcW w:w="2340" w:type="dxa"/>
            <w:vAlign w:val="bottom"/>
          </w:tcPr>
          <w:p>
            <w:pPr>
              <w:spacing w:after="0"/>
              <w:rPr>
                <w:sz w:val="18"/>
                <w:szCs w:val="18"/>
                <w:color w:val="auto"/>
              </w:rPr>
            </w:pPr>
          </w:p>
        </w:tc>
      </w:tr>
      <w:tr>
        <w:trPr>
          <w:trHeight w:val="211"/>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2460" w:type="dxa"/>
            <w:vAlign w:val="bottom"/>
            <w:tcBorders>
              <w:top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880" w:type="dxa"/>
            <w:vAlign w:val="bottom"/>
            <w:tcBorders>
              <w:top w:val="single" w:sz="8" w:color="auto"/>
            </w:tcBorders>
            <w:shd w:val="clear" w:color="auto" w:fill="CCEEFF"/>
          </w:tcPr>
          <w:p>
            <w:pPr>
              <w:jc w:val="center"/>
              <w:ind w:left="213"/>
              <w:spacing w:after="0"/>
              <w:rPr>
                <w:sz w:val="20"/>
                <w:szCs w:val="20"/>
                <w:color w:val="auto"/>
              </w:rPr>
            </w:pPr>
            <w:r>
              <w:rPr>
                <w:rFonts w:ascii="Times New Roman" w:cs="Times New Roman" w:eastAsia="Times New Roman" w:hAnsi="Times New Roman"/>
                <w:sz w:val="16"/>
                <w:szCs w:val="16"/>
                <w:b w:val="1"/>
                <w:bCs w:val="1"/>
                <w:color w:val="auto"/>
                <w:w w:val="99"/>
              </w:rPr>
              <w:t>Low</w:t>
            </w: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b w:val="1"/>
                <w:bCs w:val="1"/>
                <w:color w:val="auto"/>
              </w:rPr>
              <w:t>High</w:t>
            </w:r>
          </w:p>
        </w:tc>
        <w:tc>
          <w:tcPr>
            <w:tcW w:w="10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 Average Rate</w:t>
            </w: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Growth earn-out</w:t>
            </w:r>
          </w:p>
        </w:tc>
        <w:tc>
          <w:tcPr>
            <w:tcW w:w="2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00" w:type="dxa"/>
            <w:vAlign w:val="bottom"/>
          </w:tcPr>
          <w:p>
            <w:pPr>
              <w:spacing w:after="0"/>
              <w:rPr>
                <w:sz w:val="19"/>
                <w:szCs w:val="19"/>
                <w:color w:val="auto"/>
              </w:rPr>
            </w:pPr>
          </w:p>
        </w:tc>
        <w:tc>
          <w:tcPr>
            <w:tcW w:w="880" w:type="dxa"/>
            <w:vAlign w:val="bottom"/>
            <w:tcBorders>
              <w:top w:val="single" w:sz="8" w:color="auto"/>
            </w:tcBorders>
          </w:tcPr>
          <w:p>
            <w:pPr>
              <w:jc w:val="center"/>
              <w:ind w:left="213"/>
              <w:spacing w:after="0"/>
              <w:rPr>
                <w:sz w:val="20"/>
                <w:szCs w:val="20"/>
                <w:color w:val="auto"/>
              </w:rPr>
            </w:pPr>
            <w:r>
              <w:rPr>
                <w:rFonts w:ascii="Times New Roman" w:cs="Times New Roman" w:eastAsia="Times New Roman" w:hAnsi="Times New Roman"/>
                <w:sz w:val="18"/>
                <w:szCs w:val="18"/>
                <w:color w:val="auto"/>
              </w:rPr>
              <w:t>7.0%</w:t>
            </w:r>
          </w:p>
        </w:tc>
        <w:tc>
          <w:tcPr>
            <w:tcW w:w="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2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3900" w:type="dxa"/>
            <w:vAlign w:val="bottom"/>
            <w:shd w:val="clear" w:color="auto" w:fill="CCEEFF"/>
          </w:tcPr>
          <w:p>
            <w:pPr>
              <w:spacing w:after="0"/>
              <w:rPr>
                <w:sz w:val="19"/>
                <w:szCs w:val="19"/>
                <w:color w:val="auto"/>
              </w:rPr>
            </w:pPr>
          </w:p>
        </w:tc>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880" w:type="dxa"/>
            <w:vAlign w:val="bottom"/>
            <w:shd w:val="clear" w:color="auto" w:fill="CCEEFF"/>
          </w:tcPr>
          <w:p>
            <w:pPr>
              <w:jc w:val="center"/>
              <w:ind w:left="213"/>
              <w:spacing w:after="0"/>
              <w:rPr>
                <w:sz w:val="20"/>
                <w:szCs w:val="20"/>
                <w:color w:val="auto"/>
              </w:rPr>
            </w:pPr>
            <w:r>
              <w:rPr>
                <w:rFonts w:ascii="Times New Roman" w:cs="Times New Roman" w:eastAsia="Times New Roman" w:hAnsi="Times New Roman"/>
                <w:sz w:val="18"/>
                <w:szCs w:val="18"/>
                <w:color w:val="auto"/>
              </w:rPr>
              <w:t>1.9%</w:t>
            </w:r>
          </w:p>
        </w:tc>
        <w:tc>
          <w:tcPr>
            <w:tcW w:w="1560" w:type="dxa"/>
            <w:vAlign w:val="bottom"/>
            <w:gridSpan w:val="3"/>
            <w:shd w:val="clear" w:color="auto" w:fill="CCEEFF"/>
          </w:tcPr>
          <w:p>
            <w:pPr>
              <w:jc w:val="center"/>
              <w:ind w:left="295"/>
              <w:spacing w:after="0"/>
              <w:rPr>
                <w:sz w:val="20"/>
                <w:szCs w:val="20"/>
                <w:color w:val="auto"/>
              </w:rPr>
            </w:pPr>
            <w:r>
              <w:rPr>
                <w:rFonts w:ascii="Times New Roman" w:cs="Times New Roman" w:eastAsia="Times New Roman" w:hAnsi="Times New Roman"/>
                <w:sz w:val="18"/>
                <w:szCs w:val="18"/>
                <w:color w:val="auto"/>
                <w:w w:val="98"/>
              </w:rPr>
              <w:t>11.9%</w:t>
            </w:r>
          </w:p>
        </w:tc>
        <w:tc>
          <w:tcPr>
            <w:tcW w:w="100" w:type="dxa"/>
            <w:vAlign w:val="bottom"/>
            <w:shd w:val="clear" w:color="auto" w:fill="CCEEFF"/>
          </w:tcPr>
          <w:p>
            <w:pPr>
              <w:spacing w:after="0"/>
              <w:rPr>
                <w:sz w:val="19"/>
                <w:szCs w:val="19"/>
                <w:color w:val="auto"/>
              </w:rPr>
            </w:pP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6.9%</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2222"/>
        </w:rPr>
        <w:t>7. INCOME TAXES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effective income tax rate three and nine months ended September 30, 2025 approximated the 21% statutory rate.</w:t>
      </w:r>
    </w:p>
    <w:p>
      <w:pPr>
        <w:spacing w:after="0" w:line="117" w:lineRule="exact"/>
        <w:rPr>
          <w:sz w:val="20"/>
          <w:szCs w:val="20"/>
          <w:color w:val="auto"/>
        </w:rPr>
      </w:pPr>
    </w:p>
    <w:p>
      <w:pPr>
        <w:ind w:right="500" w:firstLine="486"/>
        <w:spacing w:after="0" w:line="312" w:lineRule="auto"/>
        <w:rPr>
          <w:sz w:val="20"/>
          <w:szCs w:val="20"/>
          <w:color w:val="auto"/>
        </w:rPr>
      </w:pPr>
      <w:r>
        <w:rPr>
          <w:rFonts w:ascii="Times New Roman" w:cs="Times New Roman" w:eastAsia="Times New Roman" w:hAnsi="Times New Roman"/>
          <w:sz w:val="17"/>
          <w:szCs w:val="17"/>
          <w:color w:val="auto"/>
        </w:rPr>
        <w:t>Our effective income tax rate differed from the 21% statutory rate for the three and nine months ended September 30, 2024 due to permanent differences between book and tax restricted stock expense based on a decrease in our stock price between the restricted stock grant and vesting dates.</w:t>
      </w:r>
    </w:p>
    <w:p>
      <w:pPr>
        <w:spacing w:after="0" w:line="32" w:lineRule="exact"/>
        <w:rPr>
          <w:sz w:val="20"/>
          <w:szCs w:val="20"/>
          <w:color w:val="auto"/>
        </w:rPr>
      </w:pPr>
    </w:p>
    <w:p>
      <w:pPr>
        <w:jc w:val="both"/>
        <w:ind w:right="80" w:firstLine="486"/>
        <w:spacing w:after="0" w:line="266"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into United States law. The OBBBA extends or makes permanent various tax provisions that were originally enacted in the 2017 Tax Cuts and Jobs Act, and were set to expire at the end of 2025. We are in the process of analyzing the impact of the OBBBA on our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EARNINGS PER SHARE</w:t>
      </w:r>
    </w:p>
    <w:p>
      <w:pPr>
        <w:spacing w:after="0" w:line="121" w:lineRule="exact"/>
        <w:rPr>
          <w:sz w:val="20"/>
          <w:szCs w:val="20"/>
          <w:color w:val="auto"/>
        </w:rPr>
      </w:pPr>
    </w:p>
    <w:p>
      <w:pPr>
        <w:jc w:val="both"/>
        <w:ind w:right="140" w:firstLine="486"/>
        <w:spacing w:after="0" w:line="266" w:lineRule="auto"/>
        <w:rPr>
          <w:sz w:val="20"/>
          <w:szCs w:val="20"/>
          <w:color w:val="auto"/>
        </w:rPr>
      </w:pPr>
      <w:r>
        <w:rPr>
          <w:rFonts w:ascii="Times New Roman" w:cs="Times New Roman" w:eastAsia="Times New Roman" w:hAnsi="Times New Roman"/>
          <w:sz w:val="18"/>
          <w:szCs w:val="18"/>
          <w:color w:val="auto"/>
        </w:rPr>
        <w:t>Basic earnings per common share is computed by dividing income attributable to Westwood Holdings Group, Inc. by the weighted average number of shares outstanding for the applicable period. Diluted earnings per share is computed based on the weighted average number of shares outstanding plus the effect of any dilutive shares of restricted stock granted to employees and non-employee directors.</w:t>
      </w:r>
    </w:p>
    <w:p>
      <w:pPr>
        <w:spacing w:after="0" w:line="68" w:lineRule="exact"/>
        <w:rPr>
          <w:sz w:val="20"/>
          <w:szCs w:val="20"/>
          <w:color w:val="auto"/>
        </w:rPr>
      </w:pPr>
    </w:p>
    <w:p>
      <w:pPr>
        <w:ind w:right="300" w:firstLine="486"/>
        <w:spacing w:after="0" w:line="266" w:lineRule="auto"/>
        <w:rPr>
          <w:sz w:val="20"/>
          <w:szCs w:val="20"/>
          <w:color w:val="auto"/>
        </w:rPr>
      </w:pPr>
      <w:r>
        <w:rPr>
          <w:rFonts w:ascii="Times New Roman" w:cs="Times New Roman" w:eastAsia="Times New Roman" w:hAnsi="Times New Roman"/>
          <w:sz w:val="18"/>
          <w:szCs w:val="18"/>
          <w:color w:val="auto"/>
        </w:rPr>
        <w:t>There were no anti-dilutive restricted shares outstanding for the three months ended September 30, 2025 and September 30, 2024, respectively. There were approximately 7,000 and 9,000 anti-dilutive restricted shares outstanding for the nine months ended September 30, 2025 and September 30, 2024, respectively.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 (Unaudited)</w:t>
      </w:r>
    </w:p>
    <w:p>
      <w:pPr>
        <w:spacing w:after="0" w:line="200" w:lineRule="exact"/>
        <w:rPr>
          <w:sz w:val="20"/>
          <w:szCs w:val="20"/>
          <w:color w:val="auto"/>
        </w:rPr>
      </w:pPr>
    </w:p>
    <w:p>
      <w:pPr>
        <w:spacing w:after="0" w:line="2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(in thousands, except per share and share amounts):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60" w:type="dxa"/>
            <w:vAlign w:val="bottom"/>
            <w:gridSpan w:val="5"/>
          </w:tcPr>
          <w:p>
            <w:pPr>
              <w:ind w:left="160"/>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280" w:type="dxa"/>
            <w:vAlign w:val="bottom"/>
          </w:tcPr>
          <w:p>
            <w:pPr>
              <w:spacing w:after="0"/>
              <w:rPr>
                <w:sz w:val="17"/>
                <w:szCs w:val="17"/>
                <w:color w:val="auto"/>
              </w:rPr>
            </w:pPr>
          </w:p>
        </w:tc>
        <w:tc>
          <w:tcPr>
            <w:tcW w:w="2940" w:type="dxa"/>
            <w:vAlign w:val="bottom"/>
            <w:gridSpan w:val="4"/>
          </w:tcPr>
          <w:p>
            <w:pPr>
              <w:jc w:val="right"/>
              <w:ind w:right="396"/>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r>
      <w:tr>
        <w:trPr>
          <w:trHeight w:val="200"/>
        </w:trPr>
        <w:tc>
          <w:tcPr>
            <w:tcW w:w="47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37"/>
              <w:spacing w:after="0"/>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37"/>
              <w:spacing w:after="0"/>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attributable to Westwood Holdings Group, Inc.</w:t>
            </w: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w:t>
            </w:r>
          </w:p>
        </w:tc>
      </w:tr>
      <w:tr>
        <w:trPr>
          <w:trHeight w:val="228"/>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Weighted average shares outstanding - basic</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8,418,174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8,123,714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8,359,584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8,140,664</w:t>
            </w:r>
          </w:p>
        </w:tc>
      </w:tr>
      <w:tr>
        <w:trPr>
          <w:trHeight w:val="231"/>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Dilutive potential shares from unvested restricted shares</w:t>
            </w:r>
          </w:p>
        </w:tc>
        <w:tc>
          <w:tcPr>
            <w:tcW w:w="2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523,173</w:t>
            </w: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364,658</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486,584</w:t>
            </w: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307,965</w:t>
            </w:r>
          </w:p>
        </w:tc>
      </w:tr>
      <w:tr>
        <w:trPr>
          <w:trHeight w:val="219"/>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Weighted average shares outstanding - diluted</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8,941,347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8,488,372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8,846,168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8,448,629</w:t>
            </w:r>
          </w:p>
        </w:tc>
      </w:tr>
      <w:tr>
        <w:trPr>
          <w:trHeight w:val="23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Earnings per share:</w:t>
            </w: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6"/>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0.44</w:t>
            </w:r>
          </w:p>
        </w:tc>
        <w:tc>
          <w:tcPr>
            <w:tcW w:w="120" w:type="dxa"/>
            <w:vAlign w:val="bottom"/>
          </w:tcPr>
          <w:p>
            <w:pPr>
              <w:spacing w:after="0"/>
              <w:rPr>
                <w:sz w:val="19"/>
                <w:szCs w:val="19"/>
                <w:color w:val="auto"/>
              </w:rPr>
            </w:pP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12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0.62</w:t>
            </w:r>
          </w:p>
        </w:tc>
        <w:tc>
          <w:tcPr>
            <w:tcW w:w="120" w:type="dxa"/>
            <w:vAlign w:val="bottom"/>
          </w:tcPr>
          <w:p>
            <w:pPr>
              <w:spacing w:after="0"/>
              <w:rPr>
                <w:sz w:val="19"/>
                <w:szCs w:val="19"/>
                <w:color w:val="auto"/>
              </w:rPr>
            </w:pP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0.02</w:t>
            </w:r>
          </w:p>
        </w:tc>
      </w:tr>
      <w:tr>
        <w:trPr>
          <w:trHeight w:val="23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w:t>
            </w: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0.41</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0.59</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0.02</w:t>
            </w:r>
          </w:p>
        </w:tc>
      </w:tr>
    </w:tbl>
    <w:p>
      <w:pPr>
        <w:spacing w:after="0" w:line="200" w:lineRule="exact"/>
        <w:rPr>
          <w:sz w:val="20"/>
          <w:szCs w:val="20"/>
          <w:color w:val="auto"/>
        </w:rPr>
      </w:pPr>
    </w:p>
    <w:p>
      <w:pPr>
        <w:spacing w:after="0" w:line="385" w:lineRule="exact"/>
        <w:rPr>
          <w:sz w:val="20"/>
          <w:szCs w:val="20"/>
          <w:color w:val="auto"/>
        </w:rPr>
      </w:pPr>
    </w:p>
    <w:p>
      <w:pPr>
        <w:ind w:right="6980" w:firstLine="8"/>
        <w:spacing w:after="0" w:line="377" w:lineRule="auto"/>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 ASSETS Goodwill</w:t>
      </w:r>
    </w:p>
    <w:p>
      <w:pPr>
        <w:spacing w:after="0" w:line="2"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Goodwill represents the excess of the cost of acquired assets over the fair value of the underlying liabilities at the date of acquisition. Goodwill is not amortized but is reviewed for impairment annually, or between annual assessments if a triggering event occurs or circumstances change that would more likely than not result in the fair value of a reporting unit below its carrying amount. We completed our most recent annual goodwill impairment assessment during the third quarter of 2025 and determined that no goodwill impairment related to the Advisory or Trust segment was required. No goodwill impairments were recorded during the three and nine months ended September 30, 2025 or September 30, 2024.</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Goodwill balances were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Trust Segment</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Advisory Segment</w:t>
            </w:r>
          </w:p>
        </w:tc>
        <w:tc>
          <w:tcPr>
            <w:tcW w:w="500" w:type="dxa"/>
            <w:vAlign w:val="bottom"/>
          </w:tcPr>
          <w:p>
            <w:pPr>
              <w:spacing w:after="0"/>
              <w:rPr>
                <w:sz w:val="20"/>
                <w:szCs w:val="20"/>
                <w:color w:val="auto"/>
              </w:rPr>
            </w:pPr>
          </w:p>
        </w:tc>
        <w:tc>
          <w:tcPr>
            <w:tcW w:w="1640" w:type="dxa"/>
            <w:vAlign w:val="bottom"/>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3"/>
        </w:trPr>
        <w:tc>
          <w:tcPr>
            <w:tcW w:w="4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ind w:right="14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23,100</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39,501</w:t>
            </w:r>
          </w:p>
        </w:tc>
      </w:tr>
      <w:tr>
        <w:trPr>
          <w:trHeight w:val="226"/>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September 30, 2025</w:t>
            </w:r>
          </w:p>
        </w:tc>
        <w:tc>
          <w:tcPr>
            <w:tcW w:w="1600" w:type="dxa"/>
            <w:vAlign w:val="bottom"/>
          </w:tcPr>
          <w:p>
            <w:pPr>
              <w:jc w:val="right"/>
              <w:ind w:right="14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16,401</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23,100</w:t>
            </w:r>
          </w:p>
        </w:tc>
        <w:tc>
          <w:tcPr>
            <w:tcW w:w="100" w:type="dxa"/>
            <w:vAlign w:val="bottom"/>
          </w:tcPr>
          <w:p>
            <w:pPr>
              <w:spacing w:after="0"/>
              <w:rPr>
                <w:sz w:val="19"/>
                <w:szCs w:val="19"/>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39,501</w:t>
            </w: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p>
      <w:pPr>
        <w:spacing w:after="0" w:line="121"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Our intangible assets represent the acquisition date fair value of acquired client relationships, trade names, non-compete agreements and internally developed software and are reflected net of amortization. In valuing these assets, we made significant estimates regarding their useful lives, growth rates and potential attrition. We periodically review intangible assets for events or circumstances that would indicate impairment. No intangible asset impairments were recorded during the three and nine months ended September 30, 2025 or September 30, 2024.</w:t>
      </w:r>
    </w:p>
    <w:p>
      <w:pPr>
        <w:spacing w:after="0" w:line="72" w:lineRule="exact"/>
        <w:rPr>
          <w:sz w:val="20"/>
          <w:szCs w:val="20"/>
          <w:color w:val="auto"/>
        </w:rPr>
      </w:pPr>
    </w:p>
    <w:p>
      <w:pPr>
        <w:jc w:val="both"/>
        <w:ind w:right="200" w:firstLine="486"/>
        <w:spacing w:after="0" w:line="266" w:lineRule="auto"/>
        <w:rPr>
          <w:sz w:val="20"/>
          <w:szCs w:val="20"/>
          <w:color w:val="auto"/>
        </w:rPr>
      </w:pPr>
      <w:r>
        <w:rPr>
          <w:rFonts w:ascii="Times New Roman" w:cs="Times New Roman" w:eastAsia="Times New Roman" w:hAnsi="Times New Roman"/>
          <w:sz w:val="18"/>
          <w:szCs w:val="18"/>
          <w:color w:val="auto"/>
        </w:rPr>
        <w:t>Amortization expense, which is included in “General and administrative” expense on our Condensed Consolidated Statements of Operations, was $1.1 million and $1.0 million for the three months ended September 30, 2025 and September 30, 2024, respectively, and $3.1 million for the nine months ended September 30, 2025 and September 30, 2024,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2222"/>
        </w:rPr>
        <w:t>10. LEASES</w:t>
      </w:r>
    </w:p>
    <w:p>
      <w:pPr>
        <w:spacing w:after="0" w:line="121"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On June 24, 2025, we renewed our office lease for approximately 30,000 square feet located in Dallas, Texas. This lease is expected to commence in the second quarter of fiscal 2026 for a term of 11.4 years. Our total obligation for the base rent will be approximately $8.7 million.</w:t>
      </w:r>
    </w:p>
    <w:p>
      <w:pPr>
        <w:spacing w:after="0" w:line="54"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As of September 30, 2025 there have been no other material changes outside the ordinary course of business to our leases since December 31, 2024. For information regarding our leases, refer to Note 12 “Leases” in Part IV, Item 15. “Exhibits, Financial Statement Schedules” in our Annual Report on Form 10-K for the fiscal year ended December 31, 2024.</w:t>
      </w:r>
    </w:p>
    <w:p>
      <w:pPr>
        <w:spacing w:after="0" w:line="64" w:lineRule="exact"/>
        <w:rPr>
          <w:sz w:val="20"/>
          <w:szCs w:val="20"/>
          <w:color w:val="auto"/>
        </w:rPr>
      </w:pPr>
    </w:p>
    <w:p>
      <w:pPr>
        <w:ind w:right="8660" w:firstLine="8"/>
        <w:spacing w:after="0" w:line="412" w:lineRule="auto"/>
        <w:tabs>
          <w:tab w:leader="none" w:pos="2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Share Repurchase Program</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 (Unaudited)</w:t>
      </w:r>
    </w:p>
    <w:p>
      <w:pPr>
        <w:spacing w:after="0" w:line="200" w:lineRule="exact"/>
        <w:rPr>
          <w:sz w:val="20"/>
          <w:szCs w:val="20"/>
          <w:color w:val="auto"/>
        </w:rPr>
      </w:pPr>
    </w:p>
    <w:p>
      <w:pPr>
        <w:spacing w:after="0" w:line="2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September 30, 2025, shares up to a value of $5.5 million may yet be repurchased under our plan.</w:t>
      </w:r>
    </w:p>
    <w:p>
      <w:pPr>
        <w:spacing w:after="0" w:line="117" w:lineRule="exact"/>
        <w:rPr>
          <w:sz w:val="20"/>
          <w:szCs w:val="20"/>
          <w:color w:val="auto"/>
        </w:rPr>
      </w:pPr>
    </w:p>
    <w:p>
      <w:pPr>
        <w:ind w:right="300" w:firstLine="486"/>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did not repurchase any shares of our common stock. During the three months ended September 30, 2024, the Company repurchased 21,879 shares of our common stock at an average price of $12.50 per share, including commissions, for an aggregate purchase price of $0.3 million under our share repurchase plan. During the nine months ended September 30, 2024, the Company repurchased 108,225 shares of our common stock at an average price of $12.46 per share, including commissions, for an aggregate purchase price of $1.3 million under our share repurchase plan.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VARIABLE INTEREST ENTITIES</w:t>
      </w:r>
    </w:p>
    <w:p>
      <w:pPr>
        <w:spacing w:after="0" w:line="121" w:lineRule="exact"/>
        <w:rPr>
          <w:sz w:val="20"/>
          <w:szCs w:val="20"/>
          <w:color w:val="auto"/>
        </w:rPr>
      </w:pPr>
    </w:p>
    <w:p>
      <w:pPr>
        <w:ind w:right="340" w:firstLine="486"/>
        <w:spacing w:after="0" w:line="258" w:lineRule="auto"/>
        <w:rPr>
          <w:sz w:val="20"/>
          <w:szCs w:val="20"/>
          <w:color w:val="auto"/>
        </w:rPr>
      </w:pPr>
      <w:r>
        <w:rPr>
          <w:rFonts w:ascii="Times New Roman" w:cs="Times New Roman" w:eastAsia="Times New Roman" w:hAnsi="Times New Roman"/>
          <w:sz w:val="18"/>
          <w:szCs w:val="18"/>
          <w:color w:val="auto"/>
        </w:rPr>
        <w:t xml:space="preserve">We evaluated (i) our relationship as sponsor of the Common Trust Funds (“CTFs”) and managing member of the private equity funds Westwood Hospitality, Westwood Technology Opportunities Fund I, LP and Westwood Energy Secondaries (collectively the “Private Funds”), (ii) our advisory relationships with the Westwood Funds® and (iii) our investments in InvestCloud, Vista, Zarvona Energy Fund GP, Zarvona Energy Fund II-A, WEBs TXSE and Ridgeline as discussed in Note 5 </w:t>
      </w:r>
      <w:r>
        <w:rPr>
          <w:rFonts w:ascii="Times New Roman" w:cs="Times New Roman" w:eastAsia="Times New Roman" w:hAnsi="Times New Roman"/>
          <w:sz w:val="18"/>
          <w:szCs w:val="18"/>
          <w:color w:val="222222"/>
        </w:rPr>
        <w:t>“Investments”</w:t>
      </w:r>
      <w:r>
        <w:rPr>
          <w:rFonts w:ascii="Times New Roman" w:cs="Times New Roman" w:eastAsia="Times New Roman" w:hAnsi="Times New Roman"/>
          <w:sz w:val="18"/>
          <w:szCs w:val="18"/>
          <w:color w:val="auto"/>
        </w:rPr>
        <w:t xml:space="preserve"> (“Private Equity”) to determine whether each of these entities is a variable interest entity (“VIE”) or voting ownership entity (“VOE”).</w:t>
      </w:r>
    </w:p>
    <w:p>
      <w:pPr>
        <w:spacing w:after="0" w:line="75" w:lineRule="exact"/>
        <w:rPr>
          <w:sz w:val="20"/>
          <w:szCs w:val="20"/>
          <w:color w:val="auto"/>
        </w:rPr>
      </w:pPr>
    </w:p>
    <w:p>
      <w:pPr>
        <w:ind w:right="60" w:firstLine="486"/>
        <w:spacing w:after="0" w:line="271" w:lineRule="auto"/>
        <w:rPr>
          <w:sz w:val="20"/>
          <w:szCs w:val="20"/>
          <w:color w:val="auto"/>
        </w:rPr>
      </w:pPr>
      <w:r>
        <w:rPr>
          <w:rFonts w:ascii="Times New Roman" w:cs="Times New Roman" w:eastAsia="Times New Roman" w:hAnsi="Times New Roman"/>
          <w:sz w:val="17"/>
          <w:szCs w:val="17"/>
          <w:color w:val="auto"/>
        </w:rPr>
        <w:t>Based on our analyses, the CTFs, Private Funds, Zarvona Energy Fund II-A and WEBs (together the “Westwood VIEs”) are considered VIEs, and the Westwood Funds®, InvestCloud, Vista, Zarvona Energy Fund GP, TXSE and Ridgeline are considered VOEs (together the “Westwood VOEs”). We receive fees for managing assets in all of these entities commensurate with market rates. As of September 30, 2025 and December 31, 2024, we evaluated all of the Westwood VIEs and Westwood VOEs to determine whether or not we should consolidate the entities into our Condensed Consolidated Financial Statements. For the Westwood VIEs, we evaluated whether or not we qualify as the primary beneficiary based on whether we have the obligation to absorb significant losses, the right to receive residual returns and the right to direct the activities of the entity that most significantly impact the entity’s economic performance, and concluded that we do not qualify as a primary beneficiary for those entities. For the Westwood VOEs, we evaluated whether or not we own a controlling financial interest in the entities, and we concluded that we do not. Based on our analyses, we have not consolidated the Westwood VIEs or Westwood VOEs into our Condensed Consolidated Financial Statements for the periods ending September 30, 2025 and December 31, 2024.</w:t>
      </w:r>
    </w:p>
    <w:p>
      <w:pPr>
        <w:spacing w:after="0" w:line="65"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We have not otherwise provided any financial support that we were not previously contractually obligated to provide and there are no arrangements that would require us to provide additional financial support to any of these entities. Our seed investments in the Westwood Funds® are accounted for as investments in accordance with our other investments described in Note 5 “Investments.”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recognized fee revenue from the Westwood VIEs and Westwood VOEs as follows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80" w:type="dxa"/>
            <w:vAlign w:val="bottom"/>
            <w:gridSpan w:val="5"/>
          </w:tcPr>
          <w:p>
            <w:pPr>
              <w:ind w:left="10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Pr>
          <w:p>
            <w:pPr>
              <w:spacing w:after="0"/>
              <w:rPr>
                <w:sz w:val="18"/>
                <w:szCs w:val="18"/>
                <w:color w:val="auto"/>
              </w:rPr>
            </w:pPr>
          </w:p>
        </w:tc>
        <w:tc>
          <w:tcPr>
            <w:tcW w:w="3980" w:type="dxa"/>
            <w:vAlign w:val="bottom"/>
            <w:gridSpan w:val="4"/>
          </w:tcPr>
          <w:p>
            <w:pPr>
              <w:jc w:val="right"/>
              <w:ind w:right="1315"/>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1"/>
        </w:trPr>
        <w:tc>
          <w:tcPr>
            <w:tcW w:w="29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4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September 30, 2024</w:t>
            </w:r>
          </w:p>
        </w:tc>
      </w:tr>
      <w:tr>
        <w:trPr>
          <w:trHeight w:val="225"/>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Fee Revenues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r>
    </w:tbl>
    <w:p>
      <w:pPr>
        <w:spacing w:after="0" w:line="200" w:lineRule="exact"/>
        <w:rPr>
          <w:sz w:val="20"/>
          <w:szCs w:val="20"/>
          <w:color w:val="auto"/>
        </w:rPr>
      </w:pPr>
    </w:p>
    <w:p>
      <w:pPr>
        <w:spacing w:after="0" w:line="335"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display the AUM, the amount of our seed investments that are included in “Investments” and “Investments, at fair value” on the Condensed Consolidated Balance Sheets, and the financial risk of loss in each vehicle (in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 (Unaudited)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7"/>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As of September 30, 2025</w:t>
            </w: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rPr>
              <w:t>Assets</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Under</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Amount at Risk</w:t>
            </w:r>
          </w:p>
        </w:tc>
        <w:tc>
          <w:tcPr>
            <w:tcW w:w="0" w:type="dxa"/>
            <w:vAlign w:val="bottom"/>
          </w:tcPr>
          <w:p>
            <w:pPr>
              <w:spacing w:after="0"/>
              <w:rPr>
                <w:sz w:val="1"/>
                <w:szCs w:val="1"/>
                <w:color w:val="auto"/>
              </w:rPr>
            </w:pPr>
          </w:p>
        </w:tc>
      </w:tr>
      <w:tr>
        <w:trPr>
          <w:trHeight w:val="214"/>
        </w:trPr>
        <w:tc>
          <w:tcPr>
            <w:tcW w:w="6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Management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12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VIEs/VOEs:</w:t>
            </w: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Westwood Funds®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Trust Funds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Private Funds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Private Equity</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assets: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Wealth Management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Institutional</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8,841</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Under Management</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17,349</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66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6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rPr>
              <w:t>Assets</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Under</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Amount at Risk</w:t>
            </w:r>
          </w:p>
        </w:tc>
        <w:tc>
          <w:tcPr>
            <w:tcW w:w="0" w:type="dxa"/>
            <w:vAlign w:val="bottom"/>
          </w:tcPr>
          <w:p>
            <w:pPr>
              <w:spacing w:after="0"/>
              <w:rPr>
                <w:sz w:val="1"/>
                <w:szCs w:val="1"/>
                <w:color w:val="auto"/>
              </w:rPr>
            </w:pPr>
          </w:p>
        </w:tc>
      </w:tr>
      <w:tr>
        <w:trPr>
          <w:trHeight w:val="214"/>
        </w:trPr>
        <w:tc>
          <w:tcPr>
            <w:tcW w:w="6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Management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12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VIEs/VOEs:</w:t>
            </w: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Westwood Funds®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3,915</w:t>
            </w: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Trust Funds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Private Funds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Private Equity</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70"/>
        </w:trPr>
        <w:tc>
          <w:tcPr>
            <w:tcW w:w="6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 assets: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Wealth Management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Institutional</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8,534</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AUM</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16,607</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2222"/>
        </w:rPr>
        <w:t>13. RELATED PARTY TRANSACTIONS</w:t>
      </w:r>
    </w:p>
    <w:p>
      <w:pPr>
        <w:spacing w:after="0" w:line="121"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The Company engages in transactions with its affiliates in the ordinary course of business. Westwood Management provides investment advisory services to the Westwood Funds®. Under the terms of the investment advisory agreements, the Company earns quarterly fees paid by clients of the fund or by the funds directly. The fees are based on negotiated fee schedules applied to AUM. For the three and nine months ended September 30, 2025 and September 30, 2024, the Company earned immaterial fees from the affiliated funds.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Dividend Declared</w:t>
      </w:r>
    </w:p>
    <w:p>
      <w:pPr>
        <w:spacing w:after="0" w:line="119"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On October 30, 2025, the Board of Directors declared a quarterly cash dividend of $0.15 per share of common stock payable on January 2, 2026 to stockholders of record on December 1, 2025.</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 w:name="page19"/>
    <w:bookmarkEnd w:id="18"/>
    <w:p>
      <w:pPr>
        <w:ind w:right="90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OF FINANCIAL CONDITION AND RESULTS OF OPERATIONS </w:t>
      </w:r>
      <w:r>
        <w:rPr>
          <w:rFonts w:ascii="Times New Roman" w:cs="Times New Roman" w:eastAsia="Times New Roman" w:hAnsi="Times New Roman"/>
          <w:sz w:val="18"/>
          <w:szCs w:val="18"/>
          <w:b w:val="1"/>
          <w:bCs w:val="1"/>
          <w:u w:val="single" w:color="auto"/>
          <w:color w:val="auto"/>
        </w:rPr>
        <w:t>Forward-Looking Statements</w:t>
      </w:r>
    </w:p>
    <w:p>
      <w:pPr>
        <w:spacing w:after="0" w:line="2"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Statements in this report and our Annual Report to Stockholders that are not purely historical facts, including, without limitation, statements about our expected future financial position, results of operations or cash flows, as well as other statements including, without limitation, words such as “anticipate,” “believe,” “plan,” “estimate,” “expect,” “intend,” “should,” “could,” “goal,” “potentially,” “may,” “designed”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 forward-looking statements due to a number of factors, including, without limitation, the risks described under “Risk Factors” in our Annual Report on Form 10-K for the year ended December 31, 2024 and those risks set forth below:</w:t>
      </w:r>
    </w:p>
    <w:p>
      <w:pPr>
        <w:spacing w:after="0" w:line="81"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composition and market value of our AUM and AUA;</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fee structure in light of competitive fee pressures;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actions of activist stockholders;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our common stockholders have included and may in the future include a return of capital;</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inclusion of foreign company investments in our AUM;</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adversely affecting the financial services industry;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cyber security;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risks;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market new investment strategies successfully;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our relationships with current and potential customers;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personnel;</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perform operational tasks;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select and oversee third-party vendors;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operations and funds of our subsidiaries;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information systems;</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prevent misuse of assets and information in the possession of our employees and third-party vendors, which could damage our reputation and result in costly litigation and liability for our clients and us;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is thinly traded and may be subject to volatility;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investment management industry;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avoid termination of client agreements and the related investment redemptions;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concentration of our revenues in a small number of customers;</w:t>
      </w:r>
    </w:p>
    <w:p>
      <w:pPr>
        <w:spacing w:after="0" w:line="117" w:lineRule="exact"/>
        <w:rPr>
          <w:rFonts w:ascii="Times New Roman" w:cs="Times New Roman" w:eastAsia="Times New Roman" w:hAnsi="Times New Roman"/>
          <w:sz w:val="18"/>
          <w:szCs w:val="18"/>
          <w:color w:val="auto"/>
        </w:rPr>
      </w:pPr>
    </w:p>
    <w:p>
      <w:pPr>
        <w:ind w:left="980" w:right="360" w:hanging="324"/>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made and may continue to make business combinations as a part of our business strategy, which may present certain risks and uncertainties;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investment consulting firms;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execute on our strategic initiatives;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declare and pay dividends;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fund future capital requirements on favorable terms;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properly address conflicts of interest;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adequate insurance coverage;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internal controls.</w:t>
      </w:r>
    </w:p>
    <w:p>
      <w:pPr>
        <w:sectPr>
          <w:pgSz w:w="11900" w:h="16838" w:orient="portrait"/>
          <w:cols w:equalWidth="0" w:num="1">
            <w:col w:w="11040"/>
          </w:cols>
          <w:pgMar w:left="320" w:top="108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89" w:right="539" w:bottom="1440" w:gutter="0" w:footer="0" w:header="0"/>
          <w:type w:val="continuous"/>
        </w:sectPr>
      </w:pPr>
    </w:p>
    <w:bookmarkStart w:id="19" w:name="page20"/>
    <w:bookmarkEnd w:id="19"/>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You should not unduly rely on these forward-looking statements, which speak only as of the date of this report. We are not obligated and do not undertake an obligation to publicly release any revisions to these forward-looking statements to reflect events or circumstances occurring after the date of this report or to reflect the occurrence of unanticipated events or otherwise.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121" w:lineRule="exact"/>
        <w:rPr>
          <w:sz w:val="20"/>
          <w:szCs w:val="20"/>
          <w:color w:val="auto"/>
        </w:rPr>
      </w:pPr>
    </w:p>
    <w:p>
      <w:pPr>
        <w:ind w:right="380" w:firstLine="486"/>
        <w:spacing w:after="0" w:line="261" w:lineRule="auto"/>
        <w:rPr>
          <w:sz w:val="20"/>
          <w:szCs w:val="20"/>
          <w:color w:val="auto"/>
        </w:rPr>
      </w:pPr>
      <w:r>
        <w:rPr>
          <w:rFonts w:ascii="Times New Roman" w:cs="Times New Roman" w:eastAsia="Times New Roman" w:hAnsi="Times New Roman"/>
          <w:sz w:val="18"/>
          <w:szCs w:val="18"/>
          <w:color w:val="auto"/>
        </w:rPr>
        <w:t>We manage investment assets and provide services for our clients through our subsidiaries, Westwood Management Corp., Westwood Advisors, L.L.C. and Salient Advisors, L.P. and Broadmark Asset Management LLC (each of which is an SEC-registered investment advisor and referred to hereinafter together as "Westwood Management") and Westwood Trust. Westwood Management provides investment advisory services to institutional investors, a family of mutual funds called the Westwood Funds®, other mutual funds, individuals and clients of Westwood Trust.</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Westwood Trust provides trust and custodial services and participation in common trust funds to institutions and high net worth individuals.</w:t>
      </w:r>
    </w:p>
    <w:p>
      <w:pPr>
        <w:spacing w:after="0" w:line="117"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Our revenues are generally derived from fees based on a percentage of AUM and AUA, and Westwood Management and Westwood Trust collectively had AUM of approximately $17.3 billion and AUA of approximately $1.0 billion at September 30, 2025. We have established a track record of delivering competitive, risk-adjusted returns for our clients.</w:t>
      </w:r>
    </w:p>
    <w:p>
      <w:pPr>
        <w:spacing w:after="0" w:line="68"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With respect to most of our AUM, we utilize a "value" investment style focused on achieving superior long-term, risk-adjusted returns by investing in companies with high levels of free cash flow, improving returns on equity and strengthening balance sheets that are well positioned for growth but whose value is not fully recognized in the marketplace. This investment approach is designed to limit downside during unfavorable periods and provide superior real returns over the long term. Our investment teams have significant industry experience. Our investment team members have an average investment experience of over twenty years.</w:t>
      </w:r>
    </w:p>
    <w:p>
      <w:pPr>
        <w:spacing w:after="0" w:line="75"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We have built a foundation in terms of personnel and infrastructure to support a much larger business and we have developed investment strategies that we believe will be sought after within our target institutional, wealth management and intermediary markets. Developing new products and growing the organization has resulted in our incurring expenses that, in some cases, have not yet generated significant offsetting revenues. We believe that investors will recognize the potential for new revenue streams inherent in these products and services; however, there is no guarantee that they will occur.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We derive our revenues from investment advisory fees, trust fees and other revenues. Our advisory fees are generated by Westwood Management, which manages client accounts under investment advisory and sub-advisory agreements. Advisory fees are typically calculated based on a percentage of AUM and AUA and are paid in accordance with the terms of the agreements. Advisory fees are paid quarterly in advance based on AUM on the last day of the preceding quarter, quarterly in arrears based on AUM on the last day of the quarter just ended or are based on a daily or monthly analysis of AUM for the stated period. We recognize advisory fee revenues as services are rendered. Certain of our clients have a contractual performance-based fee component in their contracts, which generates additional revenues if we outperform a specified index over a specific period of time. We record revenue for performance-based fees at the end of the measurement period. Since our advance paying clients’ billing periods coincide with the calendar quarter to which such payments relate, revenue is recognized within the quarter, and our Condensed Consolidated Financial Statements contain no deferred advisory fee revenues.</w:t>
      </w:r>
    </w:p>
    <w:p>
      <w:pPr>
        <w:spacing w:after="0" w:line="80" w:lineRule="exact"/>
        <w:rPr>
          <w:sz w:val="20"/>
          <w:szCs w:val="20"/>
          <w:color w:val="auto"/>
        </w:rPr>
      </w:pPr>
    </w:p>
    <w:p>
      <w:pPr>
        <w:ind w:right="220" w:firstLine="486"/>
        <w:spacing w:after="0" w:line="258" w:lineRule="auto"/>
        <w:rPr>
          <w:sz w:val="20"/>
          <w:szCs w:val="20"/>
          <w:color w:val="auto"/>
        </w:rPr>
      </w:pPr>
      <w:r>
        <w:rPr>
          <w:rFonts w:ascii="Times New Roman" w:cs="Times New Roman" w:eastAsia="Times New Roman" w:hAnsi="Times New Roman"/>
          <w:sz w:val="18"/>
          <w:szCs w:val="18"/>
          <w:color w:val="auto"/>
        </w:rPr>
        <w:t>Our trust fees are generated by Westwood Trust pursuant to trust or custodial agreements. Trust fees are separately negotiated with each client and are generally based on a percentage of AUM. Westwood Trust also provides trust services to a small number of clients on a fixed fee basis. Trust fees are primarily calculated quarterly in arrears based on a daily average of AUM for the quarter. Since billing periods for most of Westwood Trust's clients coincide with the calendar quarter, revenue is fully recognized within the quarter, and our Condensed Consolidated Financial Statements contain no deferred advisory fee revenues.</w:t>
      </w:r>
    </w:p>
    <w:p>
      <w:pPr>
        <w:spacing w:after="0" w:line="75" w:lineRule="exact"/>
        <w:rPr>
          <w:sz w:val="20"/>
          <w:szCs w:val="20"/>
          <w:color w:val="auto"/>
        </w:rPr>
      </w:pPr>
    </w:p>
    <w:p>
      <w:pPr>
        <w:ind w:right="2040" w:firstLine="486"/>
        <w:spacing w:after="0" w:line="375" w:lineRule="auto"/>
        <w:rPr>
          <w:sz w:val="20"/>
          <w:szCs w:val="20"/>
          <w:color w:val="auto"/>
        </w:rPr>
      </w:pPr>
      <w:r>
        <w:rPr>
          <w:rFonts w:ascii="Times New Roman" w:cs="Times New Roman" w:eastAsia="Times New Roman" w:hAnsi="Times New Roman"/>
          <w:sz w:val="18"/>
          <w:szCs w:val="18"/>
          <w:color w:val="auto"/>
        </w:rPr>
        <w:t xml:space="preserve">Our other revenues primarily consist of investment income from seed money investments into new investment strategies. </w:t>
      </w:r>
      <w:r>
        <w:rPr>
          <w:rFonts w:ascii="Times New Roman" w:cs="Times New Roman" w:eastAsia="Times New Roman" w:hAnsi="Times New Roman"/>
          <w:sz w:val="18"/>
          <w:szCs w:val="18"/>
          <w:i w:val="1"/>
          <w:iCs w:val="1"/>
          <w:color w:val="auto"/>
        </w:rPr>
        <w:t>Employee Compensation and Benefits</w:t>
      </w:r>
    </w:p>
    <w:p>
      <w:pPr>
        <w:spacing w:after="0" w:line="1"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Employee compensation and benefits costs generally consist of salaries, sales commissions, incentive compensation, stock-based compensation expense and benefits.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Sales and marketing costs relate to our marketing efforts, including travel and entertainment, direct marketing and advertising costs.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Westwood Funds</w:t>
      </w:r>
    </w:p>
    <w:p>
      <w:pPr>
        <w:spacing w:after="0" w:line="1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Expenses for Westwood funds relate to our marketing, distribution and administration of the Westwood Funds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mutual funds and ETFs.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Technology</w:t>
      </w:r>
    </w:p>
    <w:p>
      <w:pPr>
        <w:spacing w:after="0" w:line="119" w:lineRule="exact"/>
        <w:rPr>
          <w:sz w:val="20"/>
          <w:szCs w:val="20"/>
          <w:color w:val="auto"/>
        </w:rPr>
      </w:pPr>
    </w:p>
    <w:p>
      <w:pPr>
        <w:ind w:right="760" w:firstLine="486"/>
        <w:spacing w:after="0" w:line="282" w:lineRule="auto"/>
        <w:rPr>
          <w:sz w:val="20"/>
          <w:szCs w:val="20"/>
          <w:color w:val="auto"/>
        </w:rPr>
      </w:pPr>
      <w:r>
        <w:rPr>
          <w:rFonts w:ascii="Times New Roman" w:cs="Times New Roman" w:eastAsia="Times New Roman" w:hAnsi="Times New Roman"/>
          <w:sz w:val="18"/>
          <w:szCs w:val="18"/>
          <w:color w:val="auto"/>
        </w:rPr>
        <w:t>Information technology expenses include costs associated with proprietary investment research tools, maintenance and support, computing hardware, software licenses, telecommunications and other related costs.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Professional Services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Professional services expenses generally consist of costs associated with sub-advisory fees, audit, legal and other professional services.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generally consist of costs associated with the lease of office space, amortization, depreciation, insurance, custody expense, Directors' fees, investor relations, licenses and fees, office supplies and other miscellaneous expenses.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loss from change in fair value of contingent consideration</w:t>
      </w:r>
    </w:p>
    <w:p>
      <w:pPr>
        <w:spacing w:after="0" w:line="119" w:lineRule="exact"/>
        <w:rPr>
          <w:sz w:val="20"/>
          <w:szCs w:val="20"/>
          <w:color w:val="auto"/>
        </w:rPr>
      </w:pPr>
    </w:p>
    <w:p>
      <w:pPr>
        <w:ind w:right="60" w:firstLine="648"/>
        <w:spacing w:after="0" w:line="312" w:lineRule="auto"/>
        <w:rPr>
          <w:sz w:val="20"/>
          <w:szCs w:val="20"/>
          <w:color w:val="auto"/>
        </w:rPr>
      </w:pPr>
      <w:r>
        <w:rPr>
          <w:rFonts w:ascii="Times New Roman" w:cs="Times New Roman" w:eastAsia="Times New Roman" w:hAnsi="Times New Roman"/>
          <w:sz w:val="17"/>
          <w:szCs w:val="17"/>
          <w:color w:val="auto"/>
        </w:rPr>
        <w:t>(Gain) loss from change in fair value of contingent consideration consists of fair value adjustments related to contingent consideration from our 2022 acquisition of Salient Partners, L.P. (the "Salient Acquisition"), with gains representing reductions in value and losses representing increases in value.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change in unrealized appreciation (depreciation) on private investments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Net change in unrealized appreciation (depreciation) on private investments includes changes in the value of our privately held investments.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Investment Income</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Net investment income primarily includes interest and dividend income on fixed income securities and money market funds.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Other income primarily consists of income from the sublease of a portion of our corporate offices.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Firm-wide Assets Under Management</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Firm-wide assets under management of $18.3 billion at September 30, 2025 consisted of $17.3 billion of AUM and $1.0 billion of AUA.</w:t>
      </w:r>
    </w:p>
    <w:p>
      <w:pPr>
        <w:spacing w:after="0" w:line="171"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AUM increased $0.5 billion to $17.3 billion at September 30, 2025 compared with $16.8 billion at September 30, 2024. The average of beginning and ending AUM ("average AUM") for the third quarter of 2025 was $17.3 billion compared to $16.3 billion for the third quarter of 2024.</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displays AUM as of September 30, 2025 and 2024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As of September 30,</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1"/>
        </w:trPr>
        <w:tc>
          <w:tcPr>
            <w:tcW w:w="74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5"/>
        </w:trPr>
        <w:tc>
          <w:tcPr>
            <w:tcW w:w="740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Institutional</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8,454</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w w:val="96"/>
              </w:rPr>
              <w:t>7 %</w:t>
            </w:r>
          </w:p>
        </w:tc>
      </w:tr>
      <w:tr>
        <w:trPr>
          <w:trHeight w:val="230"/>
        </w:trPr>
        <w:tc>
          <w:tcPr>
            <w:tcW w:w="7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Wealth Management</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1300" w:type="dxa"/>
            <w:vAlign w:val="bottom"/>
            <w:gridSpan w:val="2"/>
          </w:tcPr>
          <w:p>
            <w:pPr>
              <w:jc w:val="right"/>
              <w:ind w:right="81"/>
              <w:spacing w:after="0"/>
              <w:rPr>
                <w:sz w:val="20"/>
                <w:szCs w:val="20"/>
                <w:color w:val="auto"/>
              </w:rPr>
            </w:pPr>
            <w:r>
              <w:rPr>
                <w:rFonts w:ascii="Times New Roman" w:cs="Times New Roman" w:eastAsia="Times New Roman" w:hAnsi="Times New Roman"/>
                <w:sz w:val="17"/>
                <w:szCs w:val="17"/>
                <w:color w:val="auto"/>
              </w:rPr>
              <w:t>(1)</w:t>
            </w:r>
          </w:p>
        </w:tc>
      </w:tr>
      <w:tr>
        <w:trPr>
          <w:trHeight w:val="229"/>
        </w:trPr>
        <w:tc>
          <w:tcPr>
            <w:tcW w:w="7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23"/>
                <w:szCs w:val="23"/>
                <w:color w:val="auto"/>
                <w:vertAlign w:val="superscript"/>
              </w:rPr>
              <w:t>(3)</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130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2</w:t>
            </w:r>
          </w:p>
        </w:tc>
      </w:tr>
      <w:tr>
        <w:trPr>
          <w:trHeight w:val="22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AUM</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16,752</w:t>
            </w:r>
          </w:p>
        </w:tc>
        <w:tc>
          <w:tcPr>
            <w:tcW w:w="130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w w:val="96"/>
              </w:rPr>
              <w:t>4 %</w:t>
            </w:r>
          </w:p>
        </w:tc>
      </w:tr>
      <w:tr>
        <w:trPr>
          <w:trHeight w:val="20"/>
        </w:trPr>
        <w:tc>
          <w:tcPr>
            <w:tcW w:w="7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315" w:lineRule="exact"/>
        <w:rPr>
          <w:sz w:val="20"/>
          <w:szCs w:val="20"/>
          <w:color w:val="auto"/>
        </w:rPr>
      </w:pPr>
    </w:p>
    <w:p>
      <w:pPr>
        <w:ind w:left="340" w:hanging="332"/>
        <w:spacing w:after="0" w:line="282" w:lineRule="auto"/>
        <w:tabs>
          <w:tab w:leader="none" w:pos="33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Institutional includes (i) separate accounts of corporate pension and profit sharing plans, public employee retirement funds, Taft-Hartley plans, endowments, foundations and individuals; (ii) sub-advisory relationships where Westwood provides investment management services for funds offered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21" w:name="page22"/>
    <w:bookmarkEnd w:id="21"/>
    <w:p>
      <w:pPr>
        <w:ind w:left="340" w:right="20"/>
        <w:spacing w:after="0" w:line="271" w:lineRule="auto"/>
        <w:rPr>
          <w:sz w:val="20"/>
          <w:szCs w:val="20"/>
          <w:color w:val="auto"/>
        </w:rPr>
      </w:pPr>
      <w:r>
        <w:rPr>
          <w:rFonts w:ascii="Times New Roman" w:cs="Times New Roman" w:eastAsia="Times New Roman" w:hAnsi="Times New Roman"/>
          <w:sz w:val="14"/>
          <w:szCs w:val="14"/>
          <w:color w:val="auto"/>
        </w:rPr>
        <w:t>by other financial institutions; (iii) pooled investment vehicles, including collective investment trusts; and (iv) managed account relationships with brokerage firms and other RIAs that offer Westwood products to their customers.</w:t>
      </w:r>
    </w:p>
    <w:p>
      <w:pPr>
        <w:jc w:val="both"/>
        <w:ind w:left="340" w:hanging="332"/>
        <w:spacing w:after="0" w:line="256" w:lineRule="auto"/>
        <w:tabs>
          <w:tab w:leader="none" w:pos="33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Wealth Management includes assets for which Westwood Trust provides trust and custodial services and participation in common trust funds that it sponsors to institutions and high net worth individuals pursuant to trust or agency agreements and assets for which Westwood Advisors, L.L.C. provides advisory services to high net worth individuals. Investment sub-advisory services are provided for the common trust funds by Westwood Management and unaffiliated sub-advisors. For certain assets in this category Westwood Trust provides limited custodial services for a minimal or no fee, viewing these assets as potentially converting to fee-generating managed assets in the future.</w:t>
      </w:r>
    </w:p>
    <w:p>
      <w:pPr>
        <w:spacing w:after="0" w:line="1" w:lineRule="exact"/>
        <w:rPr>
          <w:rFonts w:ascii="Times New Roman" w:cs="Times New Roman" w:eastAsia="Times New Roman" w:hAnsi="Times New Roman"/>
          <w:sz w:val="14"/>
          <w:szCs w:val="14"/>
          <w:color w:val="auto"/>
        </w:rPr>
      </w:pPr>
    </w:p>
    <w:p>
      <w:pPr>
        <w:ind w:left="340" w:hanging="332"/>
        <w:spacing w:after="0" w:line="283" w:lineRule="auto"/>
        <w:tabs>
          <w:tab w:leader="none" w:pos="33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Mutual Funds include the Westwood Funds®, a family of mutual funds for which Westwood Management serves as advisor. These funds are available to individual investors, institutional investors and wealth management accounts.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Roll-Forward of Assets Under Management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Pr>
          <w:p>
            <w:pPr>
              <w:spacing w:after="0"/>
              <w:rPr>
                <w:sz w:val="18"/>
                <w:szCs w:val="18"/>
                <w:color w:val="auto"/>
              </w:rPr>
            </w:pPr>
          </w:p>
        </w:tc>
        <w:tc>
          <w:tcPr>
            <w:tcW w:w="3120" w:type="dxa"/>
            <w:vAlign w:val="bottom"/>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20" w:type="dxa"/>
            <w:vAlign w:val="bottom"/>
            <w:tcBorders>
              <w:bottom w:val="single" w:sz="8" w:color="CCEEFF"/>
            </w:tcBorders>
          </w:tcPr>
          <w:p>
            <w:pPr>
              <w:spacing w:after="0"/>
              <w:rPr>
                <w:sz w:val="18"/>
                <w:szCs w:val="18"/>
                <w:color w:val="auto"/>
              </w:rPr>
            </w:pPr>
          </w:p>
        </w:tc>
        <w:tc>
          <w:tcPr>
            <w:tcW w:w="426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1"/>
        </w:trPr>
        <w:tc>
          <w:tcPr>
            <w:tcW w:w="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color w:val="auto"/>
                <w:w w:val="98"/>
              </w:rPr>
              <w:t>Institutional</w:t>
            </w:r>
          </w:p>
        </w:tc>
        <w:tc>
          <w:tcPr>
            <w:tcW w:w="3300" w:type="dxa"/>
            <w:vAlign w:val="bottom"/>
            <w:tcBorders>
              <w:bottom w:val="single" w:sz="8" w:color="CCEEFF"/>
            </w:tcBorders>
            <w:gridSpan w:val="3"/>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Beginning of period assets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9,241</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7,649</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8,301</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7,215</w:t>
            </w:r>
          </w:p>
        </w:tc>
      </w:tr>
      <w:tr>
        <w:trPr>
          <w:trHeight w:val="219"/>
        </w:trPr>
        <w:tc>
          <w:tcPr>
            <w:tcW w:w="20" w:type="dxa"/>
            <w:vAlign w:val="bottom"/>
            <w:shd w:val="clear" w:color="auto" w:fill="CCEEFF"/>
          </w:tcPr>
          <w:p>
            <w:pPr>
              <w:spacing w:after="0"/>
              <w:rPr>
                <w:sz w:val="19"/>
                <w:szCs w:val="19"/>
                <w:color w:val="auto"/>
              </w:rPr>
            </w:pPr>
          </w:p>
        </w:tc>
        <w:tc>
          <w:tcPr>
            <w:tcW w:w="426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Inflows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w:t>
            </w:r>
          </w:p>
        </w:tc>
      </w:tr>
      <w:tr>
        <w:trPr>
          <w:trHeight w:val="213"/>
        </w:trPr>
        <w:tc>
          <w:tcPr>
            <w:tcW w:w="20" w:type="dxa"/>
            <w:vAlign w:val="bottom"/>
            <w:tcBorders>
              <w:bottom w:val="single" w:sz="8" w:color="CCEEFF"/>
            </w:tcBorders>
          </w:tcPr>
          <w:p>
            <w:pPr>
              <w:spacing w:after="0"/>
              <w:rPr>
                <w:sz w:val="18"/>
                <w:szCs w:val="18"/>
                <w:color w:val="auto"/>
              </w:rPr>
            </w:pPr>
          </w:p>
        </w:tc>
        <w:tc>
          <w:tcPr>
            <w:tcW w:w="4260" w:type="dxa"/>
            <w:vAlign w:val="bottom"/>
            <w:tcBorders>
              <w:bottom w:val="single" w:sz="8" w:color="CCEEFF"/>
            </w:tcBorders>
            <w:gridSpan w:val="5"/>
          </w:tcPr>
          <w:p>
            <w:pPr>
              <w:ind w:left="340"/>
              <w:spacing w:after="0"/>
              <w:rPr>
                <w:sz w:val="20"/>
                <w:szCs w:val="20"/>
                <w:color w:val="auto"/>
              </w:rPr>
            </w:pPr>
            <w:r>
              <w:rPr>
                <w:rFonts w:ascii="Times New Roman" w:cs="Times New Roman" w:eastAsia="Times New Roman" w:hAnsi="Times New Roman"/>
                <w:sz w:val="16"/>
                <w:szCs w:val="16"/>
                <w:color w:val="auto"/>
              </w:rPr>
              <w:t>Outflows</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(781)</w:t>
            </w:r>
          </w:p>
        </w:tc>
      </w:tr>
      <w:tr>
        <w:trPr>
          <w:trHeight w:val="212"/>
        </w:trPr>
        <w:tc>
          <w:tcPr>
            <w:tcW w:w="20" w:type="dxa"/>
            <w:vAlign w:val="bottom"/>
            <w:shd w:val="clear" w:color="auto" w:fill="CCEEFF"/>
          </w:tcPr>
          <w:p>
            <w:pPr>
              <w:spacing w:after="0"/>
              <w:rPr>
                <w:sz w:val="18"/>
                <w:szCs w:val="18"/>
                <w:color w:val="auto"/>
              </w:rPr>
            </w:pPr>
          </w:p>
        </w:tc>
        <w:tc>
          <w:tcPr>
            <w:tcW w:w="42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client flows</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r>
      <w:tr>
        <w:trPr>
          <w:trHeight w:val="213"/>
        </w:trPr>
        <w:tc>
          <w:tcPr>
            <w:tcW w:w="20" w:type="dxa"/>
            <w:vAlign w:val="bottom"/>
            <w:tcBorders>
              <w:bottom w:val="single" w:sz="8" w:color="CCEEFF"/>
            </w:tcBorders>
          </w:tcPr>
          <w:p>
            <w:pPr>
              <w:spacing w:after="0"/>
              <w:rPr>
                <w:sz w:val="18"/>
                <w:szCs w:val="18"/>
                <w:color w:val="auto"/>
              </w:rPr>
            </w:pPr>
          </w:p>
        </w:tc>
        <w:tc>
          <w:tcPr>
            <w:tcW w:w="4260" w:type="dxa"/>
            <w:vAlign w:val="bottom"/>
            <w:tcBorders>
              <w:bottom w:val="single" w:sz="8" w:color="CCEEFF"/>
            </w:tcBorders>
            <w:gridSpan w:val="5"/>
          </w:tcPr>
          <w:p>
            <w:pPr>
              <w:ind w:left="340"/>
              <w:spacing w:after="0"/>
              <w:rPr>
                <w:sz w:val="20"/>
                <w:szCs w:val="20"/>
                <w:color w:val="auto"/>
              </w:rPr>
            </w:pPr>
            <w:r>
              <w:rPr>
                <w:rFonts w:ascii="Times New Roman" w:cs="Times New Roman" w:eastAsia="Times New Roman" w:hAnsi="Times New Roman"/>
                <w:sz w:val="16"/>
                <w:szCs w:val="16"/>
                <w:color w:val="auto"/>
              </w:rPr>
              <w:t>Market appreciation (depreciation)</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1,001</w:t>
            </w:r>
          </w:p>
        </w:tc>
      </w:tr>
      <w:tr>
        <w:trPr>
          <w:trHeight w:val="210"/>
        </w:trPr>
        <w:tc>
          <w:tcPr>
            <w:tcW w:w="20" w:type="dxa"/>
            <w:vAlign w:val="bottom"/>
            <w:shd w:val="clear" w:color="auto" w:fill="CCEEFF"/>
          </w:tcPr>
          <w:p>
            <w:pPr>
              <w:spacing w:after="0"/>
              <w:rPr>
                <w:sz w:val="18"/>
                <w:szCs w:val="18"/>
                <w:color w:val="auto"/>
              </w:rPr>
            </w:pPr>
          </w:p>
        </w:tc>
        <w:tc>
          <w:tcPr>
            <w:tcW w:w="42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change</w:t>
            </w: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w:t>
            </w:r>
          </w:p>
        </w:tc>
      </w:tr>
      <w:tr>
        <w:trPr>
          <w:trHeight w:val="212"/>
        </w:trPr>
        <w:tc>
          <w:tcPr>
            <w:tcW w:w="20" w:type="dxa"/>
            <w:vAlign w:val="bottom"/>
          </w:tcPr>
          <w:p>
            <w:pPr>
              <w:spacing w:after="0"/>
              <w:rPr>
                <w:sz w:val="18"/>
                <w:szCs w:val="18"/>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End of period assets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9,032</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8,454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9,032</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8,454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16"/>
        </w:trPr>
        <w:tc>
          <w:tcPr>
            <w:tcW w:w="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6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r>
      <w:tr>
        <w:trPr>
          <w:trHeight w:val="189"/>
        </w:trPr>
        <w:tc>
          <w:tcPr>
            <w:tcW w:w="20" w:type="dxa"/>
            <w:vAlign w:val="bottom"/>
          </w:tcPr>
          <w:p>
            <w:pPr>
              <w:spacing w:after="0"/>
              <w:rPr>
                <w:sz w:val="16"/>
                <w:szCs w:val="16"/>
                <w:color w:val="auto"/>
              </w:rPr>
            </w:pPr>
          </w:p>
        </w:tc>
        <w:tc>
          <w:tcPr>
            <w:tcW w:w="426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Wealth Management</w:t>
            </w: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Beginning of period assets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4,140</w:t>
            </w:r>
          </w:p>
        </w:tc>
      </w:tr>
      <w:tr>
        <w:trPr>
          <w:trHeight w:val="213"/>
        </w:trPr>
        <w:tc>
          <w:tcPr>
            <w:tcW w:w="20" w:type="dxa"/>
            <w:vAlign w:val="bottom"/>
          </w:tcPr>
          <w:p>
            <w:pPr>
              <w:spacing w:after="0"/>
              <w:rPr>
                <w:sz w:val="18"/>
                <w:szCs w:val="18"/>
                <w:color w:val="auto"/>
              </w:rPr>
            </w:pPr>
          </w:p>
        </w:tc>
        <w:tc>
          <w:tcPr>
            <w:tcW w:w="4260" w:type="dxa"/>
            <w:vAlign w:val="bottom"/>
            <w:gridSpan w:val="5"/>
          </w:tcPr>
          <w:p>
            <w:pPr>
              <w:ind w:left="340"/>
              <w:spacing w:after="0"/>
              <w:rPr>
                <w:sz w:val="20"/>
                <w:szCs w:val="20"/>
                <w:color w:val="auto"/>
              </w:rPr>
            </w:pPr>
            <w:r>
              <w:rPr>
                <w:rFonts w:ascii="Times New Roman" w:cs="Times New Roman" w:eastAsia="Times New Roman" w:hAnsi="Times New Roman"/>
                <w:sz w:val="16"/>
                <w:szCs w:val="16"/>
                <w:color w:val="auto"/>
              </w:rPr>
              <w:t>Inflows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r>
      <w:tr>
        <w:trPr>
          <w:trHeight w:val="219"/>
        </w:trPr>
        <w:tc>
          <w:tcPr>
            <w:tcW w:w="20" w:type="dxa"/>
            <w:vAlign w:val="bottom"/>
            <w:shd w:val="clear" w:color="auto" w:fill="CCEEFF"/>
          </w:tcPr>
          <w:p>
            <w:pPr>
              <w:spacing w:after="0"/>
              <w:rPr>
                <w:sz w:val="19"/>
                <w:szCs w:val="19"/>
                <w:color w:val="auto"/>
              </w:rPr>
            </w:pPr>
          </w:p>
        </w:tc>
        <w:tc>
          <w:tcPr>
            <w:tcW w:w="426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Outflows</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r>
      <w:tr>
        <w:trPr>
          <w:trHeight w:val="207"/>
        </w:trPr>
        <w:tc>
          <w:tcPr>
            <w:tcW w:w="20" w:type="dxa"/>
            <w:vAlign w:val="bottom"/>
          </w:tcPr>
          <w:p>
            <w:pPr>
              <w:spacing w:after="0"/>
              <w:rPr>
                <w:sz w:val="17"/>
                <w:szCs w:val="17"/>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Net client flows</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r>
      <w:tr>
        <w:trPr>
          <w:trHeight w:val="219"/>
        </w:trPr>
        <w:tc>
          <w:tcPr>
            <w:tcW w:w="20" w:type="dxa"/>
            <w:vAlign w:val="bottom"/>
            <w:shd w:val="clear" w:color="auto" w:fill="CCEEFF"/>
          </w:tcPr>
          <w:p>
            <w:pPr>
              <w:spacing w:after="0"/>
              <w:rPr>
                <w:sz w:val="19"/>
                <w:szCs w:val="19"/>
                <w:color w:val="auto"/>
              </w:rPr>
            </w:pPr>
          </w:p>
        </w:tc>
        <w:tc>
          <w:tcPr>
            <w:tcW w:w="426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Market appreciation (depreciation)</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r>
      <w:tr>
        <w:trPr>
          <w:trHeight w:val="207"/>
        </w:trPr>
        <w:tc>
          <w:tcPr>
            <w:tcW w:w="20" w:type="dxa"/>
            <w:vAlign w:val="bottom"/>
            <w:tcBorders>
              <w:bottom w:val="single" w:sz="8" w:color="CCEEFF"/>
            </w:tcBorders>
          </w:tcPr>
          <w:p>
            <w:pPr>
              <w:spacing w:after="0"/>
              <w:rPr>
                <w:sz w:val="17"/>
                <w:szCs w:val="17"/>
                <w:color w:val="auto"/>
              </w:rPr>
            </w:pPr>
          </w:p>
        </w:tc>
        <w:tc>
          <w:tcPr>
            <w:tcW w:w="426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6"/>
                <w:szCs w:val="16"/>
                <w:color w:val="auto"/>
              </w:rPr>
              <w:t>Net change</w:t>
            </w: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26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End of period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189"/>
        </w:trPr>
        <w:tc>
          <w:tcPr>
            <w:tcW w:w="20" w:type="dxa"/>
            <w:vAlign w:val="bottom"/>
            <w:shd w:val="clear" w:color="auto" w:fill="CCEEFF"/>
          </w:tcPr>
          <w:p>
            <w:pPr>
              <w:spacing w:after="0"/>
              <w:rPr>
                <w:sz w:val="16"/>
                <w:szCs w:val="16"/>
                <w:color w:val="auto"/>
              </w:rPr>
            </w:pPr>
          </w:p>
        </w:tc>
        <w:tc>
          <w:tcPr>
            <w:tcW w:w="426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Mutual Funds</w:t>
            </w:r>
          </w:p>
        </w:tc>
        <w:tc>
          <w:tcPr>
            <w:tcW w:w="2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Beginning of period assets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3,924</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3,943</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3,915</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4,104</w:t>
            </w:r>
          </w:p>
        </w:tc>
      </w:tr>
      <w:tr>
        <w:trPr>
          <w:trHeight w:val="219"/>
        </w:trPr>
        <w:tc>
          <w:tcPr>
            <w:tcW w:w="20" w:type="dxa"/>
            <w:vAlign w:val="bottom"/>
            <w:shd w:val="clear" w:color="auto" w:fill="CCEEFF"/>
          </w:tcPr>
          <w:p>
            <w:pPr>
              <w:spacing w:after="0"/>
              <w:rPr>
                <w:sz w:val="19"/>
                <w:szCs w:val="19"/>
                <w:color w:val="auto"/>
              </w:rPr>
            </w:pPr>
          </w:p>
        </w:tc>
        <w:tc>
          <w:tcPr>
            <w:tcW w:w="426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Inflows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w:t>
            </w:r>
          </w:p>
        </w:tc>
      </w:tr>
      <w:tr>
        <w:trPr>
          <w:trHeight w:val="213"/>
        </w:trPr>
        <w:tc>
          <w:tcPr>
            <w:tcW w:w="20" w:type="dxa"/>
            <w:vAlign w:val="bottom"/>
            <w:tcBorders>
              <w:bottom w:val="single" w:sz="8" w:color="CCEEFF"/>
            </w:tcBorders>
          </w:tcPr>
          <w:p>
            <w:pPr>
              <w:spacing w:after="0"/>
              <w:rPr>
                <w:sz w:val="18"/>
                <w:szCs w:val="18"/>
                <w:color w:val="auto"/>
              </w:rPr>
            </w:pPr>
          </w:p>
        </w:tc>
        <w:tc>
          <w:tcPr>
            <w:tcW w:w="4260" w:type="dxa"/>
            <w:vAlign w:val="bottom"/>
            <w:tcBorders>
              <w:bottom w:val="single" w:sz="8" w:color="CCEEFF"/>
            </w:tcBorders>
            <w:gridSpan w:val="5"/>
          </w:tcPr>
          <w:p>
            <w:pPr>
              <w:ind w:left="340"/>
              <w:spacing w:after="0"/>
              <w:rPr>
                <w:sz w:val="20"/>
                <w:szCs w:val="20"/>
                <w:color w:val="auto"/>
              </w:rPr>
            </w:pPr>
            <w:r>
              <w:rPr>
                <w:rFonts w:ascii="Times New Roman" w:cs="Times New Roman" w:eastAsia="Times New Roman" w:hAnsi="Times New Roman"/>
                <w:sz w:val="16"/>
                <w:szCs w:val="16"/>
                <w:color w:val="auto"/>
              </w:rPr>
              <w:t>Outflows</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(1,163)</w:t>
            </w:r>
          </w:p>
        </w:tc>
      </w:tr>
      <w:tr>
        <w:trPr>
          <w:trHeight w:val="212"/>
        </w:trPr>
        <w:tc>
          <w:tcPr>
            <w:tcW w:w="20" w:type="dxa"/>
            <w:vAlign w:val="bottom"/>
            <w:shd w:val="clear" w:color="auto" w:fill="CCEEFF"/>
          </w:tcPr>
          <w:p>
            <w:pPr>
              <w:spacing w:after="0"/>
              <w:rPr>
                <w:sz w:val="18"/>
                <w:szCs w:val="18"/>
                <w:color w:val="auto"/>
              </w:rPr>
            </w:pPr>
          </w:p>
        </w:tc>
        <w:tc>
          <w:tcPr>
            <w:tcW w:w="42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client flows</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w:t>
            </w:r>
          </w:p>
        </w:tc>
      </w:tr>
      <w:tr>
        <w:trPr>
          <w:trHeight w:val="213"/>
        </w:trPr>
        <w:tc>
          <w:tcPr>
            <w:tcW w:w="20" w:type="dxa"/>
            <w:vAlign w:val="bottom"/>
            <w:tcBorders>
              <w:bottom w:val="single" w:sz="8" w:color="CCEEFF"/>
            </w:tcBorders>
          </w:tcPr>
          <w:p>
            <w:pPr>
              <w:spacing w:after="0"/>
              <w:rPr>
                <w:sz w:val="18"/>
                <w:szCs w:val="18"/>
                <w:color w:val="auto"/>
              </w:rPr>
            </w:pPr>
          </w:p>
        </w:tc>
        <w:tc>
          <w:tcPr>
            <w:tcW w:w="4260" w:type="dxa"/>
            <w:vAlign w:val="bottom"/>
            <w:tcBorders>
              <w:bottom w:val="single" w:sz="8" w:color="CCEEFF"/>
            </w:tcBorders>
            <w:gridSpan w:val="5"/>
          </w:tcPr>
          <w:p>
            <w:pPr>
              <w:ind w:left="340"/>
              <w:spacing w:after="0"/>
              <w:rPr>
                <w:sz w:val="20"/>
                <w:szCs w:val="20"/>
                <w:color w:val="auto"/>
              </w:rPr>
            </w:pPr>
            <w:r>
              <w:rPr>
                <w:rFonts w:ascii="Times New Roman" w:cs="Times New Roman" w:eastAsia="Times New Roman" w:hAnsi="Times New Roman"/>
                <w:sz w:val="16"/>
                <w:szCs w:val="16"/>
                <w:color w:val="auto"/>
              </w:rPr>
              <w:t>Market appreciation (depreciation)</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w:t>
            </w:r>
          </w:p>
        </w:tc>
      </w:tr>
      <w:tr>
        <w:trPr>
          <w:trHeight w:val="210"/>
        </w:trPr>
        <w:tc>
          <w:tcPr>
            <w:tcW w:w="20" w:type="dxa"/>
            <w:vAlign w:val="bottom"/>
            <w:shd w:val="clear" w:color="auto" w:fill="CCEEFF"/>
          </w:tcPr>
          <w:p>
            <w:pPr>
              <w:spacing w:after="0"/>
              <w:rPr>
                <w:sz w:val="18"/>
                <w:szCs w:val="18"/>
                <w:color w:val="auto"/>
              </w:rPr>
            </w:pPr>
          </w:p>
        </w:tc>
        <w:tc>
          <w:tcPr>
            <w:tcW w:w="42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change</w:t>
            </w: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r>
      <w:tr>
        <w:trPr>
          <w:trHeight w:val="212"/>
        </w:trPr>
        <w:tc>
          <w:tcPr>
            <w:tcW w:w="20" w:type="dxa"/>
            <w:vAlign w:val="bottom"/>
          </w:tcPr>
          <w:p>
            <w:pPr>
              <w:spacing w:after="0"/>
              <w:rPr>
                <w:sz w:val="18"/>
                <w:szCs w:val="18"/>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End of period assets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3,994</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3,994</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15"/>
        </w:trPr>
        <w:tc>
          <w:tcPr>
            <w:tcW w:w="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6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r>
      <w:tr>
        <w:trPr>
          <w:trHeight w:val="189"/>
        </w:trPr>
        <w:tc>
          <w:tcPr>
            <w:tcW w:w="20" w:type="dxa"/>
            <w:vAlign w:val="bottom"/>
          </w:tcPr>
          <w:p>
            <w:pPr>
              <w:spacing w:after="0"/>
              <w:rPr>
                <w:sz w:val="16"/>
                <w:szCs w:val="16"/>
                <w:color w:val="auto"/>
              </w:rPr>
            </w:pPr>
          </w:p>
        </w:tc>
        <w:tc>
          <w:tcPr>
            <w:tcW w:w="426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Total AUM</w:t>
            </w: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Beginning of period assets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15,776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16,607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15,459</w:t>
            </w:r>
          </w:p>
        </w:tc>
      </w:tr>
      <w:tr>
        <w:trPr>
          <w:trHeight w:val="213"/>
        </w:trPr>
        <w:tc>
          <w:tcPr>
            <w:tcW w:w="20" w:type="dxa"/>
            <w:vAlign w:val="bottom"/>
          </w:tcPr>
          <w:p>
            <w:pPr>
              <w:spacing w:after="0"/>
              <w:rPr>
                <w:sz w:val="18"/>
                <w:szCs w:val="18"/>
                <w:color w:val="auto"/>
              </w:rPr>
            </w:pPr>
          </w:p>
        </w:tc>
        <w:tc>
          <w:tcPr>
            <w:tcW w:w="4260" w:type="dxa"/>
            <w:vAlign w:val="bottom"/>
            <w:gridSpan w:val="5"/>
          </w:tcPr>
          <w:p>
            <w:pPr>
              <w:ind w:left="340"/>
              <w:spacing w:after="0"/>
              <w:rPr>
                <w:sz w:val="20"/>
                <w:szCs w:val="20"/>
                <w:color w:val="auto"/>
              </w:rPr>
            </w:pPr>
            <w:r>
              <w:rPr>
                <w:rFonts w:ascii="Times New Roman" w:cs="Times New Roman" w:eastAsia="Times New Roman" w:hAnsi="Times New Roman"/>
                <w:sz w:val="16"/>
                <w:szCs w:val="16"/>
                <w:color w:val="auto"/>
              </w:rPr>
              <w:t>Inflows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1,723</w:t>
            </w:r>
          </w:p>
        </w:tc>
      </w:tr>
      <w:tr>
        <w:trPr>
          <w:trHeight w:val="219"/>
        </w:trPr>
        <w:tc>
          <w:tcPr>
            <w:tcW w:w="20" w:type="dxa"/>
            <w:vAlign w:val="bottom"/>
            <w:shd w:val="clear" w:color="auto" w:fill="CCEEFF"/>
          </w:tcPr>
          <w:p>
            <w:pPr>
              <w:spacing w:after="0"/>
              <w:rPr>
                <w:sz w:val="19"/>
                <w:szCs w:val="19"/>
                <w:color w:val="auto"/>
              </w:rPr>
            </w:pPr>
          </w:p>
        </w:tc>
        <w:tc>
          <w:tcPr>
            <w:tcW w:w="426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Outflows</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(2,321)</w:t>
            </w:r>
          </w:p>
        </w:tc>
      </w:tr>
      <w:tr>
        <w:trPr>
          <w:trHeight w:val="207"/>
        </w:trPr>
        <w:tc>
          <w:tcPr>
            <w:tcW w:w="20" w:type="dxa"/>
            <w:vAlign w:val="bottom"/>
          </w:tcPr>
          <w:p>
            <w:pPr>
              <w:spacing w:after="0"/>
              <w:rPr>
                <w:sz w:val="17"/>
                <w:szCs w:val="17"/>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Net client flows</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w:t>
            </w:r>
          </w:p>
        </w:tc>
      </w:tr>
      <w:tr>
        <w:trPr>
          <w:trHeight w:val="219"/>
        </w:trPr>
        <w:tc>
          <w:tcPr>
            <w:tcW w:w="20" w:type="dxa"/>
            <w:vAlign w:val="bottom"/>
            <w:shd w:val="clear" w:color="auto" w:fill="CCEEFF"/>
          </w:tcPr>
          <w:p>
            <w:pPr>
              <w:spacing w:after="0"/>
              <w:rPr>
                <w:sz w:val="19"/>
                <w:szCs w:val="19"/>
                <w:color w:val="auto"/>
              </w:rPr>
            </w:pPr>
          </w:p>
        </w:tc>
        <w:tc>
          <w:tcPr>
            <w:tcW w:w="426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Market appreciation (depreciation)</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1,891</w:t>
            </w:r>
          </w:p>
        </w:tc>
      </w:tr>
      <w:tr>
        <w:trPr>
          <w:trHeight w:val="207"/>
        </w:trPr>
        <w:tc>
          <w:tcPr>
            <w:tcW w:w="20" w:type="dxa"/>
            <w:vAlign w:val="bottom"/>
            <w:tcBorders>
              <w:bottom w:val="single" w:sz="8" w:color="CCEEFF"/>
            </w:tcBorders>
          </w:tcPr>
          <w:p>
            <w:pPr>
              <w:spacing w:after="0"/>
              <w:rPr>
                <w:sz w:val="17"/>
                <w:szCs w:val="17"/>
                <w:color w:val="auto"/>
              </w:rPr>
            </w:pPr>
          </w:p>
        </w:tc>
        <w:tc>
          <w:tcPr>
            <w:tcW w:w="426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6"/>
                <w:szCs w:val="16"/>
                <w:color w:val="auto"/>
              </w:rPr>
              <w:t>Net change</w:t>
            </w: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1,293</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26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End of period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17,349</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2025 compared to the three months ended September 30, 2024</w:t>
      </w:r>
    </w:p>
    <w:p>
      <w:pPr>
        <w:spacing w:after="0" w:line="121" w:lineRule="exact"/>
        <w:rPr>
          <w:sz w:val="20"/>
          <w:szCs w:val="20"/>
          <w:color w:val="auto"/>
        </w:rPr>
      </w:pPr>
    </w:p>
    <w:p>
      <w:pPr>
        <w:ind w:right="620" w:firstLine="486"/>
        <w:spacing w:after="0" w:line="282" w:lineRule="auto"/>
        <w:rPr>
          <w:sz w:val="20"/>
          <w:szCs w:val="20"/>
          <w:color w:val="auto"/>
        </w:rPr>
      </w:pPr>
      <w:r>
        <w:rPr>
          <w:rFonts w:ascii="Times New Roman" w:cs="Times New Roman" w:eastAsia="Times New Roman" w:hAnsi="Times New Roman"/>
          <w:sz w:val="18"/>
          <w:szCs w:val="18"/>
          <w:color w:val="auto"/>
        </w:rPr>
        <w:t>The change in AUM for the three months ended September 30, 2025 was due to market appreciation of $0.7 billion offset by net outflows of $0.7 billion. Net outflows were primarily related to our LargeCap Value strategy.</w:t>
      </w:r>
    </w:p>
    <w:p>
      <w:pPr>
        <w:spacing w:after="0" w:line="54" w:lineRule="exact"/>
        <w:rPr>
          <w:sz w:val="20"/>
          <w:szCs w:val="20"/>
          <w:color w:val="auto"/>
        </w:rPr>
      </w:pPr>
    </w:p>
    <w:p>
      <w:pPr>
        <w:ind w:right="620" w:firstLine="486"/>
        <w:spacing w:after="0" w:line="282" w:lineRule="auto"/>
        <w:rPr>
          <w:sz w:val="20"/>
          <w:szCs w:val="20"/>
          <w:color w:val="auto"/>
        </w:rPr>
      </w:pPr>
      <w:r>
        <w:rPr>
          <w:rFonts w:ascii="Times New Roman" w:cs="Times New Roman" w:eastAsia="Times New Roman" w:hAnsi="Times New Roman"/>
          <w:sz w:val="18"/>
          <w:szCs w:val="18"/>
          <w:color w:val="auto"/>
        </w:rPr>
        <w:t>The change in AUM for the three months ended September 30, 2024 was due to market appreciation of $1.1 billion offset by net outflows of $0.1 billion.</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Nine months ended </w:t>
      </w:r>
      <w:r>
        <w:rPr>
          <w:rFonts w:ascii="Times New Roman" w:cs="Times New Roman" w:eastAsia="Times New Roman" w:hAnsi="Times New Roman"/>
          <w:sz w:val="17"/>
          <w:szCs w:val="17"/>
          <w:b w:val="1"/>
          <w:bCs w:val="1"/>
          <w:i w:val="1"/>
          <w:iCs w:val="1"/>
          <w:color w:val="auto"/>
        </w:rPr>
        <w:t>September 30, 2025 compared to the</w:t>
      </w:r>
      <w:r>
        <w:rPr>
          <w:rFonts w:ascii="Times New Roman" w:cs="Times New Roman" w:eastAsia="Times New Roman" w:hAnsi="Times New Roman"/>
          <w:sz w:val="16"/>
          <w:szCs w:val="16"/>
          <w:b w:val="1"/>
          <w:bCs w:val="1"/>
          <w:i w:val="1"/>
          <w:iCs w:val="1"/>
          <w:color w:val="auto"/>
        </w:rPr>
        <w:t xml:space="preserve"> nine months ended </w:t>
      </w:r>
      <w:r>
        <w:rPr>
          <w:rFonts w:ascii="Times New Roman" w:cs="Times New Roman" w:eastAsia="Times New Roman" w:hAnsi="Times New Roman"/>
          <w:sz w:val="17"/>
          <w:szCs w:val="17"/>
          <w:b w:val="1"/>
          <w:bCs w:val="1"/>
          <w:i w:val="1"/>
          <w:iCs w:val="1"/>
          <w:color w:val="auto"/>
        </w:rPr>
        <w:t>September 30, 2024</w:t>
      </w:r>
    </w:p>
    <w:p>
      <w:pPr>
        <w:spacing w:after="0" w:line="133" w:lineRule="exact"/>
        <w:rPr>
          <w:sz w:val="20"/>
          <w:szCs w:val="20"/>
          <w:color w:val="auto"/>
        </w:rPr>
      </w:pPr>
    </w:p>
    <w:p>
      <w:pPr>
        <w:ind w:right="600" w:firstLine="486"/>
        <w:spacing w:after="0" w:line="282" w:lineRule="auto"/>
        <w:rPr>
          <w:sz w:val="20"/>
          <w:szCs w:val="20"/>
          <w:color w:val="auto"/>
        </w:rPr>
      </w:pPr>
      <w:r>
        <w:rPr>
          <w:rFonts w:ascii="Times New Roman" w:cs="Times New Roman" w:eastAsia="Times New Roman" w:hAnsi="Times New Roman"/>
          <w:sz w:val="18"/>
          <w:szCs w:val="18"/>
          <w:color w:val="auto"/>
        </w:rPr>
        <w:t>The $0.7 billion increase in AUM for the nine months ended September 30, 2025 was due to market appreciation of $1.0 billion offset by net outflows of $0.3 billion. Net outflows were primarily related to our LargeCap Value strategy.</w:t>
      </w:r>
    </w:p>
    <w:p>
      <w:pPr>
        <w:spacing w:after="0" w:line="54" w:lineRule="exact"/>
        <w:rPr>
          <w:sz w:val="20"/>
          <w:szCs w:val="20"/>
          <w:color w:val="auto"/>
        </w:rPr>
      </w:pPr>
    </w:p>
    <w:p>
      <w:pPr>
        <w:ind w:right="600" w:firstLine="486"/>
        <w:spacing w:after="0" w:line="282" w:lineRule="auto"/>
        <w:rPr>
          <w:sz w:val="20"/>
          <w:szCs w:val="20"/>
          <w:color w:val="auto"/>
        </w:rPr>
      </w:pPr>
      <w:r>
        <w:rPr>
          <w:rFonts w:ascii="Times New Roman" w:cs="Times New Roman" w:eastAsia="Times New Roman" w:hAnsi="Times New Roman"/>
          <w:sz w:val="18"/>
          <w:szCs w:val="18"/>
          <w:color w:val="auto"/>
        </w:rPr>
        <w:t>The $1.3 billion increase in AUM for the nine months ended September 30, 2024 was due to market appreciation of $1.9 billion offset by net outflows of $0.6 billion. Net outflows were primarily related to our LargeCap Value strategy.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Roll-Forward of Assets Under Advisement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4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Pr>
          <w:p>
            <w:pPr>
              <w:spacing w:after="0"/>
              <w:rPr>
                <w:sz w:val="18"/>
                <w:szCs w:val="18"/>
                <w:color w:val="auto"/>
              </w:rPr>
            </w:pPr>
          </w:p>
        </w:tc>
        <w:tc>
          <w:tcPr>
            <w:tcW w:w="3120" w:type="dxa"/>
            <w:vAlign w:val="bottom"/>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20" w:type="dxa"/>
            <w:vAlign w:val="bottom"/>
            <w:tcBorders>
              <w:bottom w:val="single" w:sz="8" w:color="CCEEFF"/>
            </w:tcBorders>
          </w:tcPr>
          <w:p>
            <w:pPr>
              <w:spacing w:after="0"/>
              <w:rPr>
                <w:sz w:val="18"/>
                <w:szCs w:val="18"/>
                <w:color w:val="auto"/>
              </w:rPr>
            </w:pPr>
          </w:p>
        </w:tc>
        <w:tc>
          <w:tcPr>
            <w:tcW w:w="4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1"/>
        </w:trPr>
        <w:tc>
          <w:tcPr>
            <w:tcW w:w="2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auto"/>
            </w:tcBorders>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color w:val="auto"/>
                <w:w w:val="99"/>
              </w:rPr>
              <w:t>Assets Under Advisement</w:t>
            </w:r>
          </w:p>
        </w:tc>
        <w:tc>
          <w:tcPr>
            <w:tcW w:w="23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Beginning of period assets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8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w:t>
            </w:r>
          </w:p>
        </w:tc>
      </w:tr>
      <w:tr>
        <w:trPr>
          <w:trHeight w:val="219"/>
        </w:trPr>
        <w:tc>
          <w:tcPr>
            <w:tcW w:w="20" w:type="dxa"/>
            <w:vAlign w:val="bottom"/>
            <w:shd w:val="clear" w:color="auto" w:fill="CCEEFF"/>
          </w:tcPr>
          <w:p>
            <w:pPr>
              <w:spacing w:after="0"/>
              <w:rPr>
                <w:sz w:val="19"/>
                <w:szCs w:val="19"/>
                <w:color w:val="auto"/>
              </w:rPr>
            </w:pPr>
          </w:p>
        </w:tc>
        <w:tc>
          <w:tcPr>
            <w:tcW w:w="4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Inflows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13"/>
        </w:trPr>
        <w:tc>
          <w:tcPr>
            <w:tcW w:w="20" w:type="dxa"/>
            <w:vAlign w:val="bottom"/>
            <w:tcBorders>
              <w:bottom w:val="single" w:sz="8" w:color="CCEEFF"/>
            </w:tcBorders>
          </w:tcPr>
          <w:p>
            <w:pPr>
              <w:spacing w:after="0"/>
              <w:rPr>
                <w:sz w:val="18"/>
                <w:szCs w:val="18"/>
                <w:color w:val="auto"/>
              </w:rPr>
            </w:pPr>
          </w:p>
        </w:tc>
        <w:tc>
          <w:tcPr>
            <w:tcW w:w="428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6"/>
                <w:szCs w:val="16"/>
                <w:color w:val="auto"/>
              </w:rPr>
              <w:t>Outflows</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w:t>
            </w:r>
          </w:p>
        </w:tc>
      </w:tr>
      <w:tr>
        <w:trPr>
          <w:trHeight w:val="212"/>
        </w:trPr>
        <w:tc>
          <w:tcPr>
            <w:tcW w:w="20" w:type="dxa"/>
            <w:vAlign w:val="bottom"/>
            <w:shd w:val="clear" w:color="auto" w:fill="CCEEFF"/>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client flows</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r>
      <w:tr>
        <w:trPr>
          <w:trHeight w:val="213"/>
        </w:trPr>
        <w:tc>
          <w:tcPr>
            <w:tcW w:w="20" w:type="dxa"/>
            <w:vAlign w:val="bottom"/>
            <w:tcBorders>
              <w:bottom w:val="single" w:sz="8" w:color="CCEEFF"/>
            </w:tcBorders>
          </w:tcPr>
          <w:p>
            <w:pPr>
              <w:spacing w:after="0"/>
              <w:rPr>
                <w:sz w:val="18"/>
                <w:szCs w:val="18"/>
                <w:color w:val="auto"/>
              </w:rPr>
            </w:pPr>
          </w:p>
        </w:tc>
        <w:tc>
          <w:tcPr>
            <w:tcW w:w="428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6"/>
                <w:szCs w:val="16"/>
                <w:color w:val="auto"/>
              </w:rPr>
              <w:t>Market appreciation (depreciation)</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10"/>
        </w:trPr>
        <w:tc>
          <w:tcPr>
            <w:tcW w:w="20" w:type="dxa"/>
            <w:vAlign w:val="bottom"/>
            <w:shd w:val="clear" w:color="auto" w:fill="CCEEFF"/>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change</w:t>
            </w: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r>
      <w:tr>
        <w:trPr>
          <w:trHeight w:val="212"/>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End of period assets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966</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966</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961</w:t>
            </w:r>
          </w:p>
        </w:tc>
      </w:tr>
      <w:tr>
        <w:trPr>
          <w:trHeight w:val="21"/>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121" w:lineRule="exact"/>
        <w:rPr>
          <w:sz w:val="20"/>
          <w:szCs w:val="20"/>
          <w:color w:val="auto"/>
        </w:rPr>
      </w:pPr>
    </w:p>
    <w:p>
      <w:pPr>
        <w:jc w:val="both"/>
        <w:ind w:right="80" w:firstLine="486"/>
        <w:spacing w:after="0" w:line="266" w:lineRule="auto"/>
        <w:rPr>
          <w:sz w:val="20"/>
          <w:szCs w:val="20"/>
          <w:color w:val="auto"/>
        </w:rPr>
      </w:pPr>
      <w:r>
        <w:rPr>
          <w:rFonts w:ascii="Times New Roman" w:cs="Times New Roman" w:eastAsia="Times New Roman" w:hAnsi="Times New Roman"/>
          <w:sz w:val="18"/>
          <w:szCs w:val="18"/>
          <w:color w:val="auto"/>
        </w:rPr>
        <w:t>The following table (dollars in thousands) and discussion of our results of operations are based upon data derived from the Condensed Consolidated Statements of Operations contained in our Condensed Consolidated Financial Statements and should be read in conjunction with those statements included elsewhere in this report.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2"/>
        </w:trPr>
        <w:tc>
          <w:tcPr>
            <w:tcW w:w="4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gridSpan w:val="5"/>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gridSpan w:val="5"/>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gridSpan w:val="5"/>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1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17"/>
                <w:szCs w:val="17"/>
                <w:color w:val="auto"/>
              </w:rPr>
            </w:pPr>
          </w:p>
        </w:tc>
        <w:tc>
          <w:tcPr>
            <w:tcW w:w="2000" w:type="dxa"/>
            <w:vAlign w:val="bottom"/>
            <w:gridSpan w:val="5"/>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0" w:type="dxa"/>
            <w:vAlign w:val="bottom"/>
          </w:tcPr>
          <w:p>
            <w:pPr>
              <w:spacing w:after="0"/>
              <w:rPr>
                <w:sz w:val="1"/>
                <w:szCs w:val="1"/>
                <w:color w:val="auto"/>
              </w:rPr>
            </w:pPr>
          </w:p>
        </w:tc>
      </w:tr>
      <w:tr>
        <w:trPr>
          <w:trHeight w:val="196"/>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Advisory fees: asset-based</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18,887</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17,774</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54,573</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51,730</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Trust fees: asset-based</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15,787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4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(103)</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1,622</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12"/>
        </w:trPr>
        <w:tc>
          <w:tcPr>
            <w:tcW w:w="4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revenues</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24,289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23,719</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70,661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69,139</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94"/>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Employee compensation and benefits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41,259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41,921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4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Sales and marketing</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10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Westwood funds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3"/>
        </w:trPr>
        <w:tc>
          <w:tcPr>
            <w:tcW w:w="4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Information technology</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2,572</w:t>
            </w:r>
          </w:p>
        </w:tc>
        <w:tc>
          <w:tcPr>
            <w:tcW w:w="10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7,212</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Professional services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4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2,991</w:t>
            </w:r>
          </w:p>
        </w:tc>
        <w:tc>
          <w:tcPr>
            <w:tcW w:w="10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8,903</w:t>
            </w:r>
          </w:p>
        </w:tc>
        <w:tc>
          <w:tcPr>
            <w:tcW w:w="10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from change in fair value of contingent consideration</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1,824</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7"/>
        </w:trPr>
        <w:tc>
          <w:tcPr>
            <w:tcW w:w="47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expenses</w:t>
            </w: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22,280</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24,213</w:t>
            </w:r>
          </w:p>
        </w:tc>
        <w:tc>
          <w:tcPr>
            <w:tcW w:w="10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67,852</w:t>
            </w:r>
          </w:p>
        </w:tc>
        <w:tc>
          <w:tcPr>
            <w:tcW w:w="120" w:type="dxa"/>
            <w:vAlign w:val="bottom"/>
            <w:tcBorders>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70,870</w:t>
            </w:r>
          </w:p>
        </w:tc>
        <w:tc>
          <w:tcPr>
            <w:tcW w:w="10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2"/>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operating income (loss)</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(507)</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(1,731)</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(262)</w:t>
            </w:r>
          </w:p>
        </w:tc>
        <w:tc>
          <w:tcPr>
            <w:tcW w:w="0" w:type="dxa"/>
            <w:vAlign w:val="bottom"/>
          </w:tcPr>
          <w:p>
            <w:pPr>
              <w:spacing w:after="0"/>
              <w:rPr>
                <w:sz w:val="1"/>
                <w:szCs w:val="1"/>
                <w:color w:val="auto"/>
              </w:rPr>
            </w:pPr>
          </w:p>
        </w:tc>
      </w:tr>
      <w:tr>
        <w:trPr>
          <w:trHeight w:val="142"/>
        </w:trPr>
        <w:tc>
          <w:tcPr>
            <w:tcW w:w="4700" w:type="dxa"/>
            <w:vAlign w:val="bottom"/>
          </w:tcPr>
          <w:p>
            <w:pPr>
              <w:ind w:left="220"/>
              <w:spacing w:after="0" w:line="142" w:lineRule="exact"/>
              <w:rPr>
                <w:sz w:val="20"/>
                <w:szCs w:val="20"/>
                <w:color w:val="auto"/>
              </w:rPr>
            </w:pPr>
            <w:r>
              <w:rPr>
                <w:rFonts w:ascii="Times New Roman" w:cs="Times New Roman" w:eastAsia="Times New Roman" w:hAnsi="Times New Roman"/>
                <w:sz w:val="16"/>
                <w:szCs w:val="16"/>
                <w:color w:val="auto"/>
              </w:rPr>
              <w:t>Net change in unrealized appreciation (depreciation) on private</w:t>
            </w: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1,932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vMerge w:val="restart"/>
          </w:tcPr>
          <w:p>
            <w:pPr>
              <w:ind w:left="740"/>
              <w:spacing w:after="0"/>
              <w:rPr>
                <w:sz w:val="20"/>
                <w:szCs w:val="20"/>
                <w:color w:val="auto"/>
              </w:rPr>
            </w:pPr>
            <w:r>
              <w:rPr>
                <w:rFonts w:ascii="Times New Roman" w:cs="Times New Roman" w:eastAsia="Times New Roman" w:hAnsi="Times New Roman"/>
                <w:sz w:val="16"/>
                <w:szCs w:val="16"/>
                <w:color w:val="auto"/>
              </w:rPr>
              <w:t>NM</w:t>
            </w:r>
          </w:p>
        </w:tc>
        <w:tc>
          <w:tcPr>
            <w:tcW w:w="2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1,932</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3"/>
        </w:trPr>
        <w:tc>
          <w:tcPr>
            <w:tcW w:w="4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investments</w:t>
            </w: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investment income</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3"/>
        </w:trPr>
        <w:tc>
          <w:tcPr>
            <w:tcW w:w="4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income</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2"/>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905</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952</w:t>
            </w:r>
          </w:p>
        </w:tc>
        <w:tc>
          <w:tcPr>
            <w:tcW w:w="0" w:type="dxa"/>
            <w:vAlign w:val="bottom"/>
          </w:tcPr>
          <w:p>
            <w:pPr>
              <w:spacing w:after="0"/>
              <w:rPr>
                <w:sz w:val="1"/>
                <w:szCs w:val="1"/>
                <w:color w:val="auto"/>
              </w:rPr>
            </w:pPr>
          </w:p>
        </w:tc>
      </w:tr>
      <w:tr>
        <w:trPr>
          <w:trHeight w:val="207"/>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213</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1,515</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186</w:t>
            </w:r>
          </w:p>
        </w:tc>
        <w:tc>
          <w:tcPr>
            <w:tcW w:w="0" w:type="dxa"/>
            <w:vAlign w:val="bottom"/>
          </w:tcPr>
          <w:p>
            <w:pPr>
              <w:spacing w:after="0"/>
              <w:rPr>
                <w:sz w:val="1"/>
                <w:szCs w:val="1"/>
                <w:color w:val="auto"/>
              </w:rPr>
            </w:pPr>
          </w:p>
        </w:tc>
      </w:tr>
      <w:tr>
        <w:trPr>
          <w:trHeight w:val="235"/>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2,245 %</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4576 %</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Less: income (loss) attributable to noncontrolling interest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(189)</w:t>
            </w:r>
          </w:p>
        </w:tc>
        <w:tc>
          <w:tcPr>
            <w:tcW w:w="0" w:type="dxa"/>
            <w:vAlign w:val="bottom"/>
          </w:tcPr>
          <w:p>
            <w:pPr>
              <w:spacing w:after="0"/>
              <w:rPr>
                <w:sz w:val="1"/>
                <w:szCs w:val="1"/>
                <w:color w:val="auto"/>
              </w:rPr>
            </w:pPr>
          </w:p>
        </w:tc>
      </w:tr>
      <w:tr>
        <w:trPr>
          <w:trHeight w:val="235"/>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attributable to Westwood Holdings Group, Inc.</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3,423 %</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3189 %</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w:t>
      </w:r>
    </w:p>
    <w:p>
      <w:pPr>
        <w:spacing w:after="0" w:line="55" w:lineRule="exact"/>
        <w:rPr>
          <w:sz w:val="20"/>
          <w:szCs w:val="20"/>
          <w:color w:val="auto"/>
        </w:rPr>
      </w:pPr>
    </w:p>
    <w:p>
      <w:pPr>
        <w:ind w:left="180"/>
        <w:spacing w:after="0"/>
        <w:tabs>
          <w:tab w:leader="none" w:pos="520" w:val="left"/>
        </w:tabs>
        <w:rPr>
          <w:sz w:val="20"/>
          <w:szCs w:val="20"/>
          <w:color w:val="auto"/>
        </w:rPr>
      </w:pPr>
      <w:r>
        <w:rPr>
          <w:rFonts w:ascii="Times New Roman" w:cs="Times New Roman" w:eastAsia="Times New Roman" w:hAnsi="Times New Roman"/>
          <w:sz w:val="14"/>
          <w:szCs w:val="14"/>
          <w:color w:val="auto"/>
        </w:rPr>
        <w:t>NM</w:t>
        <w:tab/>
        <w:t>Not meaningful</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2025 compared to three months ended September 30, 2024</w:t>
      </w:r>
    </w:p>
    <w:p>
      <w:pPr>
        <w:spacing w:after="0" w:line="119" w:lineRule="exact"/>
        <w:rPr>
          <w:sz w:val="20"/>
          <w:szCs w:val="20"/>
          <w:color w:val="auto"/>
        </w:rPr>
      </w:pPr>
    </w:p>
    <w:p>
      <w:pPr>
        <w:ind w:right="10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Total revenues</w:t>
      </w:r>
      <w:r>
        <w:rPr>
          <w:rFonts w:ascii="Times New Roman" w:cs="Times New Roman" w:eastAsia="Times New Roman" w:hAnsi="Times New Roman"/>
          <w:sz w:val="18"/>
          <w:szCs w:val="18"/>
          <w:color w:val="auto"/>
        </w:rPr>
        <w:t>. Total revenues for the three months ended September 30, 2025 were higher than revenues for the three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due to higher average AUM.</w:t>
      </w:r>
    </w:p>
    <w:p>
      <w:pPr>
        <w:spacing w:after="0" w:line="50" w:lineRule="exact"/>
        <w:rPr>
          <w:sz w:val="20"/>
          <w:szCs w:val="20"/>
          <w:color w:val="auto"/>
        </w:rPr>
      </w:pPr>
    </w:p>
    <w:p>
      <w:pPr>
        <w:ind w:right="48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Information technology</w:t>
      </w:r>
      <w:r>
        <w:rPr>
          <w:rFonts w:ascii="Times New Roman" w:cs="Times New Roman" w:eastAsia="Times New Roman" w:hAnsi="Times New Roman"/>
          <w:sz w:val="18"/>
          <w:szCs w:val="18"/>
          <w:color w:val="auto"/>
        </w:rPr>
        <w:t>. Information technology costs for the three months ended September 30, 2025 increased compared to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2024 primarily due to additional software subscription fees.</w:t>
      </w:r>
    </w:p>
    <w:p>
      <w:pPr>
        <w:spacing w:after="0" w:line="50" w:lineRule="exact"/>
        <w:rPr>
          <w:sz w:val="20"/>
          <w:szCs w:val="20"/>
          <w:color w:val="auto"/>
        </w:rPr>
      </w:pPr>
    </w:p>
    <w:p>
      <w:pPr>
        <w:ind w:right="2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Westwood funds</w:t>
      </w:r>
      <w:r>
        <w:rPr>
          <w:rFonts w:ascii="Times New Roman" w:cs="Times New Roman" w:eastAsia="Times New Roman" w:hAnsi="Times New Roman"/>
          <w:sz w:val="18"/>
          <w:szCs w:val="18"/>
          <w:color w:val="auto"/>
        </w:rPr>
        <w:t>. Westwood fund expenses for the three months ended September 30, 2025 increased compared to the three months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primarily due to increased administration and distribution expenses related to our ETFs, driven by higher fund assets.</w:t>
      </w:r>
    </w:p>
    <w:p>
      <w:pPr>
        <w:spacing w:after="0" w:line="50" w:lineRule="exact"/>
        <w:rPr>
          <w:sz w:val="20"/>
          <w:szCs w:val="20"/>
          <w:color w:val="auto"/>
        </w:rPr>
      </w:pPr>
    </w:p>
    <w:p>
      <w:pPr>
        <w:ind w:right="84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Loss from change in fair value of contingent consideration. </w:t>
      </w:r>
      <w:r>
        <w:rPr>
          <w:rFonts w:ascii="Times New Roman" w:cs="Times New Roman" w:eastAsia="Times New Roman" w:hAnsi="Times New Roman"/>
          <w:sz w:val="18"/>
          <w:szCs w:val="18"/>
          <w:color w:val="auto"/>
        </w:rPr>
        <w:t>In 2024 we recorded a loss of $1.8 million upon remeasurement of contingent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due to positive changes in growth projections following asset appreciation and asset flows in the period.</w:t>
      </w:r>
    </w:p>
    <w:p>
      <w:pPr>
        <w:spacing w:after="0" w:line="50" w:lineRule="exact"/>
        <w:rPr>
          <w:sz w:val="20"/>
          <w:szCs w:val="20"/>
          <w:color w:val="auto"/>
        </w:rPr>
      </w:pPr>
    </w:p>
    <w:p>
      <w:pPr>
        <w:ind w:right="1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change in unrealized appreciation (depreciation) on private investments. </w:t>
      </w:r>
      <w:r>
        <w:rPr>
          <w:rFonts w:ascii="Times New Roman" w:cs="Times New Roman" w:eastAsia="Times New Roman" w:hAnsi="Times New Roman"/>
          <w:sz w:val="18"/>
          <w:szCs w:val="18"/>
          <w:color w:val="auto"/>
        </w:rPr>
        <w:t>In 2025 we recorded an unrealized gain of approximately $2.0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our investment in TXSE following observable price changes.</w:t>
      </w:r>
    </w:p>
    <w:p>
      <w:pPr>
        <w:spacing w:after="0" w:line="50" w:lineRule="exact"/>
        <w:rPr>
          <w:sz w:val="20"/>
          <w:szCs w:val="20"/>
          <w:color w:val="auto"/>
        </w:rPr>
      </w:pPr>
    </w:p>
    <w:p>
      <w:pPr>
        <w:jc w:val="both"/>
        <w:ind w:right="4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Income tax provision</w:t>
      </w:r>
      <w:r>
        <w:rPr>
          <w:rFonts w:ascii="Times New Roman" w:cs="Times New Roman" w:eastAsia="Times New Roman" w:hAnsi="Times New Roman"/>
          <w:sz w:val="18"/>
          <w:szCs w:val="18"/>
          <w:color w:val="auto"/>
        </w:rPr>
        <w:t>. Our effective income tax rate three months ended September 30, 2025 approximated the 21% statutory rate. Our effective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differed from the 21% statutory rate for the third quarter of 2024 primarily due to permanent differences between book and tax restricted stock expense based on a decrease in our stock price between the restricted stock grant and vesting dates.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2025 compared to nine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9" w:right="339" w:bottom="1440" w:gutter="0" w:footer="0" w:header="0"/>
        </w:sectPr>
      </w:pPr>
    </w:p>
    <w:bookmarkStart w:id="24" w:name="page25"/>
    <w:bookmarkEnd w:id="24"/>
    <w:p>
      <w:pPr>
        <w:ind w:right="14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Total revenues</w:t>
      </w:r>
      <w:r>
        <w:rPr>
          <w:rFonts w:ascii="Times New Roman" w:cs="Times New Roman" w:eastAsia="Times New Roman" w:hAnsi="Times New Roman"/>
          <w:sz w:val="18"/>
          <w:szCs w:val="18"/>
          <w:color w:val="auto"/>
        </w:rPr>
        <w:t>. Total revenues for the nine months ended September 30, 2025 were higher than revenues for the nine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due to higher average AUM.</w:t>
      </w:r>
    </w:p>
    <w:p>
      <w:pPr>
        <w:spacing w:after="0" w:line="50" w:lineRule="exact"/>
        <w:rPr>
          <w:sz w:val="20"/>
          <w:szCs w:val="20"/>
          <w:color w:val="auto"/>
        </w:rPr>
      </w:pPr>
    </w:p>
    <w:p>
      <w:pPr>
        <w:ind w:right="20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Westwood funds</w:t>
      </w:r>
      <w:r>
        <w:rPr>
          <w:rFonts w:ascii="Times New Roman" w:cs="Times New Roman" w:eastAsia="Times New Roman" w:hAnsi="Times New Roman"/>
          <w:sz w:val="18"/>
          <w:szCs w:val="18"/>
          <w:color w:val="auto"/>
        </w:rPr>
        <w:t>. Westwood fund expenses for the nine months ended September 30, 2025 increased compared to the three months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primarily due to increased administration and distribution expenses related to our ETFs, driven by higher fund assets.</w:t>
      </w:r>
    </w:p>
    <w:p>
      <w:pPr>
        <w:spacing w:after="0" w:line="50" w:lineRule="exact"/>
        <w:rPr>
          <w:sz w:val="20"/>
          <w:szCs w:val="20"/>
          <w:color w:val="auto"/>
        </w:rPr>
      </w:pPr>
    </w:p>
    <w:p>
      <w:pPr>
        <w:ind w:right="18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Information technology. </w:t>
      </w:r>
      <w:r>
        <w:rPr>
          <w:rFonts w:ascii="Times New Roman" w:cs="Times New Roman" w:eastAsia="Times New Roman" w:hAnsi="Times New Roman"/>
          <w:sz w:val="18"/>
          <w:szCs w:val="18"/>
          <w:color w:val="auto"/>
        </w:rPr>
        <w:t>Information technology costs for the nine months ended September 30, 2025 increased $1.1 million compared to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2024 primarily due to additional investment resource tools and software licenses.</w:t>
      </w:r>
    </w:p>
    <w:p>
      <w:pPr>
        <w:spacing w:after="0" w:line="50" w:lineRule="exact"/>
        <w:rPr>
          <w:sz w:val="20"/>
          <w:szCs w:val="20"/>
          <w:color w:val="auto"/>
        </w:rPr>
      </w:pPr>
    </w:p>
    <w:p>
      <w:pPr>
        <w:ind w:right="780" w:firstLine="486"/>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Loss from change in fair value of contingent consideration. </w:t>
      </w:r>
      <w:r>
        <w:rPr>
          <w:rFonts w:ascii="Times New Roman" w:cs="Times New Roman" w:eastAsia="Times New Roman" w:hAnsi="Times New Roman"/>
          <w:sz w:val="17"/>
          <w:szCs w:val="17"/>
          <w:color w:val="auto"/>
        </w:rPr>
        <w:t>In 2024 we recorded a loss of $3.7 million upon remeasurement of contingent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consideration from the 2022 Salient Acquisition primarily due to positive changes in growth projections and revised asset flow expectations.</w:t>
      </w:r>
    </w:p>
    <w:p>
      <w:pPr>
        <w:spacing w:after="0" w:line="27" w:lineRule="exact"/>
        <w:rPr>
          <w:sz w:val="20"/>
          <w:szCs w:val="20"/>
          <w:color w:val="auto"/>
        </w:rPr>
      </w:pPr>
    </w:p>
    <w:p>
      <w:pPr>
        <w:ind w:right="6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change in unrealized appreciation (depreciation) on private investments. </w:t>
      </w:r>
      <w:r>
        <w:rPr>
          <w:rFonts w:ascii="Times New Roman" w:cs="Times New Roman" w:eastAsia="Times New Roman" w:hAnsi="Times New Roman"/>
          <w:sz w:val="18"/>
          <w:szCs w:val="18"/>
          <w:color w:val="auto"/>
        </w:rPr>
        <w:t>In 2025 we recorded an unrealized gain of approximately $2.0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our investment in TXSE following observable price changes.</w:t>
      </w:r>
    </w:p>
    <w:p>
      <w:pPr>
        <w:spacing w:after="0" w:line="50" w:lineRule="exact"/>
        <w:rPr>
          <w:sz w:val="20"/>
          <w:szCs w:val="20"/>
          <w:color w:val="auto"/>
        </w:rPr>
      </w:pPr>
    </w:p>
    <w:p>
      <w:pPr>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Income tax provision</w:t>
      </w:r>
      <w:r>
        <w:rPr>
          <w:rFonts w:ascii="Times New Roman" w:cs="Times New Roman" w:eastAsia="Times New Roman" w:hAnsi="Times New Roman"/>
          <w:sz w:val="18"/>
          <w:szCs w:val="18"/>
          <w:color w:val="auto"/>
        </w:rPr>
        <w:t>. Our effective income tax rate nine months ended September 30, 2025 approximated the 21% statutory rate. Our effective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for the nine months ended September 30, 2024 differed from the 21% statutory rate for 2024 primarily due to permanent differences between book and tax restricted stock expense based on a decrease in our stock price between the restricted stock grant and vesting dates.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Supplemental Financial Information</w:t>
      </w:r>
    </w:p>
    <w:p>
      <w:pPr>
        <w:spacing w:after="0" w:line="121"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As supplemental information, we are providing non-GAAP performance measures that we refer to as Economic Earnings and Economic EPS. We provide these measures in addition to, not as a substitute for, income attributable to Westwood Holdings Group, Inc. and earnings per share, which are reported on a GAAP basis. Our management and Board of Directors review Economic Earnings and Economic EPS to evaluate our ongoing performance, allocate resources, and review our dividend policy. We believe that these non-GAAP performance measures, while not substitutes for GAAP income attributable to Westwood Holdings Group, Inc. or earnings per share, are useful for management and investors when evaluating our underlying operating and financial performance and our available resources. We do not advocate that investors consider these non-GAAP measures without also considering financial information prepared in accordance with GAAP.</w:t>
      </w:r>
    </w:p>
    <w:p>
      <w:pPr>
        <w:spacing w:after="0" w:line="81"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We define Economic Earnings as income attributable to Westwood Holdings Group, Inc. plus non-cash equity-based compensation expense, amortization of intangible assets and deferred taxes related to goodwill. Although depreciation on fixed assets is a non-cash expense, we do not add it back when calculating Economic Earnings because depreciation charges represent an allocation of the decline in the value of the related assets that will ultimately require replacement. Although gains and losses from changes in the fair value of contingent consideration are non-cash, we do not add or subtract those back when calculating Economic Earnings because gains and losses on changes in the fair value of contingent consideration are considered regular following an acquisition. In addition, we do not adjust Economic Earnings for tax deductions related to restricted stock expense or amortization of intangible assets. Economic EPS represents Economic Earnings divided by diluted weighted average shares outstanding.</w:t>
      </w:r>
    </w:p>
    <w:p>
      <w:pPr>
        <w:spacing w:after="0" w:line="81" w:lineRule="exact"/>
        <w:rPr>
          <w:sz w:val="20"/>
          <w:szCs w:val="20"/>
          <w:color w:val="auto"/>
        </w:rPr>
      </w:pPr>
    </w:p>
    <w:p>
      <w:pPr>
        <w:ind w:right="400" w:firstLine="486"/>
        <w:spacing w:after="0" w:line="312" w:lineRule="auto"/>
        <w:rPr>
          <w:sz w:val="20"/>
          <w:szCs w:val="20"/>
          <w:color w:val="auto"/>
        </w:rPr>
      </w:pPr>
      <w:r>
        <w:rPr>
          <w:rFonts w:ascii="Times New Roman" w:cs="Times New Roman" w:eastAsia="Times New Roman" w:hAnsi="Times New Roman"/>
          <w:sz w:val="17"/>
          <w:szCs w:val="17"/>
          <w:color w:val="auto"/>
        </w:rPr>
        <w:t>The following tables (in thousands, except share and per share amounts) provide a reconciliation of income attributable to Westwood Holdings Group, Inc. to Economic Earnings and Economic Earnings by segment. We have included the tax impact of adjustments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9" w:right="39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84"/>
        </w:trPr>
        <w:tc>
          <w:tcPr>
            <w:tcW w:w="4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4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4"/>
        </w:trPr>
        <w:tc>
          <w:tcPr>
            <w:tcW w:w="4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4"/>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5"/>
        </w:trPr>
        <w:tc>
          <w:tcPr>
            <w:tcW w:w="45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20"/>
                <w:szCs w:val="20"/>
                <w:color w:val="auto"/>
              </w:rPr>
            </w:pP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0"/>
                <w:szCs w:val="20"/>
                <w:color w:val="auto"/>
              </w:rPr>
            </w:pPr>
          </w:p>
        </w:tc>
        <w:tc>
          <w:tcPr>
            <w:tcW w:w="11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3"/>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attributable to Westwood Holdings Group, Inc.</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3,423 %</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5,196</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3,189 %</w:t>
            </w:r>
          </w:p>
        </w:tc>
      </w:tr>
      <w:tr>
        <w:trPr>
          <w:trHeight w:val="213"/>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1,409</w:t>
            </w:r>
          </w:p>
        </w:tc>
        <w:tc>
          <w:tcPr>
            <w:tcW w:w="12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4,321</w:t>
            </w:r>
          </w:p>
        </w:tc>
        <w:tc>
          <w:tcPr>
            <w:tcW w:w="12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(9)</w:t>
            </w:r>
          </w:p>
        </w:tc>
      </w:tr>
      <w:tr>
        <w:trPr>
          <w:trHeight w:val="219"/>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amortization</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3,085</w:t>
            </w:r>
          </w:p>
        </w:tc>
        <w:tc>
          <w:tcPr>
            <w:tcW w:w="12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r>
      <w:tr>
        <w:trPr>
          <w:trHeight w:val="213"/>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Tax benefit from goodwill amortization</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2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2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(9)</w:t>
            </w:r>
          </w:p>
        </w:tc>
      </w:tr>
      <w:tr>
        <w:trPr>
          <w:trHeight w:val="216"/>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 impacts of adjustments to GAAP income</w:t>
            </w: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w:t>
            </w:r>
          </w:p>
        </w:tc>
        <w:tc>
          <w:tcPr>
            <w:tcW w:w="1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(4,413)</w:t>
            </w:r>
          </w:p>
        </w:tc>
        <w:tc>
          <w:tcPr>
            <w:tcW w:w="12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(63)</w:t>
            </w:r>
          </w:p>
        </w:tc>
      </w:tr>
      <w:tr>
        <w:trPr>
          <w:trHeight w:val="212"/>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Economic Earnings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1,084</w:t>
            </w: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427 %</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11,020</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207 %</w:t>
            </w: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r>
      <w:tr>
        <w:trPr>
          <w:trHeight w:val="21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2850 %</w:t>
            </w:r>
          </w:p>
        </w:tc>
      </w:tr>
      <w:tr>
        <w:trPr>
          <w:trHeight w:val="213"/>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2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12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(12)</w:t>
            </w:r>
          </w:p>
        </w:tc>
      </w:tr>
      <w:tr>
        <w:trPr>
          <w:trHeight w:val="219"/>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amortization</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Tax benefit from goodwill amortization</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2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(20)</w:t>
            </w:r>
          </w:p>
        </w:tc>
      </w:tr>
      <w:tr>
        <w:trPr>
          <w:trHeight w:val="216"/>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 impacts of adjustments to GAAP income</w:t>
            </w: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1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(0.52)</w:t>
            </w:r>
          </w:p>
        </w:tc>
        <w:tc>
          <w:tcPr>
            <w:tcW w:w="12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(63)</w:t>
            </w:r>
          </w:p>
        </w:tc>
      </w:tr>
      <w:tr>
        <w:trPr>
          <w:trHeight w:val="212"/>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Economic Earnings per share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392 %</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198 %</w:t>
            </w: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r>
      <w:tr>
        <w:trPr>
          <w:trHeight w:val="21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weighted average shares outstanding</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8,941,347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8,488,372</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8,846,168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8,448,629</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56"/>
        </w:trPr>
        <w:tc>
          <w:tcPr>
            <w:tcW w:w="4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Economic Earnings by Segment: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Advisory</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5,393</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17,431</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13,333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31 %</w:t>
            </w:r>
          </w:p>
        </w:tc>
      </w:tr>
      <w:tr>
        <w:trPr>
          <w:trHeight w:val="219"/>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Trust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2,248</w:t>
            </w:r>
          </w:p>
        </w:tc>
        <w:tc>
          <w:tcPr>
            <w:tcW w:w="12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w:t>
            </w:r>
          </w:p>
        </w:tc>
      </w:tr>
      <w:tr>
        <w:trPr>
          <w:trHeight w:val="213"/>
        </w:trPr>
        <w:tc>
          <w:tcPr>
            <w:tcW w:w="4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Westwood Holdings</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(5,059)</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(9,569)</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(11,993)</w:t>
            </w:r>
          </w:p>
        </w:tc>
        <w:tc>
          <w:tcPr>
            <w:tcW w:w="1220" w:type="dxa"/>
            <w:vAlign w:val="bottom"/>
            <w:tcBorders>
              <w:bottom w:val="single" w:sz="8" w:color="CCEEFF"/>
            </w:tcBorders>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(20)</w:t>
            </w:r>
          </w:p>
        </w:tc>
      </w:tr>
      <w:tr>
        <w:trPr>
          <w:trHeight w:val="237"/>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3,588</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207 %</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21"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Historically we have funded our operations and cash requirements with cash generated from operating activities. We may also use cash from operations to pay dividends to our stockholders or for deferred contingent consideration payments. We had no debt as of September 30, 2025 and December 31, 2024. The changes in net cash provided by operating activities generally reflect changes in earnings plus the effects of non-cash items and changes in working capital, including liquidation of investments used to cover current liabilities. Changes in working capital, especially accounts receivable and accounts payable, are generally the result of timing differences between collection of fees billed and payment of operating expenses.</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had cash and liquid investments of $39.2 million and $44.6 million as of September 30, 2025 and December 31, 2024, respectively.</w:t>
      </w:r>
    </w:p>
    <w:p>
      <w:pPr>
        <w:spacing w:after="0" w:line="117"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2025, cash flow provided by operating activities was $10.9 million, which included net sales of trading securities of $7.0 million, reductions in compensation and benefits payable of $2.1 million and contingent consideration of $4.4 million following the final payment for the revenue retention earn-out. During the nine months ended September 30, 2024, cash flow provided by operating activities was $12.2 million, which included net sales of trading securities of $6.3 million and a reduction in compensation and benefits payable of $1.3 million.</w:t>
      </w:r>
    </w:p>
    <w:p>
      <w:pPr>
        <w:spacing w:after="0" w:line="72" w:lineRule="exact"/>
        <w:rPr>
          <w:sz w:val="20"/>
          <w:szCs w:val="20"/>
          <w:color w:val="auto"/>
        </w:rPr>
      </w:pPr>
    </w:p>
    <w:p>
      <w:pPr>
        <w:jc w:val="both"/>
        <w:ind w:right="240" w:firstLine="486"/>
        <w:spacing w:after="0" w:line="312" w:lineRule="auto"/>
        <w:rPr>
          <w:sz w:val="20"/>
          <w:szCs w:val="20"/>
          <w:color w:val="auto"/>
        </w:rPr>
      </w:pPr>
      <w:r>
        <w:rPr>
          <w:rFonts w:ascii="Times New Roman" w:cs="Times New Roman" w:eastAsia="Times New Roman" w:hAnsi="Times New Roman"/>
          <w:sz w:val="17"/>
          <w:szCs w:val="17"/>
          <w:color w:val="auto"/>
        </w:rPr>
        <w:t>Cash flow used in investing activities during the nine months ended September 30, 2025 was related to the purchase of investments and internally developed software. Cash flow used in investing activities during the nine months ended September 30, 2024 was related to the purchase of investments.</w:t>
      </w:r>
    </w:p>
    <w:p>
      <w:pPr>
        <w:spacing w:after="0" w:line="32"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Cash flows used in financing activities of $5.7 million for the nine months ended September 30, 2025 reflected the payment of dividends, restricted stock returned for the payment of taxes and deferred contingent consideration payments. Cash flows used in financing activities of $8.3 million for the nine months ended September 30, 2024 reflected the payment of dividends, deferred contingent consideration payments, purchases of treasury stock and restricted stock returned for the payment of taxes.</w:t>
      </w:r>
    </w:p>
    <w:p>
      <w:pPr>
        <w:spacing w:after="0" w:line="72"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Westwood Trust is required to maintain cash and investments in an amount equal to the minimum restricted capital of $4.0 million, as required by the Texas Finance Code. Restricted capital is included in "Cash and cash equivalents" and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26" w:name="page27"/>
    <w:bookmarkEnd w:id="26"/>
    <w:p>
      <w:pPr>
        <w:ind w:right="280"/>
        <w:spacing w:after="0" w:line="282" w:lineRule="auto"/>
        <w:rPr>
          <w:sz w:val="20"/>
          <w:szCs w:val="20"/>
          <w:color w:val="auto"/>
        </w:rPr>
      </w:pPr>
      <w:r>
        <w:rPr>
          <w:rFonts w:ascii="Times New Roman" w:cs="Times New Roman" w:eastAsia="Times New Roman" w:hAnsi="Times New Roman"/>
          <w:sz w:val="18"/>
          <w:szCs w:val="18"/>
          <w:color w:val="auto"/>
        </w:rPr>
        <w:t>"Investments, at fair value" in the accompanying Condensed Consolidated Balance Sheets. At September 30, 2025, Westwood Trust had approximately $13.6 million in excess of its minimum capital requirement.</w:t>
      </w:r>
    </w:p>
    <w:p>
      <w:pPr>
        <w:spacing w:after="0" w:line="54"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Our future liquidity and capital requirements will depend upon numerous factors, including our results of operations, the timing and magnitude of capital expenditures or strategic initiatives, our dividend policy and other business and risk factors described under “Risk Factors” in our Annual Report on Form 10-K for the year ended December 31, 2024. We believe that current cash and short-term investment balances plus cash generated from operations will be sufficient to meet both the operating and capital requirements of our ordinary business operations through at least the next twelve months, however there can be no assurance that we will not require additional financing within this time frame. Failure to raise needed capital on attractive terms, if at all, could have a material adverse effect on our business, financial condition and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and Significant Accounting Policies and Estimates</w:t>
      </w:r>
    </w:p>
    <w:p>
      <w:pPr>
        <w:spacing w:after="0" w:line="121"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There have been no significant changes in our critical or significant accounting policies and estimates since December 31, 2024. Information with respect to our critical accounting policies and estimates that we believe could have the most significant effect on our reported consolidated results and require difficult, subjective or complex judgment by management is described under “Critical Accounting Policies and Estimates” in Part II, Item 7. “Management’s Discussion and Analysis of Financial Condition and Results of Operations” in our Annual Report on Form 10-K for the fiscal year ended December 31, 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Accounting Developments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Refer to Note 2 “Summary of Significant Accounting Policies” in our Condensed Consolidated Financial Statements included in Part I, Item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of this Quarterly Report on Form 10-Q for a description of recently issued accounting guidance.</w:t>
      </w:r>
    </w:p>
    <w:p>
      <w:pPr>
        <w:spacing w:after="0" w:line="31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in our Quantitative and Qualitative Disclosures about Market Risk from those previously reported in our Annual Report on Form 10-K for the year ended December 31, 2024.</w:t>
      </w:r>
    </w:p>
    <w:p>
      <w:pPr>
        <w:spacing w:after="0" w:line="21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Our disclosure controls and procedures are designed to ensure that information required to be disclosed in the reports we file or submit under the Securities Exchange Act of 1934, as amended (the “Exchange Act”), (1) is recorded, processed, summarized and reported within the time periods specified in the SEC’s rules and forms and (2) is accumulated and communicated to our management, including our Chief Executive Officer and our Chief Financial Officer, to allow timely decisions regarding required disclosure. An evaluation was performed under the supervision and with the participation of our management, including our Chief Executive Officer and Chief Financial Officer, of the effectiveness of the design and operation of our disclosure controls and procedures (as defined in Rule 13a-15(e) under the Exchange Act) as of the end of the period covered by this report. Based on this evaluation, our management, including our Chief Executive Officer and our Chief Financial Officer, concluded that, as of the end of the period covered by this report, our disclosure controls and procedures were effective to ensure that information required to be disclosed in the reports we file or submit under the Exchange Act is recorded, processed, summarized and reported within the time periods specified in the SEC’s rules and forms and is accumulated and communicated to management, including our Chief Executive Officer and our Chief Financial Officer, as appropriate, to allow timely decisions regarding required disclosure.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121"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During the quarter ended September 30, 2025, there were no changes in our internal controls over financial reporting (as defined in Rule 13a-15(f) under the Exchange Act)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0" w:lineRule="exact"/>
        <w:rPr>
          <w:sz w:val="20"/>
          <w:szCs w:val="20"/>
          <w:color w:val="auto"/>
        </w:rPr>
      </w:pPr>
    </w:p>
    <w:p>
      <w:pPr>
        <w:spacing w:after="0" w:line="26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color w:val="auto"/>
        </w:rPr>
        <w:t>Our business and future results may be affected by a number of risks and uncertainties that should be considered carefully. In addition, this report also contains forward-looking statements that involve risks and uncertainties. Our actual results could differ materially from those anticipated in such forward-looking statements as a result of certain factors, including the risks described in Part I, Item 1A of the Company’s Annual Report on Form 10-K for the year ended December 31, 2024 and the risks set forth below.</w:t>
      </w:r>
    </w:p>
    <w:p>
      <w:pPr>
        <w:spacing w:after="0" w:line="72"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the Form 10-K. You should carefully consider the following risks and the risks included in the Company’s Annual Report on Form 10-K, together with all of the other information in this Quarterly Report on Form 10-Q, including our unaudited condensed consolidated financial statements and the related notes included elsewhere in this Quarterly Report on Form 10-Q. The occurrence of any single risk or any combination of risks could materially and adversely affect our business, financial condition, results of operations, cash flows and the trading price of our common stock.</w:t>
      </w:r>
    </w:p>
    <w:p>
      <w:pPr>
        <w:spacing w:after="0" w:line="7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121"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Our share repurchase program has no expiration date and may be discontinued at any time by the Board of Directors. During the three months ended September 30, 2025, the Company did not repurchase any shares of our common stock.</w:t>
      </w:r>
    </w:p>
    <w:p>
      <w:pPr>
        <w:spacing w:after="0" w:line="5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During the quarter ended September 30, 2025, none of our directors or officers (as defined in Rule 16a-1(f) of the Securities Exchange Act of 1934) adopted, terminated or modified a Rule 10b5-1 trading arrangement or non-Rule 10b5-1 trading arrangement (as such terms are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8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10"/>
        </w:trPr>
        <w:tc>
          <w:tcPr>
            <w:tcW w:w="760" w:type="dxa"/>
            <w:vAlign w:val="bottom"/>
          </w:tcPr>
          <w:p>
            <w:pPr>
              <w:spacing w:after="0"/>
              <w:rPr>
                <w:sz w:val="24"/>
                <w:szCs w:val="24"/>
                <w:color w:val="auto"/>
              </w:rPr>
            </w:pPr>
          </w:p>
        </w:tc>
        <w:tc>
          <w:tcPr>
            <w:tcW w:w="8700" w:type="dxa"/>
            <w:vAlign w:val="bottom"/>
          </w:tcPr>
          <w:p>
            <w:pPr>
              <w:ind w:left="480"/>
              <w:spacing w:after="0"/>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Securities Purchase Agreement by and among Westwood Holdings Group, Inc., McCarthy Group Advisors, LLC,</w:t>
              </w:r>
            </w:hyperlink>
          </w:p>
        </w:tc>
        <w:tc>
          <w:tcPr>
            <w:tcW w:w="0" w:type="dxa"/>
            <w:vAlign w:val="bottom"/>
          </w:tcPr>
          <w:p>
            <w:pPr>
              <w:spacing w:after="0"/>
              <w:rPr>
                <w:sz w:val="1"/>
                <w:szCs w:val="1"/>
                <w:color w:val="auto"/>
              </w:rPr>
            </w:pPr>
          </w:p>
        </w:tc>
      </w:tr>
      <w:tr>
        <w:trPr>
          <w:trHeight w:val="184"/>
        </w:trPr>
        <w:tc>
          <w:tcPr>
            <w:tcW w:w="760" w:type="dxa"/>
            <w:vAlign w:val="bottom"/>
          </w:tcPr>
          <w:p>
            <w:pPr>
              <w:spacing w:after="0"/>
              <w:rPr>
                <w:sz w:val="16"/>
                <w:szCs w:val="16"/>
                <w:color w:val="auto"/>
              </w:rPr>
            </w:pPr>
          </w:p>
        </w:tc>
        <w:tc>
          <w:tcPr>
            <w:tcW w:w="8700" w:type="dxa"/>
            <w:vAlign w:val="bottom"/>
          </w:tcPr>
          <w:p>
            <w:pPr>
              <w:ind w:left="480"/>
              <w:spacing w:after="0" w:line="184" w:lineRule="exact"/>
              <w:rPr>
                <w:rFonts w:ascii="Times New Roman" w:cs="Times New Roman" w:eastAsia="Times New Roman" w:hAnsi="Times New Roman"/>
                <w:sz w:val="18"/>
                <w:szCs w:val="18"/>
                <w:color w:val="0000FF"/>
                <w:w w:val="99"/>
              </w:rPr>
            </w:pPr>
            <w:hyperlink r:id="rId40">
              <w:r>
                <w:rPr>
                  <w:rFonts w:ascii="Times New Roman" w:cs="Times New Roman" w:eastAsia="Times New Roman" w:hAnsi="Times New Roman"/>
                  <w:sz w:val="18"/>
                  <w:szCs w:val="18"/>
                  <w:color w:val="0000FF"/>
                  <w:w w:val="99"/>
                </w:rPr>
                <w:t>MGA Holdings, LLC, and The Members of MGA Holdings, LLC (incorporated by reference from the Form 10-K</w:t>
              </w:r>
            </w:hyperlink>
          </w:p>
        </w:tc>
        <w:tc>
          <w:tcPr>
            <w:tcW w:w="0" w:type="dxa"/>
            <w:vAlign w:val="bottom"/>
          </w:tcPr>
          <w:p>
            <w:pPr>
              <w:spacing w:after="0"/>
              <w:rPr>
                <w:sz w:val="1"/>
                <w:szCs w:val="1"/>
                <w:color w:val="auto"/>
              </w:rPr>
            </w:pPr>
          </w:p>
        </w:tc>
      </w:tr>
      <w:tr>
        <w:trPr>
          <w:trHeight w:val="234"/>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8700" w:type="dxa"/>
            <w:vAlign w:val="bottom"/>
          </w:tcPr>
          <w:p>
            <w:pPr>
              <w:ind w:left="480"/>
              <w:spacing w:after="0"/>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filed with the SEC on February 28, 2013)</w:t>
              </w:r>
            </w:hyperlink>
          </w:p>
        </w:tc>
        <w:tc>
          <w:tcPr>
            <w:tcW w:w="0" w:type="dxa"/>
            <w:vAlign w:val="bottom"/>
          </w:tcPr>
          <w:p>
            <w:pPr>
              <w:spacing w:after="0"/>
              <w:rPr>
                <w:sz w:val="1"/>
                <w:szCs w:val="1"/>
                <w:color w:val="auto"/>
              </w:rPr>
            </w:pPr>
          </w:p>
        </w:tc>
      </w:tr>
      <w:tr>
        <w:trPr>
          <w:trHeight w:val="283"/>
        </w:trPr>
        <w:tc>
          <w:tcPr>
            <w:tcW w:w="760" w:type="dxa"/>
            <w:vAlign w:val="bottom"/>
          </w:tcPr>
          <w:p>
            <w:pPr>
              <w:spacing w:after="0"/>
              <w:rPr>
                <w:sz w:val="24"/>
                <w:szCs w:val="24"/>
                <w:color w:val="auto"/>
              </w:rPr>
            </w:pPr>
          </w:p>
        </w:tc>
        <w:tc>
          <w:tcPr>
            <w:tcW w:w="8700" w:type="dxa"/>
            <w:vAlign w:val="bottom"/>
          </w:tcPr>
          <w:p>
            <w:pPr>
              <w:ind w:left="480"/>
              <w:spacing w:after="0"/>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Reorganization Agreement and Agreement and Plan of Merger dated as of January 15, 2015 by and among</w:t>
              </w:r>
            </w:hyperlink>
          </w:p>
        </w:tc>
        <w:tc>
          <w:tcPr>
            <w:tcW w:w="0" w:type="dxa"/>
            <w:vAlign w:val="bottom"/>
          </w:tcPr>
          <w:p>
            <w:pPr>
              <w:spacing w:after="0"/>
              <w:rPr>
                <w:sz w:val="1"/>
                <w:szCs w:val="1"/>
                <w:color w:val="auto"/>
              </w:rPr>
            </w:pPr>
          </w:p>
        </w:tc>
      </w:tr>
      <w:tr>
        <w:trPr>
          <w:trHeight w:val="184"/>
        </w:trPr>
        <w:tc>
          <w:tcPr>
            <w:tcW w:w="760" w:type="dxa"/>
            <w:vAlign w:val="bottom"/>
          </w:tcPr>
          <w:p>
            <w:pPr>
              <w:spacing w:after="0"/>
              <w:rPr>
                <w:sz w:val="16"/>
                <w:szCs w:val="16"/>
                <w:color w:val="auto"/>
              </w:rPr>
            </w:pPr>
          </w:p>
        </w:tc>
        <w:tc>
          <w:tcPr>
            <w:tcW w:w="8700" w:type="dxa"/>
            <w:vAlign w:val="bottom"/>
          </w:tcPr>
          <w:p>
            <w:pPr>
              <w:ind w:left="480"/>
              <w:spacing w:after="0" w:line="184" w:lineRule="exact"/>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Westwood Holdings Group, Inc., Westwood Trust, Woodway Financial Advisors, A Trust Company and the</w:t>
              </w:r>
            </w:hyperlink>
          </w:p>
        </w:tc>
        <w:tc>
          <w:tcPr>
            <w:tcW w:w="0" w:type="dxa"/>
            <w:vAlign w:val="bottom"/>
          </w:tcPr>
          <w:p>
            <w:pPr>
              <w:spacing w:after="0"/>
              <w:rPr>
                <w:sz w:val="1"/>
                <w:szCs w:val="1"/>
                <w:color w:val="auto"/>
              </w:rPr>
            </w:pPr>
          </w:p>
        </w:tc>
      </w:tr>
      <w:tr>
        <w:trPr>
          <w:trHeight w:val="180"/>
        </w:trPr>
        <w:tc>
          <w:tcPr>
            <w:tcW w:w="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2.2</w:t>
            </w:r>
          </w:p>
        </w:tc>
        <w:tc>
          <w:tcPr>
            <w:tcW w:w="8700" w:type="dxa"/>
            <w:vAlign w:val="bottom"/>
          </w:tcPr>
          <w:p>
            <w:pPr>
              <w:ind w:left="480"/>
              <w:spacing w:after="0" w:line="181" w:lineRule="exact"/>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Shareholders of Woodway Financial Advisors, A Trust Company (incorporated by reference from the Form 8-K</w:t>
              </w:r>
            </w:hyperlink>
          </w:p>
        </w:tc>
        <w:tc>
          <w:tcPr>
            <w:tcW w:w="0" w:type="dxa"/>
            <w:vAlign w:val="bottom"/>
          </w:tcPr>
          <w:p>
            <w:pPr>
              <w:spacing w:after="0"/>
              <w:rPr>
                <w:sz w:val="1"/>
                <w:szCs w:val="1"/>
                <w:color w:val="auto"/>
              </w:rPr>
            </w:pPr>
          </w:p>
        </w:tc>
      </w:tr>
      <w:tr>
        <w:trPr>
          <w:trHeight w:val="234"/>
        </w:trPr>
        <w:tc>
          <w:tcPr>
            <w:tcW w:w="760" w:type="dxa"/>
            <w:vAlign w:val="bottom"/>
            <w:vMerge w:val="continue"/>
          </w:tcPr>
          <w:p>
            <w:pPr>
              <w:spacing w:after="0"/>
              <w:rPr>
                <w:sz w:val="20"/>
                <w:szCs w:val="20"/>
                <w:color w:val="auto"/>
              </w:rPr>
            </w:pPr>
          </w:p>
        </w:tc>
        <w:tc>
          <w:tcPr>
            <w:tcW w:w="8700" w:type="dxa"/>
            <w:vAlign w:val="bottom"/>
          </w:tcPr>
          <w:p>
            <w:pPr>
              <w:ind w:left="480"/>
              <w:spacing w:after="0"/>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filed with the SEC on January 16, 2015)</w:t>
              </w:r>
            </w:hyperlink>
          </w:p>
        </w:tc>
        <w:tc>
          <w:tcPr>
            <w:tcW w:w="0" w:type="dxa"/>
            <w:vAlign w:val="bottom"/>
          </w:tcPr>
          <w:p>
            <w:pPr>
              <w:spacing w:after="0"/>
              <w:rPr>
                <w:sz w:val="1"/>
                <w:szCs w:val="1"/>
                <w:color w:val="auto"/>
              </w:rPr>
            </w:pPr>
          </w:p>
        </w:tc>
      </w:tr>
      <w:tr>
        <w:trPr>
          <w:trHeight w:val="279"/>
        </w:trPr>
        <w:tc>
          <w:tcPr>
            <w:tcW w:w="760" w:type="dxa"/>
            <w:vAlign w:val="bottom"/>
          </w:tcPr>
          <w:p>
            <w:pPr>
              <w:spacing w:after="0"/>
              <w:rPr>
                <w:sz w:val="24"/>
                <w:szCs w:val="24"/>
                <w:color w:val="auto"/>
              </w:rPr>
            </w:pPr>
          </w:p>
        </w:tc>
        <w:tc>
          <w:tcPr>
            <w:tcW w:w="8700" w:type="dxa"/>
            <w:vAlign w:val="bottom"/>
          </w:tcPr>
          <w:p>
            <w:pPr>
              <w:ind w:left="480"/>
              <w:spacing w:after="0"/>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color w:val="0000FF"/>
                </w:rPr>
                <w:t>Purchase Agreement, dated May 25, 2022, by and among Westwood Holdings Group, Inc., Salient Capital</w:t>
              </w:r>
            </w:hyperlink>
          </w:p>
        </w:tc>
        <w:tc>
          <w:tcPr>
            <w:tcW w:w="0" w:type="dxa"/>
            <w:vAlign w:val="bottom"/>
          </w:tcPr>
          <w:p>
            <w:pPr>
              <w:spacing w:after="0"/>
              <w:rPr>
                <w:sz w:val="1"/>
                <w:szCs w:val="1"/>
                <w:color w:val="auto"/>
              </w:rPr>
            </w:pPr>
          </w:p>
        </w:tc>
      </w:tr>
      <w:tr>
        <w:trPr>
          <w:trHeight w:val="184"/>
        </w:trPr>
        <w:tc>
          <w:tcPr>
            <w:tcW w:w="760" w:type="dxa"/>
            <w:vAlign w:val="bottom"/>
          </w:tcPr>
          <w:p>
            <w:pPr>
              <w:spacing w:after="0"/>
              <w:rPr>
                <w:sz w:val="16"/>
                <w:szCs w:val="16"/>
                <w:color w:val="auto"/>
              </w:rPr>
            </w:pPr>
          </w:p>
        </w:tc>
        <w:tc>
          <w:tcPr>
            <w:tcW w:w="8700" w:type="dxa"/>
            <w:vAlign w:val="bottom"/>
          </w:tcPr>
          <w:p>
            <w:pPr>
              <w:ind w:left="480"/>
              <w:spacing w:after="0" w:line="184" w:lineRule="exact"/>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color w:val="0000FF"/>
                </w:rPr>
                <w:t>Management, LLC, Salient Partners, L.P. and the other Seller parties identified on Annex I (incorporated by</w:t>
              </w:r>
            </w:hyperlink>
          </w:p>
        </w:tc>
        <w:tc>
          <w:tcPr>
            <w:tcW w:w="0" w:type="dxa"/>
            <w:vAlign w:val="bottom"/>
          </w:tcPr>
          <w:p>
            <w:pPr>
              <w:spacing w:after="0"/>
              <w:rPr>
                <w:sz w:val="1"/>
                <w:szCs w:val="1"/>
                <w:color w:val="auto"/>
              </w:rPr>
            </w:pPr>
          </w:p>
        </w:tc>
      </w:tr>
      <w:tr>
        <w:trPr>
          <w:trHeight w:val="234"/>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w:t>
            </w:r>
          </w:p>
        </w:tc>
        <w:tc>
          <w:tcPr>
            <w:tcW w:w="8700" w:type="dxa"/>
            <w:vAlign w:val="bottom"/>
          </w:tcPr>
          <w:p>
            <w:pPr>
              <w:ind w:left="480"/>
              <w:spacing w:after="0"/>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color w:val="0000FF"/>
                </w:rPr>
                <w:t>reference from the Form 8-K filed with the SEC on May 26, 2022)</w:t>
              </w:r>
            </w:hyperlink>
          </w:p>
        </w:tc>
        <w:tc>
          <w:tcPr>
            <w:tcW w:w="0" w:type="dxa"/>
            <w:vAlign w:val="bottom"/>
          </w:tcPr>
          <w:p>
            <w:pPr>
              <w:spacing w:after="0"/>
              <w:rPr>
                <w:sz w:val="1"/>
                <w:szCs w:val="1"/>
                <w:color w:val="auto"/>
              </w:rPr>
            </w:pPr>
          </w:p>
        </w:tc>
      </w:tr>
      <w:tr>
        <w:trPr>
          <w:trHeight w:val="283"/>
        </w:trPr>
        <w:tc>
          <w:tcPr>
            <w:tcW w:w="760" w:type="dxa"/>
            <w:vAlign w:val="bottom"/>
          </w:tcPr>
          <w:p>
            <w:pPr>
              <w:spacing w:after="0"/>
              <w:rPr>
                <w:sz w:val="24"/>
                <w:szCs w:val="24"/>
                <w:color w:val="auto"/>
              </w:rPr>
            </w:pPr>
          </w:p>
        </w:tc>
        <w:tc>
          <w:tcPr>
            <w:tcW w:w="8700" w:type="dxa"/>
            <w:vAlign w:val="bottom"/>
          </w:tcPr>
          <w:p>
            <w:pPr>
              <w:ind w:left="480"/>
              <w:spacing w:after="0"/>
              <w:rPr>
                <w:rFonts w:ascii="Times New Roman" w:cs="Times New Roman" w:eastAsia="Times New Roman" w:hAnsi="Times New Roman"/>
                <w:sz w:val="18"/>
                <w:szCs w:val="18"/>
                <w:color w:val="0000FF"/>
                <w:w w:val="99"/>
              </w:rPr>
            </w:pPr>
            <w:hyperlink r:id="rId43">
              <w:r>
                <w:rPr>
                  <w:rFonts w:ascii="Times New Roman" w:cs="Times New Roman" w:eastAsia="Times New Roman" w:hAnsi="Times New Roman"/>
                  <w:sz w:val="18"/>
                  <w:szCs w:val="18"/>
                  <w:color w:val="0000FF"/>
                  <w:w w:val="99"/>
                </w:rPr>
                <w:t>Amended and Restated Certificate of Incorporation of Westwood Holdings Group, Inc. (incorporated by reference</w:t>
              </w:r>
            </w:hyperlink>
          </w:p>
        </w:tc>
        <w:tc>
          <w:tcPr>
            <w:tcW w:w="0" w:type="dxa"/>
            <w:vAlign w:val="bottom"/>
          </w:tcPr>
          <w:p>
            <w:pPr>
              <w:spacing w:after="0"/>
              <w:rPr>
                <w:sz w:val="1"/>
                <w:szCs w:val="1"/>
                <w:color w:val="auto"/>
              </w:rPr>
            </w:pPr>
          </w:p>
        </w:tc>
      </w:tr>
      <w:tr>
        <w:trPr>
          <w:trHeight w:val="243"/>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8700" w:type="dxa"/>
            <w:vAlign w:val="bottom"/>
          </w:tcPr>
          <w:p>
            <w:pPr>
              <w:ind w:left="480"/>
              <w:spacing w:after="0"/>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from the Form S-8 filed with the SEC on September 28, 2022)</w:t>
              </w:r>
            </w:hyperlink>
          </w:p>
        </w:tc>
        <w:tc>
          <w:tcPr>
            <w:tcW w:w="0" w:type="dxa"/>
            <w:vAlign w:val="bottom"/>
          </w:tcPr>
          <w:p>
            <w:pPr>
              <w:spacing w:after="0"/>
              <w:rPr>
                <w:sz w:val="1"/>
                <w:szCs w:val="1"/>
                <w:color w:val="auto"/>
              </w:rPr>
            </w:pPr>
          </w:p>
        </w:tc>
      </w:tr>
      <w:tr>
        <w:trPr>
          <w:trHeight w:val="283"/>
        </w:trPr>
        <w:tc>
          <w:tcPr>
            <w:tcW w:w="760" w:type="dxa"/>
            <w:vAlign w:val="bottom"/>
          </w:tcPr>
          <w:p>
            <w:pPr>
              <w:spacing w:after="0"/>
              <w:rPr>
                <w:sz w:val="24"/>
                <w:szCs w:val="24"/>
                <w:color w:val="auto"/>
              </w:rPr>
            </w:pPr>
          </w:p>
        </w:tc>
        <w:tc>
          <w:tcPr>
            <w:tcW w:w="8700" w:type="dxa"/>
            <w:vAlign w:val="bottom"/>
          </w:tcPr>
          <w:p>
            <w:pPr>
              <w:ind w:left="480"/>
              <w:spacing w:after="0"/>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Certificate of Amendment to Certificate of Formation of Westwood Holdings Group, Inc. (incorporated by</w:t>
              </w:r>
            </w:hyperlink>
          </w:p>
        </w:tc>
        <w:tc>
          <w:tcPr>
            <w:tcW w:w="0" w:type="dxa"/>
            <w:vAlign w:val="bottom"/>
          </w:tcPr>
          <w:p>
            <w:pPr>
              <w:spacing w:after="0"/>
              <w:rPr>
                <w:sz w:val="1"/>
                <w:szCs w:val="1"/>
                <w:color w:val="auto"/>
              </w:rPr>
            </w:pPr>
          </w:p>
        </w:tc>
      </w:tr>
      <w:tr>
        <w:trPr>
          <w:trHeight w:val="243"/>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8700" w:type="dxa"/>
            <w:vAlign w:val="bottom"/>
          </w:tcPr>
          <w:p>
            <w:pPr>
              <w:ind w:left="480"/>
              <w:spacing w:after="0"/>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reference to the Form 8-K filed with the SEC on December 2, 2024)</w:t>
              </w:r>
            </w:hyperlink>
          </w:p>
        </w:tc>
        <w:tc>
          <w:tcPr>
            <w:tcW w:w="0" w:type="dxa"/>
            <w:vAlign w:val="bottom"/>
          </w:tcPr>
          <w:p>
            <w:pPr>
              <w:spacing w:after="0"/>
              <w:rPr>
                <w:sz w:val="1"/>
                <w:szCs w:val="1"/>
                <w:color w:val="auto"/>
              </w:rPr>
            </w:pPr>
          </w:p>
        </w:tc>
      </w:tr>
      <w:tr>
        <w:trPr>
          <w:trHeight w:val="283"/>
        </w:trPr>
        <w:tc>
          <w:tcPr>
            <w:tcW w:w="760" w:type="dxa"/>
            <w:vAlign w:val="bottom"/>
          </w:tcPr>
          <w:p>
            <w:pPr>
              <w:spacing w:after="0"/>
              <w:rPr>
                <w:sz w:val="24"/>
                <w:szCs w:val="24"/>
                <w:color w:val="auto"/>
              </w:rPr>
            </w:pPr>
          </w:p>
        </w:tc>
        <w:tc>
          <w:tcPr>
            <w:tcW w:w="8700" w:type="dxa"/>
            <w:vAlign w:val="bottom"/>
          </w:tcPr>
          <w:p>
            <w:pPr>
              <w:ind w:left="480"/>
              <w:spacing w:after="0"/>
              <w:rPr>
                <w:rFonts w:ascii="Times New Roman" w:cs="Times New Roman" w:eastAsia="Times New Roman" w:hAnsi="Times New Roman"/>
                <w:sz w:val="18"/>
                <w:szCs w:val="18"/>
                <w:color w:val="0000FF"/>
                <w:w w:val="99"/>
              </w:rPr>
            </w:pPr>
            <w:hyperlink r:id="rId45">
              <w:r>
                <w:rPr>
                  <w:rFonts w:ascii="Times New Roman" w:cs="Times New Roman" w:eastAsia="Times New Roman" w:hAnsi="Times New Roman"/>
                  <w:sz w:val="18"/>
                  <w:szCs w:val="18"/>
                  <w:color w:val="0000FF"/>
                  <w:w w:val="99"/>
                </w:rPr>
                <w:t>Amended and Restated Bylaws of Westwood Holdings Group, Inc. (incorporated by reference from the Form 8-K</w:t>
              </w:r>
            </w:hyperlink>
          </w:p>
        </w:tc>
        <w:tc>
          <w:tcPr>
            <w:tcW w:w="0" w:type="dxa"/>
            <w:vAlign w:val="bottom"/>
          </w:tcPr>
          <w:p>
            <w:pPr>
              <w:spacing w:after="0"/>
              <w:rPr>
                <w:sz w:val="1"/>
                <w:szCs w:val="1"/>
                <w:color w:val="auto"/>
              </w:rPr>
            </w:pPr>
          </w:p>
        </w:tc>
      </w:tr>
      <w:tr>
        <w:trPr>
          <w:trHeight w:val="243"/>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8700" w:type="dxa"/>
            <w:vAlign w:val="bottom"/>
          </w:tcPr>
          <w:p>
            <w:pPr>
              <w:ind w:left="480"/>
              <w:spacing w:after="0"/>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filed with the SEC on November 2, 2021)</w:t>
              </w:r>
            </w:hyperlink>
          </w:p>
        </w:tc>
        <w:tc>
          <w:tcPr>
            <w:tcW w:w="0" w:type="dxa"/>
            <w:vAlign w:val="bottom"/>
          </w:tcPr>
          <w:p>
            <w:pPr>
              <w:spacing w:after="0"/>
              <w:rPr>
                <w:sz w:val="1"/>
                <w:szCs w:val="1"/>
                <w:color w:val="auto"/>
              </w:rPr>
            </w:pPr>
          </w:p>
        </w:tc>
      </w:tr>
      <w:tr>
        <w:trPr>
          <w:trHeight w:val="283"/>
        </w:trPr>
        <w:tc>
          <w:tcPr>
            <w:tcW w:w="760" w:type="dxa"/>
            <w:vAlign w:val="bottom"/>
          </w:tcPr>
          <w:p>
            <w:pPr>
              <w:spacing w:after="0"/>
              <w:rPr>
                <w:sz w:val="24"/>
                <w:szCs w:val="24"/>
                <w:color w:val="auto"/>
              </w:rPr>
            </w:pPr>
          </w:p>
        </w:tc>
        <w:tc>
          <w:tcPr>
            <w:tcW w:w="8700" w:type="dxa"/>
            <w:vAlign w:val="bottom"/>
          </w:tcPr>
          <w:p>
            <w:pPr>
              <w:ind w:left="480"/>
              <w:spacing w:after="0"/>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Form of Common Stock Certificate of Westwood Holdings Group, Inc. (incorporated by reference from</w:t>
              </w:r>
            </w:hyperlink>
          </w:p>
        </w:tc>
        <w:tc>
          <w:tcPr>
            <w:tcW w:w="0" w:type="dxa"/>
            <w:vAlign w:val="bottom"/>
          </w:tcPr>
          <w:p>
            <w:pPr>
              <w:spacing w:after="0"/>
              <w:rPr>
                <w:sz w:val="1"/>
                <w:szCs w:val="1"/>
                <w:color w:val="auto"/>
              </w:rPr>
            </w:pPr>
          </w:p>
        </w:tc>
      </w:tr>
      <w:tr>
        <w:trPr>
          <w:trHeight w:val="243"/>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8700" w:type="dxa"/>
            <w:vAlign w:val="bottom"/>
          </w:tcPr>
          <w:p>
            <w:pPr>
              <w:ind w:left="480"/>
              <w:spacing w:after="0"/>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Amendment No. 2 to Registration Statement on Form 10/A filed with the SEC on April 30, 2002)</w:t>
              </w:r>
            </w:hyperlink>
          </w:p>
        </w:tc>
        <w:tc>
          <w:tcPr>
            <w:tcW w:w="0" w:type="dxa"/>
            <w:vAlign w:val="bottom"/>
          </w:tcPr>
          <w:p>
            <w:pPr>
              <w:spacing w:after="0"/>
              <w:rPr>
                <w:sz w:val="1"/>
                <w:szCs w:val="1"/>
                <w:color w:val="auto"/>
              </w:rPr>
            </w:pPr>
          </w:p>
        </w:tc>
      </w:tr>
      <w:tr>
        <w:trPr>
          <w:trHeight w:val="283"/>
        </w:trPr>
        <w:tc>
          <w:tcPr>
            <w:tcW w:w="760" w:type="dxa"/>
            <w:vAlign w:val="bottom"/>
          </w:tcPr>
          <w:p>
            <w:pPr>
              <w:spacing w:after="0"/>
              <w:rPr>
                <w:sz w:val="24"/>
                <w:szCs w:val="24"/>
                <w:color w:val="auto"/>
              </w:rPr>
            </w:pPr>
          </w:p>
        </w:tc>
        <w:tc>
          <w:tcPr>
            <w:tcW w:w="8700" w:type="dxa"/>
            <w:vAlign w:val="bottom"/>
          </w:tcPr>
          <w:p>
            <w:pPr>
              <w:ind w:left="480"/>
              <w:spacing w:after="0"/>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Eighteenth Modification of Office Lease between Westwood Management Corp. and Crescent TC Investors LP,</w:t>
              </w:r>
            </w:hyperlink>
          </w:p>
        </w:tc>
        <w:tc>
          <w:tcPr>
            <w:tcW w:w="0" w:type="dxa"/>
            <w:vAlign w:val="bottom"/>
          </w:tcPr>
          <w:p>
            <w:pPr>
              <w:spacing w:after="0"/>
              <w:rPr>
                <w:sz w:val="1"/>
                <w:szCs w:val="1"/>
                <w:color w:val="auto"/>
              </w:rPr>
            </w:pPr>
          </w:p>
        </w:tc>
      </w:tr>
      <w:tr>
        <w:trPr>
          <w:trHeight w:val="184"/>
        </w:trPr>
        <w:tc>
          <w:tcPr>
            <w:tcW w:w="760" w:type="dxa"/>
            <w:vAlign w:val="bottom"/>
          </w:tcPr>
          <w:p>
            <w:pPr>
              <w:spacing w:after="0"/>
              <w:rPr>
                <w:sz w:val="16"/>
                <w:szCs w:val="16"/>
                <w:color w:val="auto"/>
              </w:rPr>
            </w:pPr>
          </w:p>
        </w:tc>
        <w:tc>
          <w:tcPr>
            <w:tcW w:w="8700" w:type="dxa"/>
            <w:vAlign w:val="bottom"/>
          </w:tcPr>
          <w:p>
            <w:pPr>
              <w:ind w:left="480"/>
              <w:spacing w:after="0" w:line="184"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dated as of June 24, 2025 (incorporated by reference to Exhibit 10.1 to the Registrant’s Form 10-Q for the quarter</w:t>
              </w:r>
            </w:hyperlink>
          </w:p>
        </w:tc>
        <w:tc>
          <w:tcPr>
            <w:tcW w:w="0" w:type="dxa"/>
            <w:vAlign w:val="bottom"/>
          </w:tcPr>
          <w:p>
            <w:pPr>
              <w:spacing w:after="0"/>
              <w:rPr>
                <w:sz w:val="1"/>
                <w:szCs w:val="1"/>
                <w:color w:val="auto"/>
              </w:rPr>
            </w:pPr>
          </w:p>
        </w:tc>
      </w:tr>
      <w:tr>
        <w:trPr>
          <w:trHeight w:val="234"/>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8700" w:type="dxa"/>
            <w:vAlign w:val="bottom"/>
          </w:tcPr>
          <w:p>
            <w:pPr>
              <w:ind w:left="480"/>
              <w:spacing w:after="0"/>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ended June 30, 2025, filed August 8, 2025)</w:t>
              </w:r>
            </w:hyperlink>
          </w:p>
        </w:tc>
        <w:tc>
          <w:tcPr>
            <w:tcW w:w="0" w:type="dxa"/>
            <w:vAlign w:val="bottom"/>
          </w:tcPr>
          <w:p>
            <w:pPr>
              <w:spacing w:after="0"/>
              <w:rPr>
                <w:sz w:val="1"/>
                <w:szCs w:val="1"/>
                <w:color w:val="auto"/>
              </w:rPr>
            </w:pPr>
          </w:p>
        </w:tc>
      </w:tr>
      <w:tr>
        <w:trPr>
          <w:trHeight w:val="338"/>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8700" w:type="dxa"/>
            <w:vAlign w:val="bottom"/>
          </w:tcPr>
          <w:p>
            <w:pPr>
              <w:ind w:left="480"/>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Securities Exchange Act Rule 13a-14(a)</w:t>
            </w:r>
          </w:p>
        </w:tc>
        <w:tc>
          <w:tcPr>
            <w:tcW w:w="0" w:type="dxa"/>
            <w:vAlign w:val="bottom"/>
          </w:tcPr>
          <w:p>
            <w:pPr>
              <w:spacing w:after="0"/>
              <w:rPr>
                <w:sz w:val="1"/>
                <w:szCs w:val="1"/>
                <w:color w:val="auto"/>
              </w:rPr>
            </w:pPr>
          </w:p>
        </w:tc>
      </w:tr>
      <w:tr>
        <w:trPr>
          <w:trHeight w:val="338"/>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8700" w:type="dxa"/>
            <w:vAlign w:val="bottom"/>
          </w:tcPr>
          <w:p>
            <w:pPr>
              <w:ind w:left="480"/>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Securities Exchange Act Rule 13a-14(a)</w:t>
            </w:r>
          </w:p>
        </w:tc>
        <w:tc>
          <w:tcPr>
            <w:tcW w:w="0" w:type="dxa"/>
            <w:vAlign w:val="bottom"/>
          </w:tcPr>
          <w:p>
            <w:pPr>
              <w:spacing w:after="0"/>
              <w:rPr>
                <w:sz w:val="1"/>
                <w:szCs w:val="1"/>
                <w:color w:val="auto"/>
              </w:rPr>
            </w:pPr>
          </w:p>
        </w:tc>
      </w:tr>
      <w:tr>
        <w:trPr>
          <w:trHeight w:val="283"/>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8700" w:type="dxa"/>
            <w:vAlign w:val="bottom"/>
          </w:tcPr>
          <w:p>
            <w:pPr>
              <w:ind w:left="480"/>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8700" w:type="dxa"/>
            <w:vAlign w:val="bottom"/>
          </w:tcPr>
          <w:p>
            <w:pPr>
              <w:ind w:left="480"/>
              <w:spacing w:after="0"/>
              <w:rPr>
                <w:sz w:val="20"/>
                <w:szCs w:val="20"/>
                <w:color w:val="auto"/>
              </w:rPr>
            </w:pPr>
            <w:r>
              <w:rPr>
                <w:rFonts w:ascii="Times New Roman" w:cs="Times New Roman" w:eastAsia="Times New Roman" w:hAnsi="Times New Roman"/>
                <w:sz w:val="18"/>
                <w:szCs w:val="18"/>
                <w:color w:val="0000FF"/>
              </w:rPr>
              <w:t>of the Sarbanes-Oxley Act of 2002</w:t>
            </w:r>
          </w:p>
        </w:tc>
        <w:tc>
          <w:tcPr>
            <w:tcW w:w="0" w:type="dxa"/>
            <w:vAlign w:val="bottom"/>
          </w:tcPr>
          <w:p>
            <w:pPr>
              <w:spacing w:after="0"/>
              <w:rPr>
                <w:sz w:val="1"/>
                <w:szCs w:val="1"/>
                <w:color w:val="auto"/>
              </w:rPr>
            </w:pPr>
          </w:p>
        </w:tc>
      </w:tr>
      <w:tr>
        <w:trPr>
          <w:trHeight w:val="29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8700" w:type="dxa"/>
            <w:vAlign w:val="bottom"/>
          </w:tcPr>
          <w:p>
            <w:pPr>
              <w:ind w:left="480"/>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8700" w:type="dxa"/>
            <w:vAlign w:val="bottom"/>
          </w:tcPr>
          <w:p>
            <w:pPr>
              <w:ind w:left="480"/>
              <w:spacing w:after="0"/>
              <w:rPr>
                <w:sz w:val="20"/>
                <w:szCs w:val="20"/>
                <w:color w:val="auto"/>
              </w:rPr>
            </w:pPr>
            <w:r>
              <w:rPr>
                <w:rFonts w:ascii="Times New Roman" w:cs="Times New Roman" w:eastAsia="Times New Roman" w:hAnsi="Times New Roman"/>
                <w:sz w:val="18"/>
                <w:szCs w:val="18"/>
                <w:color w:val="0000FF"/>
              </w:rPr>
              <w:t>of the Sarbanes-Oxley Act of 2002</w:t>
            </w:r>
          </w:p>
        </w:tc>
        <w:tc>
          <w:tcPr>
            <w:tcW w:w="0" w:type="dxa"/>
            <w:vAlign w:val="bottom"/>
          </w:tcPr>
          <w:p>
            <w:pPr>
              <w:spacing w:after="0"/>
              <w:rPr>
                <w:sz w:val="1"/>
                <w:szCs w:val="1"/>
                <w:color w:val="auto"/>
              </w:rPr>
            </w:pPr>
          </w:p>
        </w:tc>
      </w:tr>
      <w:tr>
        <w:trPr>
          <w:trHeight w:val="29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8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following financial information from Westwood Holdings Group, Inc.'s Quarterly Report on Form 10-Q for</w:t>
            </w:r>
          </w:p>
        </w:tc>
        <w:tc>
          <w:tcPr>
            <w:tcW w:w="0" w:type="dxa"/>
            <w:vAlign w:val="bottom"/>
          </w:tcPr>
          <w:p>
            <w:pPr>
              <w:spacing w:after="0"/>
              <w:rPr>
                <w:sz w:val="1"/>
                <w:szCs w:val="1"/>
                <w:color w:val="auto"/>
              </w:rPr>
            </w:pPr>
          </w:p>
        </w:tc>
      </w:tr>
      <w:tr>
        <w:trPr>
          <w:trHeight w:val="184"/>
        </w:trPr>
        <w:tc>
          <w:tcPr>
            <w:tcW w:w="760" w:type="dxa"/>
            <w:vAlign w:val="bottom"/>
          </w:tcPr>
          <w:p>
            <w:pPr>
              <w:spacing w:after="0"/>
              <w:rPr>
                <w:sz w:val="16"/>
                <w:szCs w:val="16"/>
                <w:color w:val="auto"/>
              </w:rPr>
            </w:pPr>
          </w:p>
        </w:tc>
        <w:tc>
          <w:tcPr>
            <w:tcW w:w="8700" w:type="dxa"/>
            <w:vAlign w:val="bottom"/>
          </w:tcPr>
          <w:p>
            <w:pPr>
              <w:ind w:left="480"/>
              <w:spacing w:after="0" w:line="184" w:lineRule="exact"/>
              <w:rPr>
                <w:sz w:val="20"/>
                <w:szCs w:val="20"/>
                <w:color w:val="auto"/>
              </w:rPr>
            </w:pPr>
            <w:r>
              <w:rPr>
                <w:rFonts w:ascii="Times New Roman" w:cs="Times New Roman" w:eastAsia="Times New Roman" w:hAnsi="Times New Roman"/>
                <w:sz w:val="18"/>
                <w:szCs w:val="18"/>
                <w:color w:val="auto"/>
              </w:rPr>
              <w:t>the period ended September 30, 2025, formatted in Inline eXtensible Business Reporting Language (iXBRL): (i)</w:t>
            </w:r>
          </w:p>
        </w:tc>
        <w:tc>
          <w:tcPr>
            <w:tcW w:w="0" w:type="dxa"/>
            <w:vAlign w:val="bottom"/>
          </w:tcPr>
          <w:p>
            <w:pPr>
              <w:spacing w:after="0"/>
              <w:rPr>
                <w:sz w:val="1"/>
                <w:szCs w:val="1"/>
                <w:color w:val="auto"/>
              </w:rPr>
            </w:pPr>
          </w:p>
        </w:tc>
      </w:tr>
      <w:tr>
        <w:trPr>
          <w:trHeight w:val="180"/>
        </w:trPr>
        <w:tc>
          <w:tcPr>
            <w:tcW w:w="760" w:type="dxa"/>
            <w:vAlign w:val="bottom"/>
          </w:tcPr>
          <w:p>
            <w:pPr>
              <w:spacing w:after="0"/>
              <w:rPr>
                <w:sz w:val="15"/>
                <w:szCs w:val="15"/>
                <w:color w:val="auto"/>
              </w:rPr>
            </w:pPr>
          </w:p>
        </w:tc>
        <w:tc>
          <w:tcPr>
            <w:tcW w:w="8700" w:type="dxa"/>
            <w:vAlign w:val="bottom"/>
          </w:tcPr>
          <w:p>
            <w:pPr>
              <w:ind w:left="480"/>
              <w:spacing w:after="0" w:line="181" w:lineRule="exact"/>
              <w:rPr>
                <w:sz w:val="20"/>
                <w:szCs w:val="20"/>
                <w:color w:val="auto"/>
              </w:rPr>
            </w:pPr>
            <w:r>
              <w:rPr>
                <w:rFonts w:ascii="Times New Roman" w:cs="Times New Roman" w:eastAsia="Times New Roman" w:hAnsi="Times New Roman"/>
                <w:sz w:val="18"/>
                <w:szCs w:val="18"/>
                <w:color w:val="auto"/>
              </w:rPr>
              <w:t>Condensed Consolidated Balance Sheets as of September 30, 2025 and December 31, 2024; (ii) Condensed</w:t>
            </w:r>
          </w:p>
        </w:tc>
        <w:tc>
          <w:tcPr>
            <w:tcW w:w="0" w:type="dxa"/>
            <w:vAlign w:val="bottom"/>
          </w:tcPr>
          <w:p>
            <w:pPr>
              <w:spacing w:after="0"/>
              <w:rPr>
                <w:sz w:val="1"/>
                <w:szCs w:val="1"/>
                <w:color w:val="auto"/>
              </w:rPr>
            </w:pPr>
          </w:p>
        </w:tc>
      </w:tr>
      <w:tr>
        <w:trPr>
          <w:trHeight w:val="175"/>
        </w:trPr>
        <w:tc>
          <w:tcPr>
            <w:tcW w:w="760" w:type="dxa"/>
            <w:vAlign w:val="bottom"/>
          </w:tcPr>
          <w:p>
            <w:pPr>
              <w:spacing w:after="0"/>
              <w:rPr>
                <w:sz w:val="15"/>
                <w:szCs w:val="15"/>
                <w:color w:val="auto"/>
              </w:rPr>
            </w:pPr>
          </w:p>
        </w:tc>
        <w:tc>
          <w:tcPr>
            <w:tcW w:w="870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Consolidated Statements of Operations for the three and nine months ended September 30, 2025 and 2024; (iii)</w:t>
            </w:r>
          </w:p>
        </w:tc>
        <w:tc>
          <w:tcPr>
            <w:tcW w:w="0" w:type="dxa"/>
            <w:vAlign w:val="bottom"/>
          </w:tcPr>
          <w:p>
            <w:pPr>
              <w:spacing w:after="0"/>
              <w:rPr>
                <w:sz w:val="1"/>
                <w:szCs w:val="1"/>
                <w:color w:val="auto"/>
              </w:rPr>
            </w:pPr>
          </w:p>
        </w:tc>
      </w:tr>
      <w:tr>
        <w:trPr>
          <w:trHeight w:val="184"/>
        </w:trPr>
        <w:tc>
          <w:tcPr>
            <w:tcW w:w="760" w:type="dxa"/>
            <w:vAlign w:val="bottom"/>
          </w:tcPr>
          <w:p>
            <w:pPr>
              <w:spacing w:after="0"/>
              <w:rPr>
                <w:sz w:val="16"/>
                <w:szCs w:val="16"/>
                <w:color w:val="auto"/>
              </w:rPr>
            </w:pPr>
          </w:p>
        </w:tc>
        <w:tc>
          <w:tcPr>
            <w:tcW w:w="8700" w:type="dxa"/>
            <w:vAlign w:val="bottom"/>
          </w:tcPr>
          <w:p>
            <w:pPr>
              <w:ind w:left="480"/>
              <w:spacing w:after="0" w:line="184" w:lineRule="exact"/>
              <w:rPr>
                <w:sz w:val="20"/>
                <w:szCs w:val="20"/>
                <w:color w:val="auto"/>
              </w:rPr>
            </w:pPr>
            <w:r>
              <w:rPr>
                <w:rFonts w:ascii="Times New Roman" w:cs="Times New Roman" w:eastAsia="Times New Roman" w:hAnsi="Times New Roman"/>
                <w:sz w:val="18"/>
                <w:szCs w:val="18"/>
                <w:color w:val="auto"/>
              </w:rPr>
              <w:t>Condensed Consolidated Statements of Stockholders' Equity; (iv) Condensed Consolidated Statements of Cash</w:t>
            </w:r>
          </w:p>
        </w:tc>
        <w:tc>
          <w:tcPr>
            <w:tcW w:w="0" w:type="dxa"/>
            <w:vAlign w:val="bottom"/>
          </w:tcPr>
          <w:p>
            <w:pPr>
              <w:spacing w:after="0"/>
              <w:rPr>
                <w:sz w:val="1"/>
                <w:szCs w:val="1"/>
                <w:color w:val="auto"/>
              </w:rPr>
            </w:pPr>
          </w:p>
        </w:tc>
      </w:tr>
      <w:tr>
        <w:trPr>
          <w:trHeight w:val="180"/>
        </w:trPr>
        <w:tc>
          <w:tcPr>
            <w:tcW w:w="760" w:type="dxa"/>
            <w:vAlign w:val="bottom"/>
          </w:tcPr>
          <w:p>
            <w:pPr>
              <w:spacing w:after="0"/>
              <w:rPr>
                <w:sz w:val="15"/>
                <w:szCs w:val="15"/>
                <w:color w:val="auto"/>
              </w:rPr>
            </w:pPr>
          </w:p>
        </w:tc>
        <w:tc>
          <w:tcPr>
            <w:tcW w:w="8700" w:type="dxa"/>
            <w:vAlign w:val="bottom"/>
          </w:tcPr>
          <w:p>
            <w:pPr>
              <w:ind w:left="480"/>
              <w:spacing w:after="0" w:line="181" w:lineRule="exact"/>
              <w:rPr>
                <w:sz w:val="20"/>
                <w:szCs w:val="20"/>
                <w:color w:val="auto"/>
              </w:rPr>
            </w:pPr>
            <w:r>
              <w:rPr>
                <w:rFonts w:ascii="Times New Roman" w:cs="Times New Roman" w:eastAsia="Times New Roman" w:hAnsi="Times New Roman"/>
                <w:sz w:val="18"/>
                <w:szCs w:val="18"/>
                <w:color w:val="auto"/>
              </w:rPr>
              <w:t>Flows for the nine months ended September 30, 2025 and 2024; and (v) Notes to the Condensed Consolidated</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8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Financial Statements.</w:t>
            </w:r>
          </w:p>
        </w:tc>
        <w:tc>
          <w:tcPr>
            <w:tcW w:w="0" w:type="dxa"/>
            <w:vAlign w:val="bottom"/>
          </w:tcPr>
          <w:p>
            <w:pPr>
              <w:spacing w:after="0"/>
              <w:rPr>
                <w:sz w:val="1"/>
                <w:szCs w:val="1"/>
                <w:color w:val="auto"/>
              </w:rPr>
            </w:pPr>
          </w:p>
        </w:tc>
      </w:tr>
      <w:tr>
        <w:trPr>
          <w:trHeight w:val="333"/>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Cover Page Interactive Data File (formatted as iXBRL and contained in Exhibit 101)</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2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9" w:right="1440" w:bottom="1440" w:gutter="0" w:footer="0" w:header="0"/>
        </w:sectPr>
      </w:pPr>
    </w:p>
    <w:bookmarkStart w:id="29" w:name="page30"/>
    <w:bookmarkEnd w:id="29"/>
    <w:p>
      <w:pPr>
        <w:jc w:val="center"/>
        <w:ind w:right="-47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5"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Dated:   October 30, 2025</w:t>
            </w:r>
          </w:p>
        </w:tc>
        <w:tc>
          <w:tcPr>
            <w:tcW w:w="594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WESTWOOD HOLDINGS GROUP, INC.</w:t>
            </w:r>
          </w:p>
        </w:tc>
      </w:tr>
      <w:tr>
        <w:trPr>
          <w:trHeight w:val="486"/>
        </w:trPr>
        <w:tc>
          <w:tcPr>
            <w:tcW w:w="3460" w:type="dxa"/>
            <w:vAlign w:val="bottom"/>
          </w:tcPr>
          <w:p>
            <w:pPr>
              <w:spacing w:after="0"/>
              <w:rPr>
                <w:sz w:val="24"/>
                <w:szCs w:val="24"/>
                <w:color w:val="auto"/>
              </w:rPr>
            </w:pPr>
          </w:p>
        </w:tc>
        <w:tc>
          <w:tcPr>
            <w:tcW w:w="21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Brian O. Casey</w:t>
            </w:r>
          </w:p>
        </w:tc>
      </w:tr>
      <w:tr>
        <w:trPr>
          <w:trHeight w:val="218"/>
        </w:trPr>
        <w:tc>
          <w:tcPr>
            <w:tcW w:w="34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Brian O. Casey</w:t>
            </w:r>
          </w:p>
        </w:tc>
      </w:tr>
      <w:tr>
        <w:trPr>
          <w:trHeight w:val="234"/>
        </w:trPr>
        <w:tc>
          <w:tcPr>
            <w:tcW w:w="34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45"/>
        </w:trPr>
        <w:tc>
          <w:tcPr>
            <w:tcW w:w="3460" w:type="dxa"/>
            <w:vAlign w:val="bottom"/>
          </w:tcPr>
          <w:p>
            <w:pPr>
              <w:spacing w:after="0"/>
              <w:rPr>
                <w:sz w:val="24"/>
                <w:szCs w:val="24"/>
                <w:color w:val="auto"/>
              </w:rPr>
            </w:pPr>
          </w:p>
        </w:tc>
        <w:tc>
          <w:tcPr>
            <w:tcW w:w="21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Murray Forbes III</w:t>
            </w:r>
          </w:p>
        </w:tc>
      </w:tr>
      <w:tr>
        <w:trPr>
          <w:trHeight w:val="218"/>
        </w:trPr>
        <w:tc>
          <w:tcPr>
            <w:tcW w:w="34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Murray Forbes III</w:t>
            </w:r>
          </w:p>
        </w:tc>
      </w:tr>
      <w:tr>
        <w:trPr>
          <w:trHeight w:val="234"/>
        </w:trPr>
        <w:tc>
          <w:tcPr>
            <w:tcW w:w="34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760"/>
          </w:cols>
          <w:pgMar w:left="320" w:top="1093" w:right="819" w:bottom="1440" w:gutter="0" w:footer="0" w:header="0"/>
        </w:sectPr>
      </w:pPr>
    </w:p>
    <w:bookmarkStart w:id="30" w:name="page31"/>
    <w:bookmarkEnd w:id="30"/>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5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6"/>
          <w:szCs w:val="16"/>
          <w:b w:val="1"/>
          <w:bCs w:val="1"/>
          <w:color w:val="auto"/>
        </w:rPr>
        <w:t>CERTIFICATION OF CHIEF EXECUTIVE OFFICER</w:t>
      </w:r>
    </w:p>
    <w:p>
      <w:pPr>
        <w:spacing w:after="0" w:line="7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6"/>
          <w:szCs w:val="16"/>
          <w:b w:val="1"/>
          <w:bCs w:val="1"/>
          <w:color w:val="auto"/>
        </w:rPr>
        <w:t>PURSUANT TO</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EXCHANGE ACT RULES 13a-14(a)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Brian O. Casey, certify that:</w:t>
      </w:r>
    </w:p>
    <w:p>
      <w:pPr>
        <w:spacing w:after="0" w:line="200" w:lineRule="exact"/>
        <w:rPr>
          <w:sz w:val="20"/>
          <w:szCs w:val="20"/>
          <w:color w:val="auto"/>
        </w:rPr>
      </w:pPr>
    </w:p>
    <w:p>
      <w:pPr>
        <w:spacing w:after="0" w:line="264"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report on Form 10-Q of Westwood Holdings Group, Inc.;</w:t>
      </w:r>
    </w:p>
    <w:p>
      <w:pPr>
        <w:spacing w:after="0" w:line="113" w:lineRule="exact"/>
        <w:rPr>
          <w:rFonts w:ascii="Times New Roman" w:cs="Times New Roman" w:eastAsia="Times New Roman" w:hAnsi="Times New Roman"/>
          <w:sz w:val="16"/>
          <w:szCs w:val="16"/>
          <w:color w:val="auto"/>
        </w:rPr>
      </w:pPr>
    </w:p>
    <w:p>
      <w:pPr>
        <w:ind w:left="660" w:hanging="328"/>
        <w:spacing w:after="0" w:line="298" w:lineRule="auto"/>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Times New Roman" w:cs="Times New Roman" w:eastAsia="Times New Roman" w:hAnsi="Times New Roman"/>
          <w:sz w:val="16"/>
          <w:szCs w:val="16"/>
          <w:color w:val="auto"/>
        </w:rPr>
      </w:pPr>
    </w:p>
    <w:p>
      <w:pPr>
        <w:ind w:left="660" w:right="520" w:hanging="328"/>
        <w:spacing w:after="0" w:line="298" w:lineRule="auto"/>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Times New Roman" w:cs="Times New Roman" w:eastAsia="Times New Roman" w:hAnsi="Times New Roman"/>
          <w:sz w:val="16"/>
          <w:szCs w:val="16"/>
          <w:color w:val="auto"/>
        </w:rPr>
      </w:pPr>
    </w:p>
    <w:p>
      <w:pPr>
        <w:ind w:left="660" w:right="200" w:hanging="328"/>
        <w:spacing w:after="0" w:line="272" w:lineRule="auto"/>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Times New Roman" w:cs="Times New Roman" w:eastAsia="Times New Roman" w:hAnsi="Times New Roman"/>
          <w:sz w:val="16"/>
          <w:szCs w:val="16"/>
          <w:color w:val="auto"/>
        </w:rPr>
      </w:pPr>
    </w:p>
    <w:p>
      <w:pPr>
        <w:ind w:left="1300" w:right="300" w:hanging="320"/>
        <w:spacing w:after="0" w:line="272" w:lineRule="auto"/>
        <w:tabs>
          <w:tab w:leader="none" w:pos="1291"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Times New Roman" w:cs="Times New Roman" w:eastAsia="Times New Roman" w:hAnsi="Times New Roman"/>
          <w:sz w:val="16"/>
          <w:szCs w:val="16"/>
          <w:color w:val="auto"/>
        </w:rPr>
      </w:pPr>
    </w:p>
    <w:p>
      <w:pPr>
        <w:ind w:left="1300" w:right="100" w:hanging="320"/>
        <w:spacing w:after="0" w:line="272" w:lineRule="auto"/>
        <w:tabs>
          <w:tab w:leader="none" w:pos="130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6"/>
          <w:szCs w:val="16"/>
          <w:color w:val="auto"/>
        </w:rPr>
      </w:pPr>
    </w:p>
    <w:p>
      <w:pPr>
        <w:ind w:left="1300" w:right="160" w:hanging="320"/>
        <w:spacing w:after="0" w:line="298" w:lineRule="auto"/>
        <w:tabs>
          <w:tab w:leader="none" w:pos="1291"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Times New Roman" w:cs="Times New Roman" w:eastAsia="Times New Roman" w:hAnsi="Times New Roman"/>
          <w:sz w:val="16"/>
          <w:szCs w:val="16"/>
          <w:color w:val="auto"/>
        </w:rPr>
      </w:pPr>
    </w:p>
    <w:p>
      <w:pPr>
        <w:ind w:left="1300" w:right="180" w:hanging="320"/>
        <w:spacing w:after="0" w:line="272" w:lineRule="auto"/>
        <w:tabs>
          <w:tab w:leader="none" w:pos="130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Times New Roman" w:cs="Times New Roman" w:eastAsia="Times New Roman" w:hAnsi="Times New Roman"/>
          <w:sz w:val="16"/>
          <w:szCs w:val="16"/>
          <w:color w:val="auto"/>
        </w:rPr>
      </w:pPr>
    </w:p>
    <w:p>
      <w:pPr>
        <w:ind w:left="660" w:right="120" w:hanging="328"/>
        <w:spacing w:after="0" w:line="298" w:lineRule="auto"/>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Times New Roman" w:cs="Times New Roman" w:eastAsia="Times New Roman" w:hAnsi="Times New Roman"/>
          <w:sz w:val="16"/>
          <w:szCs w:val="16"/>
          <w:color w:val="auto"/>
        </w:rPr>
      </w:pPr>
    </w:p>
    <w:p>
      <w:pPr>
        <w:ind w:left="1300" w:right="140" w:hanging="320"/>
        <w:spacing w:after="0" w:line="298" w:lineRule="auto"/>
        <w:tabs>
          <w:tab w:leader="none" w:pos="1241"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Times New Roman" w:cs="Times New Roman" w:eastAsia="Times New Roman" w:hAnsi="Times New Roman"/>
          <w:sz w:val="16"/>
          <w:szCs w:val="16"/>
          <w:color w:val="auto"/>
        </w:rPr>
      </w:pPr>
    </w:p>
    <w:p>
      <w:pPr>
        <w:ind w:left="1300" w:right="340" w:hanging="320"/>
        <w:spacing w:after="0" w:line="280" w:lineRule="auto"/>
        <w:tabs>
          <w:tab w:leader="none" w:pos="1251"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Dated: October 30, 2025</w:t>
      </w: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30429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Brian O. Casey</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Chief Executive Officer</w:t>
      </w:r>
    </w:p>
    <w:p>
      <w:pPr>
        <w:sectPr>
          <w:pgSz w:w="11900" w:h="16838" w:orient="portrait"/>
          <w:cols w:equalWidth="0" w:num="1">
            <w:col w:w="11240"/>
          </w:cols>
          <w:pgMar w:left="320" w:top="1440" w:right="339" w:bottom="1440" w:gutter="0" w:footer="0" w:header="0"/>
        </w:sectPr>
      </w:pPr>
    </w:p>
    <w:bookmarkStart w:id="31" w:name="page32"/>
    <w:bookmarkEnd w:id="31"/>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5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6"/>
          <w:szCs w:val="16"/>
          <w:b w:val="1"/>
          <w:bCs w:val="1"/>
          <w:color w:val="auto"/>
        </w:rPr>
        <w:t>CERTIFICATION OF CHIEF FINANCIAL OFFICER</w:t>
      </w:r>
    </w:p>
    <w:p>
      <w:pPr>
        <w:spacing w:after="0" w:line="7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6"/>
          <w:szCs w:val="16"/>
          <w:b w:val="1"/>
          <w:bCs w:val="1"/>
          <w:color w:val="auto"/>
        </w:rPr>
        <w:t>PURSUANT TO</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EXCHANGE ACT RULES 13a-14(a)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Murray Forbes III, certify that:</w:t>
      </w:r>
    </w:p>
    <w:p>
      <w:pPr>
        <w:spacing w:after="0" w:line="200" w:lineRule="exact"/>
        <w:rPr>
          <w:sz w:val="20"/>
          <w:szCs w:val="20"/>
          <w:color w:val="auto"/>
        </w:rPr>
      </w:pPr>
    </w:p>
    <w:p>
      <w:pPr>
        <w:spacing w:after="0" w:line="264"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report on Form 10-Q of Westwood Holdings Group, Inc.;</w:t>
      </w:r>
    </w:p>
    <w:p>
      <w:pPr>
        <w:spacing w:after="0" w:line="113" w:lineRule="exact"/>
        <w:rPr>
          <w:rFonts w:ascii="Times New Roman" w:cs="Times New Roman" w:eastAsia="Times New Roman" w:hAnsi="Times New Roman"/>
          <w:sz w:val="16"/>
          <w:szCs w:val="16"/>
          <w:color w:val="auto"/>
        </w:rPr>
      </w:pPr>
    </w:p>
    <w:p>
      <w:pPr>
        <w:ind w:left="660" w:hanging="328"/>
        <w:spacing w:after="0" w:line="298" w:lineRule="auto"/>
        <w:tabs>
          <w:tab w:leader="none" w:pos="6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Times New Roman" w:cs="Times New Roman" w:eastAsia="Times New Roman" w:hAnsi="Times New Roman"/>
          <w:sz w:val="16"/>
          <w:szCs w:val="16"/>
          <w:color w:val="auto"/>
        </w:rPr>
      </w:pPr>
    </w:p>
    <w:p>
      <w:pPr>
        <w:ind w:left="660" w:right="520" w:hanging="328"/>
        <w:spacing w:after="0" w:line="298" w:lineRule="auto"/>
        <w:tabs>
          <w:tab w:leader="none" w:pos="6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Times New Roman" w:cs="Times New Roman" w:eastAsia="Times New Roman" w:hAnsi="Times New Roman"/>
          <w:sz w:val="16"/>
          <w:szCs w:val="16"/>
          <w:color w:val="auto"/>
        </w:rPr>
      </w:pPr>
    </w:p>
    <w:p>
      <w:pPr>
        <w:ind w:left="660" w:right="200" w:hanging="328"/>
        <w:spacing w:after="0" w:line="272" w:lineRule="auto"/>
        <w:tabs>
          <w:tab w:leader="none" w:pos="6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Times New Roman" w:cs="Times New Roman" w:eastAsia="Times New Roman" w:hAnsi="Times New Roman"/>
          <w:sz w:val="16"/>
          <w:szCs w:val="16"/>
          <w:color w:val="auto"/>
        </w:rPr>
      </w:pPr>
    </w:p>
    <w:p>
      <w:pPr>
        <w:ind w:left="1300" w:right="300" w:hanging="320"/>
        <w:spacing w:after="0" w:line="272" w:lineRule="auto"/>
        <w:tabs>
          <w:tab w:leader="none" w:pos="1291"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Times New Roman" w:cs="Times New Roman" w:eastAsia="Times New Roman" w:hAnsi="Times New Roman"/>
          <w:sz w:val="16"/>
          <w:szCs w:val="16"/>
          <w:color w:val="auto"/>
        </w:rPr>
      </w:pPr>
    </w:p>
    <w:p>
      <w:pPr>
        <w:ind w:left="1300" w:right="100" w:hanging="320"/>
        <w:spacing w:after="0" w:line="272" w:lineRule="auto"/>
        <w:tabs>
          <w:tab w:leader="none" w:pos="130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6"/>
          <w:szCs w:val="16"/>
          <w:color w:val="auto"/>
        </w:rPr>
      </w:pPr>
    </w:p>
    <w:p>
      <w:pPr>
        <w:ind w:left="1300" w:right="160" w:hanging="320"/>
        <w:spacing w:after="0" w:line="298" w:lineRule="auto"/>
        <w:tabs>
          <w:tab w:leader="none" w:pos="1291"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Times New Roman" w:cs="Times New Roman" w:eastAsia="Times New Roman" w:hAnsi="Times New Roman"/>
          <w:sz w:val="16"/>
          <w:szCs w:val="16"/>
          <w:color w:val="auto"/>
        </w:rPr>
      </w:pPr>
    </w:p>
    <w:p>
      <w:pPr>
        <w:ind w:left="1300" w:right="180" w:hanging="320"/>
        <w:spacing w:after="0" w:line="272" w:lineRule="auto"/>
        <w:tabs>
          <w:tab w:leader="none" w:pos="130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Times New Roman" w:cs="Times New Roman" w:eastAsia="Times New Roman" w:hAnsi="Times New Roman"/>
          <w:sz w:val="16"/>
          <w:szCs w:val="16"/>
          <w:color w:val="auto"/>
        </w:rPr>
      </w:pPr>
    </w:p>
    <w:p>
      <w:pPr>
        <w:ind w:left="660" w:right="180" w:hanging="328"/>
        <w:spacing w:after="0" w:line="298" w:lineRule="auto"/>
        <w:tabs>
          <w:tab w:leader="none" w:pos="617"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Times New Roman" w:cs="Times New Roman" w:eastAsia="Times New Roman" w:hAnsi="Times New Roman"/>
          <w:sz w:val="16"/>
          <w:szCs w:val="16"/>
          <w:color w:val="auto"/>
        </w:rPr>
      </w:pPr>
    </w:p>
    <w:p>
      <w:pPr>
        <w:ind w:left="1300" w:right="140" w:hanging="320"/>
        <w:spacing w:after="0" w:line="298" w:lineRule="auto"/>
        <w:tabs>
          <w:tab w:leader="none" w:pos="1241"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Times New Roman" w:cs="Times New Roman" w:eastAsia="Times New Roman" w:hAnsi="Times New Roman"/>
          <w:sz w:val="16"/>
          <w:szCs w:val="16"/>
          <w:color w:val="auto"/>
        </w:rPr>
      </w:pPr>
    </w:p>
    <w:p>
      <w:pPr>
        <w:ind w:left="1300" w:right="340" w:hanging="320"/>
        <w:spacing w:after="0" w:line="280" w:lineRule="auto"/>
        <w:tabs>
          <w:tab w:leader="none" w:pos="1251"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Dated: October 30, 2025</w:t>
      </w: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30429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Murray Forbes III</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Chief Financial Officer and Treasurer</w:t>
      </w:r>
    </w:p>
    <w:p>
      <w:pPr>
        <w:sectPr>
          <w:pgSz w:w="11900" w:h="16838" w:orient="portrait"/>
          <w:cols w:equalWidth="0" w:num="1">
            <w:col w:w="11240"/>
          </w:cols>
          <w:pgMar w:left="320" w:top="1440"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2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13" w:lineRule="exact"/>
        <w:rPr>
          <w:sz w:val="20"/>
          <w:szCs w:val="20"/>
          <w:color w:val="auto"/>
        </w:rPr>
      </w:pPr>
    </w:p>
    <w:p>
      <w:pPr>
        <w:jc w:val="both"/>
        <w:ind w:right="380"/>
        <w:spacing w:after="0" w:line="272" w:lineRule="auto"/>
        <w:rPr>
          <w:sz w:val="20"/>
          <w:szCs w:val="20"/>
          <w:color w:val="auto"/>
        </w:rPr>
      </w:pPr>
      <w:r>
        <w:rPr>
          <w:rFonts w:ascii="Times New Roman" w:cs="Times New Roman" w:eastAsia="Times New Roman" w:hAnsi="Times New Roman"/>
          <w:sz w:val="16"/>
          <w:szCs w:val="16"/>
          <w:color w:val="auto"/>
        </w:rPr>
        <w:t>In connection with the Quarterly Report of Westwood Holdings Group, Inc. (the “Company”) on Form 10-Q for the period ended September 30, 2025 as filed with the Securities and Exchange Commission on the date hereof (the “Report”), I, Brian O. Casey, President &amp; Chief Executive Officer of the Company, certify, pursuant to 18 U.S.C. § 1350, as adopted pursuant to § 906 of the Sarbanes-Oxley Act of 2002, that, to the best of my knowledge:</w:t>
      </w:r>
    </w:p>
    <w:p>
      <w:pPr>
        <w:spacing w:after="0" w:line="63" w:lineRule="exact"/>
        <w:rPr>
          <w:sz w:val="20"/>
          <w:szCs w:val="20"/>
          <w:color w:val="auto"/>
        </w:rPr>
      </w:pPr>
    </w:p>
    <w:p>
      <w:pPr>
        <w:ind w:left="720" w:hanging="226"/>
        <w:spacing w:after="0"/>
        <w:tabs>
          <w:tab w:leader="none" w:pos="7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(15 U.S.C.78m or 78o(d)); and</w:t>
      </w:r>
    </w:p>
    <w:p>
      <w:pPr>
        <w:spacing w:after="0" w:line="126" w:lineRule="exact"/>
        <w:rPr>
          <w:rFonts w:ascii="Times New Roman" w:cs="Times New Roman" w:eastAsia="Times New Roman" w:hAnsi="Times New Roman"/>
          <w:sz w:val="16"/>
          <w:szCs w:val="16"/>
          <w:color w:val="auto"/>
        </w:rPr>
      </w:pPr>
    </w:p>
    <w:p>
      <w:pPr>
        <w:ind w:left="720" w:hanging="226"/>
        <w:spacing w:after="0"/>
        <w:tabs>
          <w:tab w:leader="none" w:pos="7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Dated: October 30, 2025</w:t>
      </w:r>
    </w:p>
    <w:p>
      <w:pPr>
        <w:spacing w:after="0" w:line="2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30429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Brian O. Casey</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329" w:lineRule="exact"/>
        <w:rPr>
          <w:sz w:val="20"/>
          <w:szCs w:val="20"/>
          <w:color w:val="auto"/>
        </w:rPr>
      </w:pPr>
    </w:p>
    <w:p>
      <w:pPr>
        <w:ind w:right="20" w:firstLine="486"/>
        <w:spacing w:after="0" w:line="272" w:lineRule="auto"/>
        <w:rPr>
          <w:sz w:val="20"/>
          <w:szCs w:val="20"/>
          <w:color w:val="auto"/>
        </w:rPr>
      </w:pPr>
      <w:r>
        <w:rPr>
          <w:rFonts w:ascii="Times New Roman" w:cs="Times New Roman" w:eastAsia="Times New Roman" w:hAnsi="Times New Roman"/>
          <w:sz w:val="16"/>
          <w:szCs w:val="16"/>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1420"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2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13"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In connection with the Quarterly Report of Westwood Holdings Group, Inc. (the “Company”) on Form 10-Q for the period ended September 30, 2025 as filed with the Securities and Exchange Commission on the date hereof (the “Report”), I, Murray Forbes III, Chief Financial Officer of the Company, certify, pursuant to 18 U.S.C. § 1350, as adopted pursuant to § 906 of the Sarbanes-Oxley Act of 2002, that, to the best of my knowledge:</w:t>
      </w:r>
    </w:p>
    <w:p>
      <w:pPr>
        <w:spacing w:after="0" w:line="63" w:lineRule="exact"/>
        <w:rPr>
          <w:sz w:val="20"/>
          <w:szCs w:val="20"/>
          <w:color w:val="auto"/>
        </w:rPr>
      </w:pPr>
    </w:p>
    <w:p>
      <w:pPr>
        <w:ind w:left="720" w:hanging="226"/>
        <w:spacing w:after="0"/>
        <w:tabs>
          <w:tab w:leader="none" w:pos="7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(15 U.S.C. 78m or 78o(d)); and</w:t>
      </w:r>
    </w:p>
    <w:p>
      <w:pPr>
        <w:spacing w:after="0" w:line="126" w:lineRule="exact"/>
        <w:rPr>
          <w:rFonts w:ascii="Times New Roman" w:cs="Times New Roman" w:eastAsia="Times New Roman" w:hAnsi="Times New Roman"/>
          <w:sz w:val="16"/>
          <w:szCs w:val="16"/>
          <w:color w:val="auto"/>
        </w:rPr>
      </w:pPr>
    </w:p>
    <w:p>
      <w:pPr>
        <w:ind w:left="720" w:hanging="226"/>
        <w:spacing w:after="0"/>
        <w:tabs>
          <w:tab w:leader="none" w:pos="7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Dated: October 30, 2025</w:t>
      </w:r>
    </w:p>
    <w:p>
      <w:pPr>
        <w:spacing w:after="0" w:line="2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30429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Murray Forbes III</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Chief Financial Officer and Treasurer</w:t>
      </w:r>
    </w:p>
    <w:p>
      <w:pPr>
        <w:spacing w:after="0" w:line="329" w:lineRule="exact"/>
        <w:rPr>
          <w:sz w:val="20"/>
          <w:szCs w:val="20"/>
          <w:color w:val="auto"/>
        </w:rPr>
      </w:pPr>
    </w:p>
    <w:p>
      <w:pPr>
        <w:ind w:right="20" w:firstLine="486"/>
        <w:spacing w:after="0" w:line="272" w:lineRule="auto"/>
        <w:rPr>
          <w:sz w:val="20"/>
          <w:szCs w:val="20"/>
          <w:color w:val="auto"/>
        </w:rPr>
      </w:pPr>
      <w:r>
        <w:rPr>
          <w:rFonts w:ascii="Times New Roman" w:cs="Times New Roman" w:eastAsia="Times New Roman" w:hAnsi="Times New Roman"/>
          <w:sz w:val="16"/>
          <w:szCs w:val="16"/>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sectPr>
      <w:pgSz w:w="11900" w:h="16838" w:orient="portrait"/>
      <w:cols w:equalWidth="0" w:num="1">
        <w:col w:w="11240"/>
      </w:cols>
      <w:pgMar w:left="320" w:top="14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2"/>
    </w:lvl>
  </w:abstractNum>
  <w:abstractNum w:abstractNumId="3">
    <w:nsid w:val="12200854"/>
    <w:multiLevelType w:val="hybridMultilevel"/>
    <w:lvl w:ilvl="0">
      <w:lvlJc w:val="left"/>
      <w:lvlText w:val="%1."/>
      <w:numFmt w:val="decimal"/>
      <w:start w:val="3"/>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9"/>
    </w:lvl>
  </w:abstractNum>
  <w:abstractNum w:abstractNumId="7">
    <w:nsid w:val="1190CDE7"/>
    <w:multiLevelType w:val="hybridMultilevel"/>
    <w:lvl w:ilvl="0">
      <w:lvlJc w:val="left"/>
      <w:lvlText w:val="%1."/>
      <w:numFmt w:val="decimal"/>
      <w:start w:val="1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2"/>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40" Type="http://schemas.openxmlformats.org/officeDocument/2006/relationships/hyperlink" Target="https://www.sec.gov/Archives/edgar/data/1165002/000119312513084081/d444159dex21.htm" TargetMode="External"/><Relationship Id="rId41" Type="http://schemas.openxmlformats.org/officeDocument/2006/relationships/hyperlink" Target="https://www.sec.gov/Archives/edgar/data/1165002/000119312515012458/d853486dex21.htm" TargetMode="External"/><Relationship Id="rId42" Type="http://schemas.openxmlformats.org/officeDocument/2006/relationships/hyperlink" Target="https://www.sec.gov/Archives/edgar/data/1165002/000116500222000079/0001165002-22-000079-index.htm" TargetMode="External"/><Relationship Id="rId43" Type="http://schemas.openxmlformats.org/officeDocument/2006/relationships/hyperlink" Target="https://www.sec.gov/Archives/edgar/data/1165002/000116500222000098/0001165002-22-000098-index.htm" TargetMode="External"/><Relationship Id="rId44" Type="http://schemas.openxmlformats.org/officeDocument/2006/relationships/hyperlink" Target="https://www.sec.gov/ix?doc=/Archives/edgar/data/0001165002/000116500224000087/whg-20241202.htm" TargetMode="External"/><Relationship Id="rId45" Type="http://schemas.openxmlformats.org/officeDocument/2006/relationships/hyperlink" Target="https://www.sec.gov/ix?doc=/Archives/edgar/data/0001165002/000116500221000089/whg-20211027.htm" TargetMode="External"/><Relationship Id="rId46" Type="http://schemas.openxmlformats.org/officeDocument/2006/relationships/hyperlink" Target="https://www.sec.gov/Archives/edgar/data/1165002/000093066102001393/d1012ba.txt" TargetMode="External"/><Relationship Id="rId47" Type="http://schemas.openxmlformats.org/officeDocument/2006/relationships/hyperlink" Target="https://www.sec.gov/ix?doc=/Archives/edgar/data/0001165002/000116500225000048/whg-202506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2025-10-30T15:38:35Z</dcterms:created>
  <dcterms:modified xsi:type="dcterms:W3CDTF">2025-10-30T15:38:35Z</dcterms:modified>
</cp:coreProperties>
</file>