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100" w:type="dxa"/>
            <w:vAlign w:val="bottom"/>
          </w:tcPr>
          <w:p>
            <w:pPr>
              <w:jc w:val="right"/>
              <w:ind w:right="24"/>
              <w:spacing w:after="0"/>
              <w:rPr>
                <w:sz w:val="20"/>
                <w:szCs w:val="20"/>
                <w:color w:val="auto"/>
              </w:rPr>
            </w:pPr>
            <w:r>
              <w:rPr>
                <w:rFonts w:ascii="Arial" w:cs="Arial" w:eastAsia="Arial" w:hAnsi="Arial"/>
                <w:sz w:val="7"/>
                <w:szCs w:val="7"/>
                <w:color w:val="auto"/>
                <w:w w:val="71"/>
              </w:rPr>
              <w:t>*</w:t>
            </w:r>
          </w:p>
        </w:tc>
        <w:tc>
          <w:tcPr>
            <w:tcW w:w="180" w:type="dxa"/>
            <w:vAlign w:val="bottom"/>
          </w:tcPr>
          <w:p>
            <w:pPr>
              <w:spacing w:after="0"/>
              <w:rPr>
                <w:sz w:val="14"/>
                <w:szCs w:val="14"/>
                <w:color w:val="auto"/>
              </w:rPr>
            </w:pP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060" w:type="dxa"/>
            <w:vAlign w:val="bottom"/>
            <w:gridSpan w:val="4"/>
            <w:vMerge w:val="restart"/>
          </w:tcPr>
          <w:p>
            <w:pPr>
              <w:spacing w:after="0" w:line="256" w:lineRule="exact"/>
              <w:rPr>
                <w:rFonts w:ascii="Arial" w:cs="Arial" w:eastAsia="Arial" w:hAnsi="Arial"/>
                <w:sz w:val="24"/>
                <w:szCs w:val="24"/>
                <w:color w:val="0000EE"/>
                <w:w w:val="94"/>
              </w:rPr>
            </w:pPr>
            <w:hyperlink r:id="rId10">
              <w:r>
                <w:rPr>
                  <w:rFonts w:ascii="Arial" w:cs="Arial" w:eastAsia="Arial" w:hAnsi="Arial"/>
                  <w:sz w:val="24"/>
                  <w:szCs w:val="24"/>
                  <w:color w:val="0000EE"/>
                  <w:w w:val="94"/>
                </w:rPr>
                <w:t>JCP Investment Management,</w:t>
              </w:r>
            </w:hyperlink>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4"/>
            <w:vMerge w:val="continue"/>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780" w:type="dxa"/>
            <w:vAlign w:val="bottom"/>
            <w:tcBorders>
              <w:top w:val="single" w:sz="8" w:color="0000EE"/>
            </w:tcBorders>
            <w:gridSpan w:val="2"/>
          </w:tcPr>
          <w:p>
            <w:pPr>
              <w:spacing w:after="0" w:line="250" w:lineRule="exact"/>
              <w:rPr>
                <w:rFonts w:ascii="Arial" w:cs="Arial" w:eastAsia="Arial" w:hAnsi="Arial"/>
                <w:sz w:val="24"/>
                <w:szCs w:val="24"/>
                <w:color w:val="0000EE"/>
              </w:rPr>
            </w:pPr>
            <w:hyperlink r:id="rId10">
              <w:r>
                <w:rPr>
                  <w:rFonts w:ascii="Arial" w:cs="Arial" w:eastAsia="Arial" w:hAnsi="Arial"/>
                  <w:sz w:val="24"/>
                  <w:szCs w:val="24"/>
                  <w:color w:val="0000EE"/>
                </w:rPr>
                <w:t>LLC</w:t>
              </w:r>
            </w:hyperlink>
          </w:p>
        </w:tc>
        <w:tc>
          <w:tcPr>
            <w:tcW w:w="100" w:type="dxa"/>
            <w:vAlign w:val="bottom"/>
            <w:tcBorders>
              <w:top w:val="single" w:sz="8" w:color="0000EE"/>
            </w:tcBorders>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ind w:left="160"/>
              <w:spacing w:after="0"/>
              <w:rPr>
                <w:sz w:val="20"/>
                <w:szCs w:val="20"/>
                <w:color w:val="auto"/>
              </w:rPr>
            </w:pPr>
            <w:r>
              <w:rPr>
                <w:rFonts w:ascii="Arial" w:cs="Arial" w:eastAsia="Arial" w:hAnsi="Arial"/>
                <w:sz w:val="20"/>
                <w:szCs w:val="20"/>
                <w:color w:val="0000FF"/>
              </w:rPr>
              <w:t>04/28/2021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0"/>
          <w:szCs w:val="20"/>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WESTWOOD HOLDINGS GROUP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WHG</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13" w:lineRule="exact"/>
        <w:rPr>
          <w:sz w:val="20"/>
          <w:szCs w:val="20"/>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31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1177 WEST LOOP SOUTH</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SUITE 1320</w:t>
      </w:r>
    </w:p>
    <w:p>
      <w:pPr>
        <w:spacing w:after="0" w:line="334"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HOUSTON TX</w:t>
            </w:r>
          </w:p>
        </w:tc>
        <w:tc>
          <w:tcPr>
            <w:tcW w:w="880" w:type="dxa"/>
            <w:vAlign w:val="bottom"/>
          </w:tcPr>
          <w:p>
            <w:pPr>
              <w:jc w:val="right"/>
              <w:spacing w:after="0"/>
              <w:rPr>
                <w:sz w:val="20"/>
                <w:szCs w:val="20"/>
                <w:color w:val="auto"/>
              </w:rPr>
            </w:pPr>
            <w:r>
              <w:rPr>
                <w:rFonts w:ascii="Arial" w:cs="Arial" w:eastAsia="Arial" w:hAnsi="Arial"/>
                <w:sz w:val="20"/>
                <w:szCs w:val="20"/>
                <w:color w:val="0000FF"/>
              </w:rPr>
              <w:t>77027</w:t>
            </w:r>
          </w:p>
        </w:tc>
      </w:tr>
    </w:tbl>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6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0"/>
          <w:szCs w:val="20"/>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0"/>
          <w:szCs w:val="20"/>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60" w:lineRule="exact"/>
        <w:rPr>
          <w:sz w:val="20"/>
          <w:szCs w:val="20"/>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161"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2760" w:type="dxa"/>
            <w:vAlign w:val="bottom"/>
            <w:gridSpan w:val="4"/>
            <w:vMerge w:val="restart"/>
          </w:tcPr>
          <w:p>
            <w:pPr>
              <w:ind w:left="80"/>
              <w:spacing w:after="0"/>
              <w:rPr>
                <w:sz w:val="20"/>
                <w:szCs w:val="20"/>
                <w:color w:val="auto"/>
              </w:rPr>
            </w:pPr>
            <w:r>
              <w:rPr>
                <w:rFonts w:ascii="Arial" w:cs="Arial" w:eastAsia="Arial" w:hAnsi="Arial"/>
                <w:sz w:val="20"/>
                <w:szCs w:val="20"/>
                <w:color w:val="0000FF"/>
                <w:w w:val="86"/>
              </w:rPr>
              <w:t>Common Stock, $0.01 par value</w:t>
            </w:r>
            <w:r>
              <w:rPr>
                <w:rFonts w:ascii="Arial" w:cs="Arial" w:eastAsia="Arial" w:hAnsi="Arial"/>
                <w:sz w:val="25"/>
                <w:szCs w:val="25"/>
                <w:color w:val="008000"/>
                <w:w w:val="86"/>
                <w:vertAlign w:val="superscript"/>
              </w:rPr>
              <w:t>(1)</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00" w:type="dxa"/>
            <w:vAlign w:val="bottom"/>
            <w:vMerge w:val="restart"/>
          </w:tcPr>
          <w:p>
            <w:pPr>
              <w:jc w:val="center"/>
              <w:ind w:left="95"/>
              <w:spacing w:after="0"/>
              <w:rPr>
                <w:sz w:val="20"/>
                <w:szCs w:val="20"/>
                <w:color w:val="auto"/>
              </w:rPr>
            </w:pPr>
            <w:r>
              <w:rPr>
                <w:rFonts w:ascii="Arial" w:cs="Arial" w:eastAsia="Arial" w:hAnsi="Arial"/>
                <w:sz w:val="20"/>
                <w:szCs w:val="20"/>
                <w:color w:val="0000FF"/>
                <w:w w:val="88"/>
              </w:rPr>
              <w:t>400,930</w:t>
            </w:r>
          </w:p>
        </w:tc>
        <w:tc>
          <w:tcPr>
            <w:tcW w:w="940" w:type="dxa"/>
            <w:vAlign w:val="bottom"/>
          </w:tcPr>
          <w:p>
            <w:pPr>
              <w:spacing w:after="0"/>
              <w:rPr>
                <w:sz w:val="20"/>
                <w:szCs w:val="20"/>
                <w:color w:val="auto"/>
              </w:rPr>
            </w:pPr>
          </w:p>
        </w:tc>
        <w:tc>
          <w:tcPr>
            <w:tcW w:w="100" w:type="dxa"/>
            <w:vAlign w:val="bottom"/>
            <w:gridSpan w:val="2"/>
            <w:vMerge w:val="restart"/>
          </w:tcPr>
          <w:p>
            <w:pPr>
              <w:spacing w:after="0"/>
              <w:rPr>
                <w:sz w:val="20"/>
                <w:szCs w:val="20"/>
                <w:color w:val="auto"/>
              </w:rPr>
            </w:pPr>
            <w:r>
              <w:rPr>
                <w:rFonts w:ascii="Arial" w:cs="Arial" w:eastAsia="Arial" w:hAnsi="Arial"/>
                <w:sz w:val="20"/>
                <w:szCs w:val="20"/>
                <w:color w:val="0000FF"/>
              </w:rPr>
              <w:t>I</w:t>
            </w:r>
          </w:p>
        </w:tc>
        <w:tc>
          <w:tcPr>
            <w:tcW w:w="3380" w:type="dxa"/>
            <w:vAlign w:val="bottom"/>
            <w:gridSpan w:val="4"/>
          </w:tcPr>
          <w:p>
            <w:pPr>
              <w:ind w:left="600"/>
              <w:spacing w:after="0"/>
              <w:rPr>
                <w:sz w:val="20"/>
                <w:szCs w:val="20"/>
                <w:color w:val="auto"/>
              </w:rPr>
            </w:pPr>
            <w:r>
              <w:rPr>
                <w:rFonts w:ascii="Arial" w:cs="Arial" w:eastAsia="Arial" w:hAnsi="Arial"/>
                <w:sz w:val="20"/>
                <w:szCs w:val="20"/>
                <w:color w:val="0000FF"/>
                <w:w w:val="95"/>
              </w:rPr>
              <w:t>By: JCP Investment Partnership,</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gridSpan w:val="4"/>
            <w:vMerge w:val="continue"/>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1000" w:type="dxa"/>
            <w:vAlign w:val="bottom"/>
            <w:vMerge w:val="restart"/>
          </w:tcPr>
          <w:p>
            <w:pPr>
              <w:ind w:left="600"/>
              <w:spacing w:after="0" w:line="309" w:lineRule="exact"/>
              <w:rPr>
                <w:sz w:val="20"/>
                <w:szCs w:val="20"/>
                <w:color w:val="auto"/>
              </w:rPr>
            </w:pPr>
            <w:r>
              <w:rPr>
                <w:rFonts w:ascii="Arial" w:cs="Arial" w:eastAsia="Arial" w:hAnsi="Arial"/>
                <w:sz w:val="35"/>
                <w:szCs w:val="35"/>
                <w:color w:val="0000FF"/>
                <w:w w:val="87"/>
                <w:vertAlign w:val="subscript"/>
              </w:rPr>
              <w:t>LP</w:t>
            </w:r>
            <w:r>
              <w:rPr>
                <w:rFonts w:ascii="Arial" w:cs="Arial" w:eastAsia="Arial" w:hAnsi="Arial"/>
                <w:sz w:val="12"/>
                <w:szCs w:val="12"/>
                <w:color w:val="008000"/>
                <w:w w:val="87"/>
              </w:rPr>
              <w:t>(2)</w:t>
            </w:r>
          </w:p>
        </w:tc>
        <w:tc>
          <w:tcPr>
            <w:tcW w:w="8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vMerge w:val="continue"/>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gridSpan w:val="4"/>
            <w:vMerge w:val="restart"/>
          </w:tcPr>
          <w:p>
            <w:pPr>
              <w:ind w:left="80"/>
              <w:spacing w:after="0"/>
              <w:rPr>
                <w:sz w:val="20"/>
                <w:szCs w:val="20"/>
                <w:color w:val="auto"/>
              </w:rPr>
            </w:pPr>
            <w:r>
              <w:rPr>
                <w:rFonts w:ascii="Arial" w:cs="Arial" w:eastAsia="Arial" w:hAnsi="Arial"/>
                <w:sz w:val="20"/>
                <w:szCs w:val="20"/>
                <w:color w:val="0000FF"/>
                <w:w w:val="86"/>
              </w:rPr>
              <w:t>Common Stock, $0.01 par value</w:t>
            </w:r>
            <w:r>
              <w:rPr>
                <w:rFonts w:ascii="Arial" w:cs="Arial" w:eastAsia="Arial" w:hAnsi="Arial"/>
                <w:sz w:val="25"/>
                <w:szCs w:val="25"/>
                <w:color w:val="008000"/>
                <w:w w:val="86"/>
                <w:vertAlign w:val="superscript"/>
              </w:rPr>
              <w:t>(1)</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vMerge w:val="restart"/>
          </w:tcPr>
          <w:p>
            <w:pPr>
              <w:jc w:val="center"/>
              <w:ind w:left="95"/>
              <w:spacing w:after="0"/>
              <w:rPr>
                <w:sz w:val="20"/>
                <w:szCs w:val="20"/>
                <w:color w:val="auto"/>
              </w:rPr>
            </w:pPr>
            <w:r>
              <w:rPr>
                <w:rFonts w:ascii="Arial" w:cs="Arial" w:eastAsia="Arial" w:hAnsi="Arial"/>
                <w:sz w:val="20"/>
                <w:szCs w:val="20"/>
                <w:color w:val="0000FF"/>
                <w:w w:val="88"/>
              </w:rPr>
              <w:t>417,714</w:t>
            </w:r>
          </w:p>
        </w:tc>
        <w:tc>
          <w:tcPr>
            <w:tcW w:w="940" w:type="dxa"/>
            <w:vAlign w:val="bottom"/>
          </w:tcPr>
          <w:p>
            <w:pPr>
              <w:spacing w:after="0"/>
              <w:rPr>
                <w:sz w:val="24"/>
                <w:szCs w:val="24"/>
                <w:color w:val="auto"/>
              </w:rPr>
            </w:pPr>
          </w:p>
        </w:tc>
        <w:tc>
          <w:tcPr>
            <w:tcW w:w="100" w:type="dxa"/>
            <w:vAlign w:val="bottom"/>
            <w:gridSpan w:val="2"/>
            <w:vMerge w:val="restart"/>
          </w:tcPr>
          <w:p>
            <w:pPr>
              <w:spacing w:after="0"/>
              <w:rPr>
                <w:sz w:val="20"/>
                <w:szCs w:val="20"/>
                <w:color w:val="auto"/>
              </w:rPr>
            </w:pPr>
            <w:r>
              <w:rPr>
                <w:rFonts w:ascii="Arial" w:cs="Arial" w:eastAsia="Arial" w:hAnsi="Arial"/>
                <w:sz w:val="20"/>
                <w:szCs w:val="20"/>
                <w:color w:val="0000FF"/>
              </w:rPr>
              <w:t>I</w:t>
            </w:r>
          </w:p>
        </w:tc>
        <w:tc>
          <w:tcPr>
            <w:tcW w:w="3380" w:type="dxa"/>
            <w:vAlign w:val="bottom"/>
            <w:gridSpan w:val="4"/>
          </w:tcPr>
          <w:p>
            <w:pPr>
              <w:ind w:left="600"/>
              <w:spacing w:after="0"/>
              <w:rPr>
                <w:sz w:val="20"/>
                <w:szCs w:val="20"/>
                <w:color w:val="auto"/>
              </w:rPr>
            </w:pPr>
            <w:r>
              <w:rPr>
                <w:rFonts w:ascii="Arial" w:cs="Arial" w:eastAsia="Arial" w:hAnsi="Arial"/>
                <w:sz w:val="20"/>
                <w:szCs w:val="20"/>
                <w:color w:val="0000FF"/>
              </w:rPr>
              <w:t>By: JCP Asset Partnership VI,</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gridSpan w:val="4"/>
            <w:vMerge w:val="continue"/>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1000" w:type="dxa"/>
            <w:vAlign w:val="bottom"/>
            <w:vMerge w:val="restart"/>
          </w:tcPr>
          <w:p>
            <w:pPr>
              <w:ind w:left="600"/>
              <w:spacing w:after="0" w:line="309" w:lineRule="exact"/>
              <w:rPr>
                <w:sz w:val="20"/>
                <w:szCs w:val="20"/>
                <w:color w:val="auto"/>
              </w:rPr>
            </w:pPr>
            <w:r>
              <w:rPr>
                <w:rFonts w:ascii="Arial" w:cs="Arial" w:eastAsia="Arial" w:hAnsi="Arial"/>
                <w:sz w:val="35"/>
                <w:szCs w:val="35"/>
                <w:color w:val="0000FF"/>
                <w:w w:val="87"/>
                <w:vertAlign w:val="subscript"/>
              </w:rPr>
              <w:t>LP</w:t>
            </w:r>
            <w:r>
              <w:rPr>
                <w:rFonts w:ascii="Arial" w:cs="Arial" w:eastAsia="Arial" w:hAnsi="Arial"/>
                <w:sz w:val="12"/>
                <w:szCs w:val="12"/>
                <w:color w:val="008000"/>
                <w:w w:val="87"/>
              </w:rPr>
              <w:t>(3)</w:t>
            </w:r>
          </w:p>
        </w:tc>
        <w:tc>
          <w:tcPr>
            <w:tcW w:w="8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vMerge w:val="continue"/>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gridSpan w:val="4"/>
            <w:vMerge w:val="restart"/>
          </w:tcPr>
          <w:p>
            <w:pPr>
              <w:ind w:left="80"/>
              <w:spacing w:after="0"/>
              <w:rPr>
                <w:sz w:val="20"/>
                <w:szCs w:val="20"/>
                <w:color w:val="auto"/>
              </w:rPr>
            </w:pPr>
            <w:r>
              <w:rPr>
                <w:rFonts w:ascii="Arial" w:cs="Arial" w:eastAsia="Arial" w:hAnsi="Arial"/>
                <w:sz w:val="20"/>
                <w:szCs w:val="20"/>
                <w:color w:val="0000FF"/>
                <w:w w:val="86"/>
              </w:rPr>
              <w:t>Common Stock, $0.01 par value</w:t>
            </w:r>
            <w:r>
              <w:rPr>
                <w:rFonts w:ascii="Arial" w:cs="Arial" w:eastAsia="Arial" w:hAnsi="Arial"/>
                <w:sz w:val="25"/>
                <w:szCs w:val="25"/>
                <w:color w:val="008000"/>
                <w:w w:val="86"/>
                <w:vertAlign w:val="superscript"/>
              </w:rPr>
              <w:t>(1)</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vMerge w:val="restart"/>
          </w:tcPr>
          <w:p>
            <w:pPr>
              <w:jc w:val="center"/>
              <w:ind w:left="95"/>
              <w:spacing w:after="0"/>
              <w:rPr>
                <w:sz w:val="20"/>
                <w:szCs w:val="20"/>
                <w:color w:val="auto"/>
              </w:rPr>
            </w:pPr>
            <w:r>
              <w:rPr>
                <w:rFonts w:ascii="Arial" w:cs="Arial" w:eastAsia="Arial" w:hAnsi="Arial"/>
                <w:sz w:val="20"/>
                <w:szCs w:val="20"/>
                <w:color w:val="0000FF"/>
                <w:w w:val="84"/>
              </w:rPr>
              <w:t>16,772</w:t>
            </w:r>
          </w:p>
        </w:tc>
        <w:tc>
          <w:tcPr>
            <w:tcW w:w="940" w:type="dxa"/>
            <w:vAlign w:val="bottom"/>
          </w:tcPr>
          <w:p>
            <w:pPr>
              <w:spacing w:after="0"/>
              <w:rPr>
                <w:sz w:val="24"/>
                <w:szCs w:val="24"/>
                <w:color w:val="auto"/>
              </w:rPr>
            </w:pPr>
          </w:p>
        </w:tc>
        <w:tc>
          <w:tcPr>
            <w:tcW w:w="100" w:type="dxa"/>
            <w:vAlign w:val="bottom"/>
            <w:gridSpan w:val="2"/>
            <w:vMerge w:val="restart"/>
          </w:tcPr>
          <w:p>
            <w:pPr>
              <w:spacing w:after="0"/>
              <w:rPr>
                <w:sz w:val="20"/>
                <w:szCs w:val="20"/>
                <w:color w:val="auto"/>
              </w:rPr>
            </w:pPr>
            <w:r>
              <w:rPr>
                <w:rFonts w:ascii="Arial" w:cs="Arial" w:eastAsia="Arial" w:hAnsi="Arial"/>
                <w:sz w:val="20"/>
                <w:szCs w:val="20"/>
                <w:color w:val="0000FF"/>
              </w:rPr>
              <w:t>I</w:t>
            </w:r>
          </w:p>
        </w:tc>
        <w:tc>
          <w:tcPr>
            <w:tcW w:w="3380" w:type="dxa"/>
            <w:vAlign w:val="bottom"/>
            <w:gridSpan w:val="4"/>
          </w:tcPr>
          <w:p>
            <w:pPr>
              <w:ind w:left="600"/>
              <w:spacing w:after="0"/>
              <w:rPr>
                <w:sz w:val="20"/>
                <w:szCs w:val="20"/>
                <w:color w:val="auto"/>
              </w:rPr>
            </w:pPr>
            <w:r>
              <w:rPr>
                <w:rFonts w:ascii="Arial" w:cs="Arial" w:eastAsia="Arial" w:hAnsi="Arial"/>
                <w:sz w:val="20"/>
                <w:szCs w:val="20"/>
                <w:color w:val="0000FF"/>
              </w:rPr>
              <w:t>By: Managed Account of JCP</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gridSpan w:val="4"/>
            <w:vMerge w:val="continue"/>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3380" w:type="dxa"/>
            <w:vAlign w:val="bottom"/>
            <w:gridSpan w:val="4"/>
            <w:vMerge w:val="restart"/>
          </w:tcPr>
          <w:p>
            <w:pPr>
              <w:ind w:left="600"/>
              <w:spacing w:after="0"/>
              <w:rPr>
                <w:sz w:val="20"/>
                <w:szCs w:val="20"/>
                <w:color w:val="auto"/>
              </w:rPr>
            </w:pPr>
            <w:r>
              <w:rPr>
                <w:rFonts w:ascii="Arial" w:cs="Arial" w:eastAsia="Arial" w:hAnsi="Arial"/>
                <w:sz w:val="20"/>
                <w:szCs w:val="20"/>
                <w:color w:val="0000FF"/>
                <w:w w:val="95"/>
              </w:rPr>
              <w:t>Investment Management, LLC</w:t>
            </w:r>
            <w:r>
              <w:rPr>
                <w:rFonts w:ascii="Arial" w:cs="Arial" w:eastAsia="Arial" w:hAnsi="Arial"/>
                <w:sz w:val="25"/>
                <w:szCs w:val="25"/>
                <w:color w:val="008000"/>
                <w:w w:val="95"/>
                <w:vertAlign w:val="superscript"/>
              </w:rPr>
              <w:t>(4)</w:t>
            </w:r>
          </w:p>
        </w:tc>
        <w:tc>
          <w:tcPr>
            <w:tcW w:w="0" w:type="dxa"/>
            <w:vAlign w:val="bottom"/>
          </w:tcPr>
          <w:p>
            <w:pPr>
              <w:spacing w:after="0"/>
              <w:rPr>
                <w:sz w:val="1"/>
                <w:szCs w:val="1"/>
                <w:color w:val="auto"/>
              </w:rPr>
            </w:pPr>
          </w:p>
        </w:tc>
      </w:tr>
      <w:tr>
        <w:trPr>
          <w:trHeight w:val="170"/>
        </w:trPr>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4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5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380" w:type="dxa"/>
            <w:vAlign w:val="bottom"/>
            <w:tcBorders>
              <w:bottom w:val="single" w:sz="8" w:color="2C2C2C"/>
            </w:tcBorders>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11"/>
          </w:tcPr>
          <w:p>
            <w:pPr>
              <w:jc w:val="center"/>
              <w:ind w:right="680"/>
              <w:spacing w:after="0"/>
              <w:rPr>
                <w:sz w:val="20"/>
                <w:szCs w:val="20"/>
                <w:color w:val="auto"/>
              </w:rPr>
            </w:pPr>
            <w:r>
              <w:rPr>
                <w:rFonts w:ascii="Arial" w:cs="Arial" w:eastAsia="Arial" w:hAnsi="Arial"/>
                <w:sz w:val="20"/>
                <w:szCs w:val="20"/>
                <w:b w:val="1"/>
                <w:bCs w:val="1"/>
                <w:color w:val="auto"/>
                <w:w w:val="96"/>
              </w:rPr>
              <w:t>Table II - Derivative Securities Beneficially Owned</w:t>
            </w:r>
          </w:p>
        </w:tc>
        <w:tc>
          <w:tcPr>
            <w:tcW w:w="88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780" w:type="dxa"/>
            <w:vAlign w:val="bottom"/>
            <w:gridSpan w:val="12"/>
          </w:tcPr>
          <w:p>
            <w:pPr>
              <w:jc w:val="center"/>
              <w:ind w:right="320"/>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8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gridSpan w:val="4"/>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gridSpan w:val="5"/>
          </w:tcPr>
          <w:p>
            <w:pPr>
              <w:ind w:left="2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880" w:type="dxa"/>
            <w:vAlign w:val="bottom"/>
          </w:tcPr>
          <w:p>
            <w:pPr>
              <w:ind w:left="2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20" w:type="dxa"/>
            <w:vAlign w:val="bottom"/>
            <w:gridSpan w:val="5"/>
          </w:tcPr>
          <w:p>
            <w:pPr>
              <w:ind w:left="2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88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20" w:type="dxa"/>
            <w:vAlign w:val="bottom"/>
            <w:gridSpan w:val="5"/>
          </w:tcPr>
          <w:p>
            <w:pPr>
              <w:ind w:left="20"/>
              <w:spacing w:after="0" w:line="165" w:lineRule="exact"/>
              <w:rPr>
                <w:sz w:val="20"/>
                <w:szCs w:val="20"/>
                <w:color w:val="auto"/>
              </w:rPr>
            </w:pPr>
            <w:r>
              <w:rPr>
                <w:rFonts w:ascii="Arial" w:cs="Arial" w:eastAsia="Arial" w:hAnsi="Arial"/>
                <w:sz w:val="15"/>
                <w:szCs w:val="15"/>
                <w:b w:val="1"/>
                <w:bCs w:val="1"/>
                <w:color w:val="auto"/>
              </w:rPr>
              <w:t>(Month/Day/Year)</w:t>
            </w:r>
          </w:p>
        </w:tc>
        <w:tc>
          <w:tcPr>
            <w:tcW w:w="15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88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100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88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940" w:type="dxa"/>
            <w:vAlign w:val="bottom"/>
            <w:vMerge w:val="restart"/>
          </w:tcPr>
          <w:p>
            <w:pPr>
              <w:ind w:left="36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88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ind w:left="36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88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ind w:left="360"/>
              <w:spacing w:after="0" w:line="161"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00" w:type="dxa"/>
            <w:vAlign w:val="bottom"/>
          </w:tcPr>
          <w:p>
            <w:pPr>
              <w:spacing w:after="0"/>
              <w:rPr>
                <w:sz w:val="14"/>
                <w:szCs w:val="14"/>
                <w:color w:val="auto"/>
              </w:rPr>
            </w:pPr>
          </w:p>
        </w:tc>
        <w:tc>
          <w:tcPr>
            <w:tcW w:w="940" w:type="dxa"/>
            <w:vAlign w:val="bottom"/>
          </w:tcPr>
          <w:p>
            <w:pPr>
              <w:ind w:left="36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5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6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3"/>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4100" w:type="dxa"/>
            <w:vAlign w:val="bottom"/>
            <w:tcBorders>
              <w:top w:val="single" w:sz="8" w:color="2C2C2C"/>
            </w:tcBorders>
            <w:gridSpan w:val="8"/>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80" w:type="dxa"/>
            <w:vAlign w:val="bottom"/>
            <w:gridSpan w:val="6"/>
          </w:tcPr>
          <w:p>
            <w:pPr>
              <w:spacing w:after="0" w:line="249" w:lineRule="exact"/>
              <w:rPr>
                <w:rFonts w:ascii="Arial" w:cs="Arial" w:eastAsia="Arial" w:hAnsi="Arial"/>
                <w:sz w:val="24"/>
                <w:szCs w:val="24"/>
                <w:color w:val="0000EE"/>
              </w:rPr>
            </w:pPr>
            <w:hyperlink r:id="rId10">
              <w:r>
                <w:rPr>
                  <w:rFonts w:ascii="Arial" w:cs="Arial" w:eastAsia="Arial" w:hAnsi="Arial"/>
                  <w:sz w:val="24"/>
                  <w:szCs w:val="24"/>
                  <w:color w:val="0000EE"/>
                </w:rPr>
                <w:t>JCP Investment Management, LLC</w:t>
              </w:r>
            </w:hyperlink>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1460" w:type="dxa"/>
            <w:vAlign w:val="bottom"/>
            <w:tcBorders>
              <w:top w:val="single" w:sz="8" w:color="0000EE"/>
              <w:bottom w:val="single" w:sz="8" w:color="9A9A9A"/>
            </w:tcBorders>
          </w:tcPr>
          <w:p>
            <w:pPr>
              <w:spacing w:after="0"/>
              <w:rPr>
                <w:sz w:val="17"/>
                <w:szCs w:val="17"/>
                <w:color w:val="auto"/>
              </w:rPr>
            </w:pPr>
          </w:p>
        </w:tc>
        <w:tc>
          <w:tcPr>
            <w:tcW w:w="360" w:type="dxa"/>
            <w:vAlign w:val="bottom"/>
            <w:tcBorders>
              <w:top w:val="single" w:sz="8" w:color="0000EE"/>
              <w:bottom w:val="single" w:sz="8" w:color="9A9A9A"/>
            </w:tcBorders>
          </w:tcPr>
          <w:p>
            <w:pPr>
              <w:spacing w:after="0"/>
              <w:rPr>
                <w:sz w:val="17"/>
                <w:szCs w:val="17"/>
                <w:color w:val="auto"/>
              </w:rPr>
            </w:pPr>
          </w:p>
        </w:tc>
        <w:tc>
          <w:tcPr>
            <w:tcW w:w="60" w:type="dxa"/>
            <w:vAlign w:val="bottom"/>
            <w:tcBorders>
              <w:top w:val="single" w:sz="8" w:color="0000EE"/>
              <w:bottom w:val="single" w:sz="8" w:color="9A9A9A"/>
            </w:tcBorders>
          </w:tcPr>
          <w:p>
            <w:pPr>
              <w:spacing w:after="0"/>
              <w:rPr>
                <w:sz w:val="17"/>
                <w:szCs w:val="17"/>
                <w:color w:val="auto"/>
              </w:rPr>
            </w:pPr>
          </w:p>
        </w:tc>
        <w:tc>
          <w:tcPr>
            <w:tcW w:w="340" w:type="dxa"/>
            <w:vAlign w:val="bottom"/>
            <w:tcBorders>
              <w:top w:val="single" w:sz="8" w:color="0000EE"/>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(Last)</w:t>
            </w:r>
          </w:p>
        </w:tc>
        <w:tc>
          <w:tcPr>
            <w:tcW w:w="1460" w:type="dxa"/>
            <w:vAlign w:val="bottom"/>
          </w:tcPr>
          <w:p>
            <w:pPr>
              <w:ind w:left="200"/>
              <w:spacing w:after="0"/>
              <w:rPr>
                <w:sz w:val="20"/>
                <w:szCs w:val="20"/>
                <w:color w:val="auto"/>
              </w:rPr>
            </w:pPr>
            <w:r>
              <w:rPr>
                <w:rFonts w:ascii="Arial" w:cs="Arial" w:eastAsia="Arial" w:hAnsi="Arial"/>
                <w:sz w:val="15"/>
                <w:szCs w:val="15"/>
                <w:color w:val="auto"/>
              </w:rPr>
              <w:t>(First)</w:t>
            </w:r>
          </w:p>
        </w:tc>
        <w:tc>
          <w:tcPr>
            <w:tcW w:w="1340" w:type="dxa"/>
            <w:vAlign w:val="bottom"/>
            <w:gridSpan w:val="4"/>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20"/>
                <w:szCs w:val="20"/>
                <w:color w:val="0000FF"/>
              </w:rPr>
              <w:t>1177 WEST LOOP SOUTH</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20"/>
                <w:szCs w:val="20"/>
                <w:color w:val="0000FF"/>
              </w:rPr>
              <w:t>SUITE 1320</w:t>
            </w: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Arial" w:cs="Arial" w:eastAsia="Arial" w:hAnsi="Arial"/>
                <w:sz w:val="20"/>
                <w:szCs w:val="20"/>
                <w:color w:val="0000FF"/>
              </w:rPr>
              <w:t>HOUSTON</w:t>
            </w:r>
          </w:p>
        </w:tc>
        <w:tc>
          <w:tcPr>
            <w:tcW w:w="1460" w:type="dxa"/>
            <w:vAlign w:val="bottom"/>
          </w:tcPr>
          <w:p>
            <w:pPr>
              <w:ind w:left="200"/>
              <w:spacing w:after="0"/>
              <w:rPr>
                <w:sz w:val="20"/>
                <w:szCs w:val="20"/>
                <w:color w:val="auto"/>
              </w:rPr>
            </w:pPr>
            <w:r>
              <w:rPr>
                <w:rFonts w:ascii="Arial" w:cs="Arial" w:eastAsia="Arial" w:hAnsi="Arial"/>
                <w:sz w:val="20"/>
                <w:szCs w:val="20"/>
                <w:color w:val="0000FF"/>
              </w:rPr>
              <w:t>TX</w:t>
            </w:r>
          </w:p>
        </w:tc>
        <w:tc>
          <w:tcPr>
            <w:tcW w:w="760" w:type="dxa"/>
            <w:vAlign w:val="bottom"/>
            <w:gridSpan w:val="3"/>
          </w:tcPr>
          <w:p>
            <w:pPr>
              <w:ind w:left="120"/>
              <w:spacing w:after="0"/>
              <w:rPr>
                <w:sz w:val="20"/>
                <w:szCs w:val="20"/>
                <w:color w:val="auto"/>
              </w:rPr>
            </w:pPr>
            <w:r>
              <w:rPr>
                <w:rFonts w:ascii="Arial" w:cs="Arial" w:eastAsia="Arial" w:hAnsi="Arial"/>
                <w:sz w:val="20"/>
                <w:szCs w:val="20"/>
                <w:color w:val="0000FF"/>
              </w:rPr>
              <w:t>77027</w:t>
            </w: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gridSpan w:val="2"/>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(City)</w:t>
            </w:r>
          </w:p>
        </w:tc>
        <w:tc>
          <w:tcPr>
            <w:tcW w:w="1460" w:type="dxa"/>
            <w:vAlign w:val="bottom"/>
          </w:tcPr>
          <w:p>
            <w:pPr>
              <w:ind w:left="200"/>
              <w:spacing w:after="0"/>
              <w:rPr>
                <w:sz w:val="20"/>
                <w:szCs w:val="20"/>
                <w:color w:val="auto"/>
              </w:rPr>
            </w:pPr>
            <w:r>
              <w:rPr>
                <w:rFonts w:ascii="Arial" w:cs="Arial" w:eastAsia="Arial" w:hAnsi="Arial"/>
                <w:sz w:val="15"/>
                <w:szCs w:val="15"/>
                <w:color w:val="auto"/>
              </w:rPr>
              <w:t>(State)</w:t>
            </w:r>
          </w:p>
        </w:tc>
        <w:tc>
          <w:tcPr>
            <w:tcW w:w="1340" w:type="dxa"/>
            <w:vAlign w:val="bottom"/>
            <w:gridSpan w:val="4"/>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06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100" w:type="dxa"/>
            <w:vAlign w:val="bottom"/>
            <w:gridSpan w:val="8"/>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80" w:type="dxa"/>
            <w:vAlign w:val="bottom"/>
            <w:gridSpan w:val="6"/>
          </w:tcPr>
          <w:p>
            <w:pPr>
              <w:spacing w:after="0" w:line="249" w:lineRule="exact"/>
              <w:rPr>
                <w:rFonts w:ascii="Arial" w:cs="Arial" w:eastAsia="Arial" w:hAnsi="Arial"/>
                <w:sz w:val="24"/>
                <w:szCs w:val="24"/>
                <w:color w:val="0000EE"/>
              </w:rPr>
            </w:pPr>
            <w:hyperlink r:id="rId12">
              <w:r>
                <w:rPr>
                  <w:rFonts w:ascii="Arial" w:cs="Arial" w:eastAsia="Arial" w:hAnsi="Arial"/>
                  <w:sz w:val="24"/>
                  <w:szCs w:val="24"/>
                  <w:color w:val="0000EE"/>
                </w:rPr>
                <w:t>JCP Investment Partnership, LP</w:t>
              </w:r>
            </w:hyperlink>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1460" w:type="dxa"/>
            <w:vAlign w:val="bottom"/>
            <w:tcBorders>
              <w:top w:val="single" w:sz="8" w:color="0000EE"/>
              <w:bottom w:val="single" w:sz="8" w:color="9A9A9A"/>
            </w:tcBorders>
          </w:tcPr>
          <w:p>
            <w:pPr>
              <w:spacing w:after="0"/>
              <w:rPr>
                <w:sz w:val="17"/>
                <w:szCs w:val="17"/>
                <w:color w:val="auto"/>
              </w:rPr>
            </w:pPr>
          </w:p>
        </w:tc>
        <w:tc>
          <w:tcPr>
            <w:tcW w:w="360" w:type="dxa"/>
            <w:vAlign w:val="bottom"/>
            <w:tcBorders>
              <w:top w:val="single" w:sz="8" w:color="0000EE"/>
              <w:bottom w:val="single" w:sz="8" w:color="9A9A9A"/>
            </w:tcBorders>
          </w:tcPr>
          <w:p>
            <w:pPr>
              <w:spacing w:after="0"/>
              <w:rPr>
                <w:sz w:val="17"/>
                <w:szCs w:val="17"/>
                <w:color w:val="auto"/>
              </w:rPr>
            </w:pPr>
          </w:p>
        </w:tc>
        <w:tc>
          <w:tcPr>
            <w:tcW w:w="60" w:type="dxa"/>
            <w:vAlign w:val="bottom"/>
            <w:tcBorders>
              <w:top w:val="single" w:sz="8" w:color="0000EE"/>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(Last)</w:t>
            </w:r>
          </w:p>
        </w:tc>
        <w:tc>
          <w:tcPr>
            <w:tcW w:w="1460" w:type="dxa"/>
            <w:vAlign w:val="bottom"/>
          </w:tcPr>
          <w:p>
            <w:pPr>
              <w:ind w:left="200"/>
              <w:spacing w:after="0"/>
              <w:rPr>
                <w:sz w:val="20"/>
                <w:szCs w:val="20"/>
                <w:color w:val="auto"/>
              </w:rPr>
            </w:pPr>
            <w:r>
              <w:rPr>
                <w:rFonts w:ascii="Arial" w:cs="Arial" w:eastAsia="Arial" w:hAnsi="Arial"/>
                <w:sz w:val="15"/>
                <w:szCs w:val="15"/>
                <w:color w:val="auto"/>
              </w:rPr>
              <w:t>(First)</w:t>
            </w:r>
          </w:p>
        </w:tc>
        <w:tc>
          <w:tcPr>
            <w:tcW w:w="1340" w:type="dxa"/>
            <w:vAlign w:val="bottom"/>
            <w:gridSpan w:val="4"/>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1177 WEST LOOP SOUTH</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SUITE 1320</w:t>
      </w:r>
    </w:p>
    <w:p>
      <w:pPr>
        <w:sectPr>
          <w:pgSz w:w="11900" w:h="16838" w:orient="portrait"/>
          <w:cols w:equalWidth="0" w:num="1">
            <w:col w:w="10940"/>
          </w:cols>
          <w:pgMar w:left="480" w:top="236" w:right="479" w:bottom="0" w:gutter="0" w:footer="0" w:header="0"/>
          <w:type w:val="continuous"/>
        </w:sectPr>
      </w:pPr>
    </w:p>
    <w:bookmarkStart w:id="1" w:name="page2"/>
    <w:bookmarkEnd w:id="1"/>
    <w:tbl>
      <w:tblPr>
        <w:tblLayout w:type="fixed"/>
        <w:tblInd w:w="80" w:type="dxa"/>
        <w:tblCellMar>
          <w:top w:w="0" w:type="dxa"/>
          <w:left w:w="0" w:type="dxa"/>
          <w:bottom w:w="0" w:type="dxa"/>
          <w:right w:w="0" w:type="dxa"/>
        </w:tblCellMar>
      </w:tblPr>
      <w:tr>
        <w:trPr>
          <w:trHeight w:val="180"/>
        </w:trPr>
        <w:tc>
          <w:tcPr>
            <w:tcW w:w="118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160" w:type="dxa"/>
            <w:vAlign w:val="bottom"/>
          </w:tcPr>
          <w:p>
            <w:pPr>
              <w:ind w:left="20"/>
              <w:spacing w:after="0"/>
              <w:rPr>
                <w:sz w:val="20"/>
                <w:szCs w:val="20"/>
                <w:color w:val="auto"/>
              </w:rPr>
            </w:pPr>
            <w:r>
              <w:rPr>
                <w:rFonts w:ascii="Arial" w:cs="Arial" w:eastAsia="Arial" w:hAnsi="Arial"/>
                <w:sz w:val="20"/>
                <w:szCs w:val="20"/>
                <w:color w:val="0000FF"/>
              </w:rPr>
              <w:t>HOUSTON</w:t>
            </w:r>
          </w:p>
        </w:tc>
        <w:tc>
          <w:tcPr>
            <w:tcW w:w="1160" w:type="dxa"/>
            <w:vAlign w:val="bottom"/>
          </w:tcPr>
          <w:p>
            <w:pPr>
              <w:ind w:left="240"/>
              <w:spacing w:after="0"/>
              <w:rPr>
                <w:sz w:val="20"/>
                <w:szCs w:val="20"/>
                <w:color w:val="auto"/>
              </w:rPr>
            </w:pPr>
            <w:r>
              <w:rPr>
                <w:rFonts w:ascii="Arial" w:cs="Arial" w:eastAsia="Arial" w:hAnsi="Arial"/>
                <w:sz w:val="20"/>
                <w:szCs w:val="20"/>
                <w:color w:val="0000FF"/>
              </w:rPr>
              <w:t>TX</w:t>
            </w:r>
          </w:p>
        </w:tc>
        <w:tc>
          <w:tcPr>
            <w:tcW w:w="1800" w:type="dxa"/>
            <w:vAlign w:val="bottom"/>
          </w:tcPr>
          <w:p>
            <w:pPr>
              <w:ind w:left="460"/>
              <w:spacing w:after="0"/>
              <w:rPr>
                <w:sz w:val="20"/>
                <w:szCs w:val="20"/>
                <w:color w:val="auto"/>
              </w:rPr>
            </w:pPr>
            <w:r>
              <w:rPr>
                <w:rFonts w:ascii="Arial" w:cs="Arial" w:eastAsia="Arial" w:hAnsi="Arial"/>
                <w:sz w:val="20"/>
                <w:szCs w:val="20"/>
                <w:color w:val="0000FF"/>
              </w:rPr>
              <w:t>77027</w:t>
            </w:r>
          </w:p>
        </w:tc>
      </w:tr>
      <w:tr>
        <w:trPr>
          <w:trHeight w:val="177"/>
        </w:trPr>
        <w:tc>
          <w:tcPr>
            <w:tcW w:w="2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5"/>
                <w:szCs w:val="15"/>
                <w:color w:val="auto"/>
              </w:rPr>
              <w:t>(City)</w:t>
            </w:r>
          </w:p>
        </w:tc>
        <w:tc>
          <w:tcPr>
            <w:tcW w:w="1160" w:type="dxa"/>
            <w:vAlign w:val="bottom"/>
          </w:tcPr>
          <w:p>
            <w:pPr>
              <w:ind w:left="24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88461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8445" cy="88461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87"/>
        </w:trPr>
        <w:tc>
          <w:tcPr>
            <w:tcW w:w="4340" w:type="dxa"/>
            <w:vAlign w:val="bottom"/>
            <w:gridSpan w:val="7"/>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20" w:type="dxa"/>
            <w:vAlign w:val="bottom"/>
            <w:gridSpan w:val="5"/>
          </w:tcPr>
          <w:p>
            <w:pPr>
              <w:spacing w:after="0" w:line="249" w:lineRule="exact"/>
              <w:rPr>
                <w:rFonts w:ascii="Arial" w:cs="Arial" w:eastAsia="Arial" w:hAnsi="Arial"/>
                <w:sz w:val="24"/>
                <w:szCs w:val="24"/>
                <w:color w:val="0000EE"/>
              </w:rPr>
            </w:pPr>
            <w:hyperlink r:id="rId14">
              <w:r>
                <w:rPr>
                  <w:rFonts w:ascii="Arial" w:cs="Arial" w:eastAsia="Arial" w:hAnsi="Arial"/>
                  <w:sz w:val="24"/>
                  <w:szCs w:val="24"/>
                  <w:color w:val="0000EE"/>
                </w:rPr>
                <w:t>JCP Asset Partnership VI, LP</w:t>
              </w:r>
            </w:hyperlink>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1580" w:type="dxa"/>
            <w:vAlign w:val="bottom"/>
            <w:tcBorders>
              <w:top w:val="single" w:sz="8" w:color="0000EE"/>
              <w:bottom w:val="single" w:sz="8" w:color="9A9A9A"/>
            </w:tcBorders>
          </w:tcPr>
          <w:p>
            <w:pPr>
              <w:spacing w:after="0"/>
              <w:rPr>
                <w:sz w:val="17"/>
                <w:szCs w:val="17"/>
                <w:color w:val="auto"/>
              </w:rPr>
            </w:pPr>
          </w:p>
        </w:tc>
        <w:tc>
          <w:tcPr>
            <w:tcW w:w="80" w:type="dxa"/>
            <w:vAlign w:val="bottom"/>
            <w:tcBorders>
              <w:top w:val="single" w:sz="8" w:color="0000EE"/>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(Last)</w:t>
            </w:r>
          </w:p>
        </w:tc>
        <w:tc>
          <w:tcPr>
            <w:tcW w:w="1580" w:type="dxa"/>
            <w:vAlign w:val="bottom"/>
          </w:tcPr>
          <w:p>
            <w:pPr>
              <w:ind w:left="200"/>
              <w:spacing w:after="0"/>
              <w:rPr>
                <w:sz w:val="20"/>
                <w:szCs w:val="20"/>
                <w:color w:val="auto"/>
              </w:rPr>
            </w:pPr>
            <w:r>
              <w:rPr>
                <w:rFonts w:ascii="Arial" w:cs="Arial" w:eastAsia="Arial" w:hAnsi="Arial"/>
                <w:sz w:val="15"/>
                <w:szCs w:val="15"/>
                <w:color w:val="auto"/>
              </w:rPr>
              <w:t>(First)</w:t>
            </w:r>
          </w:p>
        </w:tc>
        <w:tc>
          <w:tcPr>
            <w:tcW w:w="1460" w:type="dxa"/>
            <w:vAlign w:val="bottom"/>
            <w:gridSpan w:val="3"/>
          </w:tcPr>
          <w:p>
            <w:pPr>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20"/>
                <w:szCs w:val="20"/>
                <w:color w:val="0000FF"/>
              </w:rPr>
              <w:t>1177 WEST LOOP SOUTH</w:t>
            </w: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20"/>
                <w:szCs w:val="20"/>
                <w:color w:val="0000FF"/>
              </w:rPr>
              <w:t>SUITE 1320</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13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Arial" w:cs="Arial" w:eastAsia="Arial" w:hAnsi="Arial"/>
                <w:sz w:val="20"/>
                <w:szCs w:val="20"/>
                <w:color w:val="0000FF"/>
              </w:rPr>
              <w:t>HOUSTON</w:t>
            </w:r>
          </w:p>
        </w:tc>
        <w:tc>
          <w:tcPr>
            <w:tcW w:w="1580" w:type="dxa"/>
            <w:vAlign w:val="bottom"/>
          </w:tcPr>
          <w:p>
            <w:pPr>
              <w:ind w:left="200"/>
              <w:spacing w:after="0"/>
              <w:rPr>
                <w:sz w:val="20"/>
                <w:szCs w:val="20"/>
                <w:color w:val="auto"/>
              </w:rPr>
            </w:pPr>
            <w:r>
              <w:rPr>
                <w:rFonts w:ascii="Arial" w:cs="Arial" w:eastAsia="Arial" w:hAnsi="Arial"/>
                <w:sz w:val="20"/>
                <w:szCs w:val="20"/>
                <w:color w:val="0000FF"/>
              </w:rPr>
              <w:t>TX</w:t>
            </w:r>
          </w:p>
        </w:tc>
        <w:tc>
          <w:tcPr>
            <w:tcW w:w="1340" w:type="dxa"/>
            <w:vAlign w:val="bottom"/>
            <w:gridSpan w:val="2"/>
          </w:tcPr>
          <w:p>
            <w:pPr>
              <w:spacing w:after="0"/>
              <w:rPr>
                <w:sz w:val="20"/>
                <w:szCs w:val="20"/>
                <w:color w:val="auto"/>
              </w:rPr>
            </w:pPr>
            <w:r>
              <w:rPr>
                <w:rFonts w:ascii="Arial" w:cs="Arial" w:eastAsia="Arial" w:hAnsi="Arial"/>
                <w:sz w:val="20"/>
                <w:szCs w:val="20"/>
                <w:color w:val="0000FF"/>
              </w:rPr>
              <w:t>77027</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(City)</w:t>
            </w:r>
          </w:p>
        </w:tc>
        <w:tc>
          <w:tcPr>
            <w:tcW w:w="1580" w:type="dxa"/>
            <w:vAlign w:val="bottom"/>
          </w:tcPr>
          <w:p>
            <w:pPr>
              <w:ind w:left="200"/>
              <w:spacing w:after="0"/>
              <w:rPr>
                <w:sz w:val="20"/>
                <w:szCs w:val="20"/>
                <w:color w:val="auto"/>
              </w:rPr>
            </w:pPr>
            <w:r>
              <w:rPr>
                <w:rFonts w:ascii="Arial" w:cs="Arial" w:eastAsia="Arial" w:hAnsi="Arial"/>
                <w:sz w:val="15"/>
                <w:szCs w:val="15"/>
                <w:color w:val="auto"/>
              </w:rPr>
              <w:t>(State)</w:t>
            </w:r>
          </w:p>
        </w:tc>
        <w:tc>
          <w:tcPr>
            <w:tcW w:w="1460" w:type="dxa"/>
            <w:vAlign w:val="bottom"/>
            <w:gridSpan w:val="3"/>
          </w:tcPr>
          <w:p>
            <w:pPr>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7"/>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60" w:type="dxa"/>
            <w:vAlign w:val="bottom"/>
            <w:tcBorders>
              <w:bottom w:val="single" w:sz="8" w:color="0000EE"/>
            </w:tcBorders>
            <w:gridSpan w:val="2"/>
          </w:tcPr>
          <w:p>
            <w:pPr>
              <w:spacing w:after="0" w:line="249" w:lineRule="exact"/>
              <w:rPr>
                <w:rFonts w:ascii="Arial" w:cs="Arial" w:eastAsia="Arial" w:hAnsi="Arial"/>
                <w:sz w:val="24"/>
                <w:szCs w:val="24"/>
                <w:color w:val="0000EE"/>
                <w:w w:val="88"/>
              </w:rPr>
            </w:pPr>
            <w:hyperlink r:id="rId15">
              <w:r>
                <w:rPr>
                  <w:rFonts w:ascii="Arial" w:cs="Arial" w:eastAsia="Arial" w:hAnsi="Arial"/>
                  <w:sz w:val="24"/>
                  <w:szCs w:val="24"/>
                  <w:color w:val="0000EE"/>
                  <w:w w:val="88"/>
                </w:rPr>
                <w:t>JCP Investment Partners, LP</w:t>
              </w:r>
            </w:hyperlink>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(Last)</w:t>
            </w:r>
          </w:p>
        </w:tc>
        <w:tc>
          <w:tcPr>
            <w:tcW w:w="1580" w:type="dxa"/>
            <w:vAlign w:val="bottom"/>
          </w:tcPr>
          <w:p>
            <w:pPr>
              <w:ind w:left="200"/>
              <w:spacing w:after="0"/>
              <w:rPr>
                <w:sz w:val="20"/>
                <w:szCs w:val="20"/>
                <w:color w:val="auto"/>
              </w:rPr>
            </w:pPr>
            <w:r>
              <w:rPr>
                <w:rFonts w:ascii="Arial" w:cs="Arial" w:eastAsia="Arial" w:hAnsi="Arial"/>
                <w:sz w:val="15"/>
                <w:szCs w:val="15"/>
                <w:color w:val="auto"/>
              </w:rPr>
              <w:t>(First)</w:t>
            </w:r>
          </w:p>
        </w:tc>
        <w:tc>
          <w:tcPr>
            <w:tcW w:w="1460" w:type="dxa"/>
            <w:vAlign w:val="bottom"/>
            <w:gridSpan w:val="3"/>
          </w:tcPr>
          <w:p>
            <w:pPr>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20"/>
                <w:szCs w:val="20"/>
                <w:color w:val="0000FF"/>
              </w:rPr>
              <w:t>1177 WEST LOOP SOUTH</w:t>
            </w: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20"/>
                <w:szCs w:val="20"/>
                <w:color w:val="0000FF"/>
              </w:rPr>
              <w:t>SUITE 1320</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13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Arial" w:cs="Arial" w:eastAsia="Arial" w:hAnsi="Arial"/>
                <w:sz w:val="20"/>
                <w:szCs w:val="20"/>
                <w:color w:val="0000FF"/>
              </w:rPr>
              <w:t>HOUSTON</w:t>
            </w:r>
          </w:p>
        </w:tc>
        <w:tc>
          <w:tcPr>
            <w:tcW w:w="1580" w:type="dxa"/>
            <w:vAlign w:val="bottom"/>
          </w:tcPr>
          <w:p>
            <w:pPr>
              <w:ind w:left="200"/>
              <w:spacing w:after="0"/>
              <w:rPr>
                <w:sz w:val="20"/>
                <w:szCs w:val="20"/>
                <w:color w:val="auto"/>
              </w:rPr>
            </w:pPr>
            <w:r>
              <w:rPr>
                <w:rFonts w:ascii="Arial" w:cs="Arial" w:eastAsia="Arial" w:hAnsi="Arial"/>
                <w:sz w:val="20"/>
                <w:szCs w:val="20"/>
                <w:color w:val="0000FF"/>
              </w:rPr>
              <w:t>TX</w:t>
            </w:r>
          </w:p>
        </w:tc>
        <w:tc>
          <w:tcPr>
            <w:tcW w:w="1340" w:type="dxa"/>
            <w:vAlign w:val="bottom"/>
            <w:gridSpan w:val="2"/>
          </w:tcPr>
          <w:p>
            <w:pPr>
              <w:spacing w:after="0"/>
              <w:rPr>
                <w:sz w:val="20"/>
                <w:szCs w:val="20"/>
                <w:color w:val="auto"/>
              </w:rPr>
            </w:pPr>
            <w:r>
              <w:rPr>
                <w:rFonts w:ascii="Arial" w:cs="Arial" w:eastAsia="Arial" w:hAnsi="Arial"/>
                <w:sz w:val="20"/>
                <w:szCs w:val="20"/>
                <w:color w:val="0000FF"/>
              </w:rPr>
              <w:t>77027</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(City)</w:t>
            </w:r>
          </w:p>
        </w:tc>
        <w:tc>
          <w:tcPr>
            <w:tcW w:w="1580" w:type="dxa"/>
            <w:vAlign w:val="bottom"/>
          </w:tcPr>
          <w:p>
            <w:pPr>
              <w:ind w:left="200"/>
              <w:spacing w:after="0"/>
              <w:rPr>
                <w:sz w:val="20"/>
                <w:szCs w:val="20"/>
                <w:color w:val="auto"/>
              </w:rPr>
            </w:pPr>
            <w:r>
              <w:rPr>
                <w:rFonts w:ascii="Arial" w:cs="Arial" w:eastAsia="Arial" w:hAnsi="Arial"/>
                <w:sz w:val="15"/>
                <w:szCs w:val="15"/>
                <w:color w:val="auto"/>
              </w:rPr>
              <w:t>(State)</w:t>
            </w:r>
          </w:p>
        </w:tc>
        <w:tc>
          <w:tcPr>
            <w:tcW w:w="1460" w:type="dxa"/>
            <w:vAlign w:val="bottom"/>
            <w:gridSpan w:val="3"/>
          </w:tcPr>
          <w:p>
            <w:pPr>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16">
        <w:r>
          <w:rPr>
            <w:rFonts w:ascii="Arial" w:cs="Arial" w:eastAsia="Arial" w:hAnsi="Arial"/>
            <w:sz w:val="24"/>
            <w:szCs w:val="24"/>
            <w:u w:val="single" w:color="auto"/>
            <w:color w:val="0000EE"/>
          </w:rPr>
          <w:t>JCP Investment Holdings, LLC</w:t>
        </w:r>
      </w:hyperlink>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(Last)</w:t>
            </w:r>
          </w:p>
        </w:tc>
        <w:tc>
          <w:tcPr>
            <w:tcW w:w="1300" w:type="dxa"/>
            <w:vAlign w:val="bottom"/>
            <w:gridSpan w:val="2"/>
          </w:tcPr>
          <w:p>
            <w:pPr>
              <w:ind w:left="200"/>
              <w:spacing w:after="0"/>
              <w:rPr>
                <w:sz w:val="20"/>
                <w:szCs w:val="20"/>
                <w:color w:val="auto"/>
              </w:rPr>
            </w:pPr>
            <w:r>
              <w:rPr>
                <w:rFonts w:ascii="Arial" w:cs="Arial" w:eastAsia="Arial" w:hAnsi="Arial"/>
                <w:sz w:val="15"/>
                <w:szCs w:val="15"/>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gridSpan w:val="3"/>
          </w:tcPr>
          <w:p>
            <w:pPr>
              <w:spacing w:after="0"/>
              <w:rPr>
                <w:sz w:val="20"/>
                <w:szCs w:val="20"/>
                <w:color w:val="auto"/>
              </w:rPr>
            </w:pPr>
            <w:r>
              <w:rPr>
                <w:rFonts w:ascii="Arial" w:cs="Arial" w:eastAsia="Arial" w:hAnsi="Arial"/>
                <w:sz w:val="20"/>
                <w:szCs w:val="20"/>
                <w:color w:val="0000FF"/>
              </w:rPr>
              <w:t>1177 WEST LOOP SOUTH</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20"/>
                <w:szCs w:val="20"/>
                <w:color w:val="0000FF"/>
              </w:rPr>
              <w:t>SUITE 1320</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13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Arial" w:cs="Arial" w:eastAsia="Arial" w:hAnsi="Arial"/>
                <w:sz w:val="20"/>
                <w:szCs w:val="20"/>
                <w:color w:val="0000FF"/>
              </w:rPr>
              <w:t>HOUSTON</w:t>
            </w:r>
          </w:p>
        </w:tc>
        <w:tc>
          <w:tcPr>
            <w:tcW w:w="1300" w:type="dxa"/>
            <w:vAlign w:val="bottom"/>
            <w:gridSpan w:val="2"/>
          </w:tcPr>
          <w:p>
            <w:pPr>
              <w:ind w:left="200"/>
              <w:spacing w:after="0"/>
              <w:rPr>
                <w:sz w:val="20"/>
                <w:szCs w:val="20"/>
                <w:color w:val="auto"/>
              </w:rPr>
            </w:pPr>
            <w:r>
              <w:rPr>
                <w:rFonts w:ascii="Arial" w:cs="Arial" w:eastAsia="Arial" w:hAnsi="Arial"/>
                <w:sz w:val="20"/>
                <w:szCs w:val="20"/>
                <w:color w:val="0000FF"/>
              </w:rPr>
              <w:t>TX</w:t>
            </w:r>
          </w:p>
        </w:tc>
        <w:tc>
          <w:tcPr>
            <w:tcW w:w="1620" w:type="dxa"/>
            <w:vAlign w:val="bottom"/>
          </w:tcPr>
          <w:p>
            <w:pPr>
              <w:ind w:left="280"/>
              <w:spacing w:after="0"/>
              <w:rPr>
                <w:sz w:val="20"/>
                <w:szCs w:val="20"/>
                <w:color w:val="auto"/>
              </w:rPr>
            </w:pPr>
            <w:r>
              <w:rPr>
                <w:rFonts w:ascii="Arial" w:cs="Arial" w:eastAsia="Arial" w:hAnsi="Arial"/>
                <w:sz w:val="20"/>
                <w:szCs w:val="20"/>
                <w:color w:val="0000FF"/>
              </w:rPr>
              <w:t>77027</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(City)</w:t>
            </w:r>
          </w:p>
        </w:tc>
        <w:tc>
          <w:tcPr>
            <w:tcW w:w="1300" w:type="dxa"/>
            <w:vAlign w:val="bottom"/>
            <w:gridSpan w:val="2"/>
          </w:tcPr>
          <w:p>
            <w:pPr>
              <w:ind w:left="200"/>
              <w:spacing w:after="0"/>
              <w:rPr>
                <w:sz w:val="20"/>
                <w:szCs w:val="20"/>
                <w:color w:val="auto"/>
              </w:rPr>
            </w:pPr>
            <w:r>
              <w:rPr>
                <w:rFonts w:ascii="Arial" w:cs="Arial" w:eastAsia="Arial" w:hAnsi="Arial"/>
                <w:sz w:val="15"/>
                <w:szCs w:val="15"/>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2"/>
          </w:tcPr>
          <w:p>
            <w:pPr>
              <w:spacing w:after="0"/>
              <w:rPr>
                <w:sz w:val="8"/>
                <w:szCs w:val="8"/>
                <w:color w:val="auto"/>
              </w:rPr>
            </w:pPr>
          </w:p>
        </w:tc>
        <w:tc>
          <w:tcPr>
            <w:tcW w:w="256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7"/>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80" w:type="dxa"/>
            <w:vAlign w:val="bottom"/>
            <w:gridSpan w:val="3"/>
          </w:tcPr>
          <w:p>
            <w:pPr>
              <w:spacing w:after="0" w:line="249" w:lineRule="exact"/>
              <w:rPr>
                <w:rFonts w:ascii="Arial" w:cs="Arial" w:eastAsia="Arial" w:hAnsi="Arial"/>
                <w:sz w:val="24"/>
                <w:szCs w:val="24"/>
                <w:color w:val="0000EE"/>
              </w:rPr>
            </w:pPr>
            <w:hyperlink r:id="rId17">
              <w:r>
                <w:rPr>
                  <w:rFonts w:ascii="Arial" w:cs="Arial" w:eastAsia="Arial" w:hAnsi="Arial"/>
                  <w:sz w:val="24"/>
                  <w:szCs w:val="24"/>
                  <w:color w:val="0000EE"/>
                </w:rPr>
                <w:t>Pappas James C</w:t>
              </w:r>
            </w:hyperlink>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360" w:type="dxa"/>
            <w:vAlign w:val="bottom"/>
            <w:tcBorders>
              <w:top w:val="single" w:sz="8" w:color="0000EE"/>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(Last)</w:t>
            </w:r>
          </w:p>
        </w:tc>
        <w:tc>
          <w:tcPr>
            <w:tcW w:w="1300" w:type="dxa"/>
            <w:vAlign w:val="bottom"/>
            <w:gridSpan w:val="2"/>
          </w:tcPr>
          <w:p>
            <w:pPr>
              <w:ind w:left="200"/>
              <w:spacing w:after="0"/>
              <w:rPr>
                <w:sz w:val="20"/>
                <w:szCs w:val="20"/>
                <w:color w:val="auto"/>
              </w:rPr>
            </w:pPr>
            <w:r>
              <w:rPr>
                <w:rFonts w:ascii="Arial" w:cs="Arial" w:eastAsia="Arial" w:hAnsi="Arial"/>
                <w:sz w:val="15"/>
                <w:szCs w:val="15"/>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gridSpan w:val="3"/>
          </w:tcPr>
          <w:p>
            <w:pPr>
              <w:spacing w:after="0"/>
              <w:rPr>
                <w:sz w:val="20"/>
                <w:szCs w:val="20"/>
                <w:color w:val="auto"/>
              </w:rPr>
            </w:pPr>
            <w:r>
              <w:rPr>
                <w:rFonts w:ascii="Arial" w:cs="Arial" w:eastAsia="Arial" w:hAnsi="Arial"/>
                <w:sz w:val="20"/>
                <w:szCs w:val="20"/>
                <w:color w:val="0000FF"/>
              </w:rPr>
              <w:t>1177 WEST LOOP SOUTH</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20"/>
                <w:szCs w:val="20"/>
                <w:color w:val="0000FF"/>
              </w:rPr>
              <w:t>SUITE 1320</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13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Arial" w:cs="Arial" w:eastAsia="Arial" w:hAnsi="Arial"/>
                <w:sz w:val="20"/>
                <w:szCs w:val="20"/>
                <w:color w:val="0000FF"/>
              </w:rPr>
              <w:t>HOUSTON</w:t>
            </w:r>
          </w:p>
        </w:tc>
        <w:tc>
          <w:tcPr>
            <w:tcW w:w="1300" w:type="dxa"/>
            <w:vAlign w:val="bottom"/>
            <w:gridSpan w:val="2"/>
          </w:tcPr>
          <w:p>
            <w:pPr>
              <w:ind w:left="200"/>
              <w:spacing w:after="0"/>
              <w:rPr>
                <w:sz w:val="20"/>
                <w:szCs w:val="20"/>
                <w:color w:val="auto"/>
              </w:rPr>
            </w:pPr>
            <w:r>
              <w:rPr>
                <w:rFonts w:ascii="Arial" w:cs="Arial" w:eastAsia="Arial" w:hAnsi="Arial"/>
                <w:sz w:val="20"/>
                <w:szCs w:val="20"/>
                <w:color w:val="0000FF"/>
              </w:rPr>
              <w:t>TX</w:t>
            </w:r>
          </w:p>
        </w:tc>
        <w:tc>
          <w:tcPr>
            <w:tcW w:w="1620" w:type="dxa"/>
            <w:vAlign w:val="bottom"/>
          </w:tcPr>
          <w:p>
            <w:pPr>
              <w:ind w:left="280"/>
              <w:spacing w:after="0"/>
              <w:rPr>
                <w:sz w:val="20"/>
                <w:szCs w:val="20"/>
                <w:color w:val="auto"/>
              </w:rPr>
            </w:pPr>
            <w:r>
              <w:rPr>
                <w:rFonts w:ascii="Arial" w:cs="Arial" w:eastAsia="Arial" w:hAnsi="Arial"/>
                <w:sz w:val="20"/>
                <w:szCs w:val="20"/>
                <w:color w:val="0000FF"/>
              </w:rPr>
              <w:t>77027</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(City)</w:t>
            </w:r>
          </w:p>
        </w:tc>
        <w:tc>
          <w:tcPr>
            <w:tcW w:w="1300" w:type="dxa"/>
            <w:vAlign w:val="bottom"/>
            <w:gridSpan w:val="2"/>
          </w:tcPr>
          <w:p>
            <w:pPr>
              <w:ind w:left="200"/>
              <w:spacing w:after="0"/>
              <w:rPr>
                <w:sz w:val="20"/>
                <w:szCs w:val="20"/>
                <w:color w:val="auto"/>
              </w:rPr>
            </w:pPr>
            <w:r>
              <w:rPr>
                <w:rFonts w:ascii="Arial" w:cs="Arial" w:eastAsia="Arial" w:hAnsi="Arial"/>
                <w:sz w:val="15"/>
                <w:szCs w:val="15"/>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20" w:right="60" w:firstLine="5"/>
        <w:spacing w:after="0" w:line="236"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Form 3 is filed jointly by JCP Investment Partnership, LP ("JCP Partnership"), JCP Asset Partnership VI, LP ("JCP Partnership VI"), JCP Investment Partners, LP ("JCP Partners"), JCP Investment Holdings, LLC ("JCP Holdings"), JCP Investment Management, LLC ("JCP Management") and James C. Pappas (collectively, the "Reporting Persons"). Each of the Reporting Persons may be deemed to be a member of a Section 13(d) group that collectively beneficially owns more than 10% of the Issuer's outstanding shares of Common Stock. Each of the Reporting Persons disclaims beneficial ownership of the shares of Common Stock reported herein except to the extent of his or its pecuniary interest therein.</w:t>
      </w:r>
    </w:p>
    <w:p>
      <w:pPr>
        <w:spacing w:after="0" w:line="37" w:lineRule="exact"/>
        <w:rPr>
          <w:rFonts w:ascii="Arial" w:cs="Arial" w:eastAsia="Arial" w:hAnsi="Arial"/>
          <w:sz w:val="15"/>
          <w:szCs w:val="15"/>
          <w:color w:val="008000"/>
        </w:rPr>
      </w:pPr>
    </w:p>
    <w:p>
      <w:pPr>
        <w:ind w:left="20" w:right="120" w:firstLine="5"/>
        <w:spacing w:after="0" w:line="236"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Represents shares of Common Stock owned directly by JCP Partnership. JCP Partners, as the general partner of JCP Partnership, may be deemed to beneficially own the shares of Common Stock owned directly by JCP Partnership. JCP Holdings, as the general partner of JCP Partners, may be deemed to beneficially own the shares of Common Stock owned directly by JCP Partnership. JCP Management, as the investment manager of JCP Partnership, may be deemed to beneficially own the shares of Common Stock owned directly by JCP Partnership. Mr. Pappas, as the managing member of JCP Management and the sole member of JCP Holdings, may be deemed to beneficially own the shares of Common Stock owned directly by JCP Partnership.</w:t>
      </w:r>
    </w:p>
    <w:p>
      <w:pPr>
        <w:spacing w:after="0" w:line="37" w:lineRule="exact"/>
        <w:rPr>
          <w:rFonts w:ascii="Arial" w:cs="Arial" w:eastAsia="Arial" w:hAnsi="Arial"/>
          <w:sz w:val="15"/>
          <w:szCs w:val="15"/>
          <w:color w:val="008000"/>
        </w:rPr>
      </w:pPr>
    </w:p>
    <w:p>
      <w:pPr>
        <w:jc w:val="both"/>
        <w:ind w:left="20" w:firstLine="5"/>
        <w:spacing w:after="0" w:line="297" w:lineRule="auto"/>
        <w:tabs>
          <w:tab w:leader="none" w:pos="17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Represents shares of Common Stock owned directly by JCP Partnership VI. JCP Partners, as the general partner of JCP Partnership VI, may be deemed to beneficially own the shares of Common Stock owned directly by JCP Partnership VI. JCP Holdings, as the general partner of JCP Partners, may be deemed to beneficially own the shares of Common Stock owned directly by JCP Partnership VI. JCP Management, as the investment manager of JCP Partnership VI, may be deemed to beneficially own the shares of Common Stock</w:t>
      </w:r>
    </w:p>
    <w:p>
      <w:pPr>
        <w:sectPr>
          <w:pgSz w:w="11900" w:h="16838" w:orient="portrait"/>
          <w:cols w:equalWidth="0" w:num="1">
            <w:col w:w="10840"/>
          </w:cols>
          <w:pgMar w:left="500" w:top="274" w:right="559" w:bottom="0" w:gutter="0" w:footer="0" w:header="0"/>
        </w:sectPr>
      </w:pPr>
    </w:p>
    <w:bookmarkStart w:id="2" w:name="page3"/>
    <w:bookmarkEnd w:id="2"/>
    <w:p>
      <w:pPr>
        <w:ind w:right="200"/>
        <w:spacing w:after="0" w:line="253" w:lineRule="auto"/>
        <w:rPr>
          <w:sz w:val="20"/>
          <w:szCs w:val="20"/>
          <w:color w:val="auto"/>
        </w:rPr>
      </w:pPr>
      <w:r>
        <w:rPr>
          <w:rFonts w:ascii="Arial" w:cs="Arial" w:eastAsia="Arial" w:hAnsi="Arial"/>
          <w:sz w:val="15"/>
          <w:szCs w:val="15"/>
          <w:color w:val="008000"/>
        </w:rPr>
        <w:t>owned directly by JCP Partnership VI. Mr. Pappas, as the managing member of JCP Management and the sole member of JCP Holdings, may be deemed to beneficially own the shares of Common Stock owned directly by JCP Partnership VI.</w:t>
      </w:r>
    </w:p>
    <w:p>
      <w:pPr>
        <w:spacing w:after="0" w:line="27" w:lineRule="exact"/>
        <w:rPr>
          <w:sz w:val="20"/>
          <w:szCs w:val="20"/>
          <w:color w:val="auto"/>
        </w:rPr>
      </w:pPr>
    </w:p>
    <w:p>
      <w:pPr>
        <w:ind w:right="60" w:firstLine="5"/>
        <w:spacing w:after="0" w:line="241" w:lineRule="auto"/>
        <w:tabs>
          <w:tab w:leader="none" w:pos="15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Represents shares of Common Stock held in a certain account managed by JCP Management (the "JCP Account"). JCP Management, as the investment manager of the JCP Account, may be deemed to beneficially own the shares of Common Stock held in the JCP Account. Mr. Pappas, as the managing member of JCP Management, may be deemed to beneficially own the shares of Common Stock held in the JCP Account.</w:t>
      </w:r>
    </w:p>
    <w:p>
      <w:pPr>
        <w:sectPr>
          <w:pgSz w:w="11900" w:h="16838" w:orient="portrait"/>
          <w:cols w:equalWidth="0" w:num="1">
            <w:col w:w="10820"/>
          </w:cols>
          <w:pgMar w:left="520" w:top="129" w:right="559" w:bottom="1440" w:gutter="0" w:footer="0" w:header="0"/>
        </w:sectPr>
      </w:pPr>
    </w:p>
    <w:p>
      <w:pPr>
        <w:spacing w:after="0" w:line="67"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JCP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78105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extLst>
                    </a:blip>
                    <a:srcRect/>
                    <a:stretch>
                      <a:fillRect/>
                    </a:stretch>
                  </pic:blipFill>
                  <pic:spPr bwMode="auto">
                    <a:xfrm>
                      <a:off x="0" y="0"/>
                      <a:ext cx="7810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Management,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159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extLst>
                    </a:blip>
                    <a:srcRect/>
                    <a:stretch>
                      <a:fillRect/>
                    </a:stretch>
                  </pic:blipFill>
                  <pic:spPr bwMode="auto">
                    <a:xfrm>
                      <a:off x="0" y="0"/>
                      <a:ext cx="133159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James C. Pappas,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6042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86042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5313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95313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JCP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78105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7810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Partnership, LP, By: JCP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2872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22872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Investment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5920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25920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Investment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4366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43660"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By: /s/ James C. Pappas,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1793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21793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5313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95313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JCP Asset Partnership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29349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29349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LP, By: JCP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18364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18364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7345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97345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Investment Manager,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5730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5730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James C. Pappas,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0838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00838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5313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95313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JCP Investment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24904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24904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LP, By: JCP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18364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18364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Holdings, LLC,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0396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2039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Partner, By: /s/ James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1983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21983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Pappas, Sole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8394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08394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JCP Investment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29730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29730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LLC, By: /s/ James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01090"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10109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Pappas, Sole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8394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08394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James C. Pappas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977265"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97726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0000FF"/>
        </w:rPr>
        <w:t>05/03/2021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0000FF"/>
        </w:rPr>
        <w:t>05/03/2021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05/03/2021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05/03/2021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0000FF"/>
        </w:rPr>
        <w:t>05/03/2021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0000FF"/>
        </w:rPr>
        <w:t>05/03/2021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106" w:lineRule="exact"/>
        <w:rPr>
          <w:sz w:val="20"/>
          <w:szCs w:val="20"/>
          <w:color w:val="auto"/>
        </w:rPr>
      </w:pPr>
    </w:p>
    <w:p>
      <w:pPr>
        <w:sectPr>
          <w:pgSz w:w="11900" w:h="16838" w:orient="portrait"/>
          <w:cols w:equalWidth="0" w:num="2">
            <w:col w:w="8640" w:space="80"/>
            <w:col w:w="2100"/>
          </w:cols>
          <w:pgMar w:left="520" w:top="129" w:right="5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9"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10" Type="http://schemas.openxmlformats.org/officeDocument/2006/relationships/hyperlink" Target="http://www.sec.gov/cgi-bin/browse-edgar?action=getcompany&amp;CIK=0001461945" TargetMode="External"/><Relationship Id="rId11" Type="http://schemas.openxmlformats.org/officeDocument/2006/relationships/hyperlink" Target="http://www.sec.gov/cgi-bin/browse-edgar?action=getcompany&amp;CIK=0001165002" TargetMode="External"/><Relationship Id="rId12" Type="http://schemas.openxmlformats.org/officeDocument/2006/relationships/hyperlink" Target="http://www.sec.gov/cgi-bin/browse-edgar?action=getcompany&amp;CIK=0001461946" TargetMode="External"/><Relationship Id="rId14" Type="http://schemas.openxmlformats.org/officeDocument/2006/relationships/hyperlink" Target="http://www.sec.gov/cgi-bin/browse-edgar?action=getcompany&amp;CIK=0001845388" TargetMode="External"/><Relationship Id="rId15" Type="http://schemas.openxmlformats.org/officeDocument/2006/relationships/hyperlink" Target="http://www.sec.gov/cgi-bin/browse-edgar?action=getcompany&amp;CIK=0001461947" TargetMode="External"/><Relationship Id="rId16" Type="http://schemas.openxmlformats.org/officeDocument/2006/relationships/hyperlink" Target="http://www.sec.gov/cgi-bin/browse-edgar?action=getcompany&amp;CIK=0001461948" TargetMode="External"/><Relationship Id="rId17" Type="http://schemas.openxmlformats.org/officeDocument/2006/relationships/hyperlink" Target="http://www.sec.gov/cgi-bin/browse-edgar?action=getcompany&amp;CIK=00014621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2021-05-03T15:45:42Z</dcterms:created>
  <dcterms:modified xsi:type="dcterms:W3CDTF">2021-05-03T15:45:42Z</dcterms:modified>
</cp:coreProperties>
</file>