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5"/>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spacing w:after="0" w:line="187" w:lineRule="exact"/>
              <w:rPr>
                <w:rFonts w:ascii="Times New Roman" w:cs="Times New Roman" w:eastAsia="Times New Roman" w:hAnsi="Times New Roman"/>
                <w:sz w:val="17"/>
                <w:szCs w:val="17"/>
                <w:color w:val="0000EE"/>
                <w:w w:val="94"/>
              </w:rPr>
            </w:pPr>
            <w:hyperlink r:id="rId13">
              <w:r>
                <w:rPr>
                  <w:rFonts w:ascii="Times New Roman" w:cs="Times New Roman" w:eastAsia="Times New Roman" w:hAnsi="Times New Roman"/>
                  <w:sz w:val="17"/>
                  <w:szCs w:val="17"/>
                  <w:color w:val="0000EE"/>
                  <w:w w:val="94"/>
                </w:rPr>
                <w:t>Murray Katherine</w:t>
              </w:r>
            </w:hyperlink>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580" w:type="dxa"/>
            <w:vAlign w:val="bottom"/>
            <w:gridSpan w:val="9"/>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WESTWOOD HOLDINGS GROUP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WHG</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22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40" w:type="dxa"/>
            <w:vAlign w:val="bottom"/>
            <w:tcBorders>
              <w:bottom w:val="single" w:sz="8" w:color="0000EE"/>
            </w:tcBorders>
          </w:tcPr>
          <w:p>
            <w:pPr>
              <w:spacing w:after="0"/>
              <w:rPr>
                <w:sz w:val="4"/>
                <w:szCs w:val="4"/>
                <w:color w:val="auto"/>
              </w:rPr>
            </w:pPr>
          </w:p>
        </w:tc>
        <w:tc>
          <w:tcPr>
            <w:tcW w:w="380" w:type="dxa"/>
            <w:vAlign w:val="bottom"/>
            <w:tcBorders>
              <w:bottom w:val="single" w:sz="8" w:color="0000EE"/>
            </w:tcBorders>
          </w:tcPr>
          <w:p>
            <w:pPr>
              <w:spacing w:after="0"/>
              <w:rPr>
                <w:sz w:val="4"/>
                <w:szCs w:val="4"/>
                <w:color w:val="auto"/>
              </w:rPr>
            </w:pPr>
          </w:p>
        </w:tc>
        <w:tc>
          <w:tcPr>
            <w:tcW w:w="300" w:type="dxa"/>
            <w:vAlign w:val="bottom"/>
            <w:tcBorders>
              <w:bottom w:val="single" w:sz="8" w:color="0000EE"/>
            </w:tcBorders>
          </w:tcPr>
          <w:p>
            <w:pPr>
              <w:spacing w:after="0"/>
              <w:rPr>
                <w:sz w:val="4"/>
                <w:szCs w:val="4"/>
                <w:color w:val="auto"/>
              </w:rPr>
            </w:pPr>
          </w:p>
        </w:tc>
        <w:tc>
          <w:tcPr>
            <w:tcW w:w="54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Borders>
              <w:bottom w:val="single" w:sz="8" w:color="0000EE"/>
            </w:tcBorders>
            <w:gridSpan w:val="2"/>
            <w:vMerge w:val="continue"/>
          </w:tcPr>
          <w:p>
            <w:pPr>
              <w:spacing w:after="0"/>
              <w:rPr>
                <w:sz w:val="4"/>
                <w:szCs w:val="4"/>
                <w:color w:val="auto"/>
              </w:rPr>
            </w:pPr>
          </w:p>
        </w:tc>
        <w:tc>
          <w:tcPr>
            <w:tcW w:w="560" w:type="dxa"/>
            <w:vAlign w:val="bottom"/>
            <w:vMerge w:val="restart"/>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5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160" w:type="dxa"/>
            <w:vAlign w:val="bottom"/>
          </w:tcPr>
          <w:p>
            <w:pPr>
              <w:spacing w:after="0"/>
              <w:rPr>
                <w:sz w:val="2"/>
                <w:szCs w:val="2"/>
                <w:color w:val="auto"/>
              </w:rPr>
            </w:pPr>
          </w:p>
        </w:tc>
        <w:tc>
          <w:tcPr>
            <w:tcW w:w="560" w:type="dxa"/>
            <w:vAlign w:val="bottom"/>
            <w:vMerge w:val="restart"/>
          </w:tcPr>
          <w:p>
            <w:pPr>
              <w:ind w:left="4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6"/>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200 CRESCENT COURT</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04/30/2025</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0000FF"/>
              </w:rPr>
              <w:t>SUITE 1200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700" w:type="dxa"/>
            <w:vAlign w:val="bottom"/>
            <w:tcBorders>
              <w:bottom w:val="single" w:sz="8" w:color="2C2C2C"/>
            </w:tcBorders>
            <w:gridSpan w:val="6"/>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276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6"/>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DALLAS</w:t>
            </w:r>
          </w:p>
        </w:tc>
        <w:tc>
          <w:tcPr>
            <w:tcW w:w="160" w:type="dxa"/>
            <w:vAlign w:val="bottom"/>
          </w:tcPr>
          <w:p>
            <w:pPr>
              <w:spacing w:after="0"/>
              <w:rPr>
                <w:sz w:val="7"/>
                <w:szCs w:val="7"/>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TX</w:t>
            </w:r>
          </w:p>
        </w:tc>
        <w:tc>
          <w:tcPr>
            <w:tcW w:w="70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75201</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16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gridSpan w:val="7"/>
          </w:tcPr>
          <w:p>
            <w:pPr>
              <w:spacing w:after="0"/>
              <w:rPr>
                <w:sz w:val="8"/>
                <w:szCs w:val="8"/>
                <w:color w:val="auto"/>
              </w:rPr>
            </w:pPr>
          </w:p>
        </w:tc>
        <w:tc>
          <w:tcPr>
            <w:tcW w:w="1000" w:type="dxa"/>
            <w:vAlign w:val="bottom"/>
            <w:tcBorders>
              <w:bottom w:val="single" w:sz="8" w:color="2C2C2C"/>
            </w:tcBorders>
            <w:gridSpan w:val="3"/>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16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6"/>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6"/>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4"/>
          </w:tcPr>
          <w:p>
            <w:pPr>
              <w:ind w:left="180"/>
              <w:spacing w:after="0"/>
              <w:rPr>
                <w:sz w:val="20"/>
                <w:szCs w:val="20"/>
                <w:color w:val="auto"/>
              </w:rPr>
            </w:pPr>
            <w:r>
              <w:rPr>
                <w:rFonts w:ascii="Times New Roman" w:cs="Times New Roman" w:eastAsia="Times New Roman" w:hAnsi="Times New Roman"/>
                <w:sz w:val="13"/>
                <w:szCs w:val="13"/>
                <w:color w:val="0000FF"/>
              </w:rPr>
              <w:t>04/30/2025</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Pr>
          <w:p>
            <w:pPr>
              <w:spacing w:after="0"/>
              <w:rPr>
                <w:sz w:val="18"/>
                <w:szCs w:val="18"/>
                <w:color w:val="auto"/>
              </w:rPr>
            </w:pPr>
          </w:p>
        </w:tc>
        <w:tc>
          <w:tcPr>
            <w:tcW w:w="88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0000FF"/>
              </w:rPr>
              <w:t>5,690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0000FF"/>
              </w:rPr>
              <w:t>5,690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4"/>
          </w:tcPr>
          <w:p>
            <w:pPr>
              <w:spacing w:after="0"/>
              <w:rPr>
                <w:sz w:val="7"/>
                <w:szCs w:val="7"/>
                <w:color w:val="auto"/>
              </w:rPr>
            </w:pPr>
          </w:p>
        </w:tc>
        <w:tc>
          <w:tcPr>
            <w:tcW w:w="2800" w:type="dxa"/>
            <w:vAlign w:val="bottom"/>
            <w:tcBorders>
              <w:bottom w:val="single" w:sz="8" w:color="2C2C2C"/>
            </w:tcBorders>
            <w:gridSpan w:val="7"/>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160" w:type="dxa"/>
            <w:vAlign w:val="bottom"/>
            <w:tcBorders>
              <w:top w:val="single" w:sz="8" w:color="2C2C2C"/>
            </w:tcBorders>
          </w:tcPr>
          <w:p>
            <w:pPr>
              <w:spacing w:after="0"/>
              <w:rPr>
                <w:sz w:val="14"/>
                <w:szCs w:val="14"/>
                <w:color w:val="auto"/>
              </w:rPr>
            </w:pPr>
          </w:p>
        </w:tc>
        <w:tc>
          <w:tcPr>
            <w:tcW w:w="56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4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5"/>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5"/>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3"/>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gridSpan w:val="2"/>
          </w:tcPr>
          <w:p>
            <w:pPr>
              <w:ind w:left="16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vMerge w:val="restart"/>
          </w:tcPr>
          <w:p>
            <w:pPr>
              <w:ind w:left="4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Director grants were awarded on April 30, 2025. The director grant award agreements were fully executed by the recipients on May 13, 2025. All directors have been enrolled in EDGAR Next, the completion of which occurred on May 23, 2025.</w:t>
      </w:r>
    </w:p>
    <w:p>
      <w:pPr>
        <w:ind w:left="6620"/>
        <w:spacing w:after="0" w:line="194" w:lineRule="auto"/>
        <w:rPr>
          <w:sz w:val="20"/>
          <w:szCs w:val="20"/>
          <w:color w:val="auto"/>
        </w:rPr>
      </w:pPr>
      <w:r>
        <w:rPr>
          <w:rFonts w:ascii="Times New Roman" w:cs="Times New Roman" w:eastAsia="Times New Roman" w:hAnsi="Times New Roman"/>
          <w:sz w:val="13"/>
          <w:szCs w:val="13"/>
          <w:color w:val="0000FF"/>
        </w:rPr>
        <w:t xml:space="preserve">Jonathan Richard Nahhat by POA from </w:t>
      </w:r>
      <w:r>
        <w:rPr>
          <w:rFonts w:ascii="Times New Roman" w:cs="Times New Roman" w:eastAsia="Times New Roman" w:hAnsi="Times New Roman"/>
          <w:sz w:val="26"/>
          <w:szCs w:val="26"/>
          <w:color w:val="0000FF"/>
          <w:vertAlign w:val="subscript"/>
        </w:rPr>
        <w:t>05/14/2025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-21590</wp:posOffset>
            </wp:positionV>
            <wp:extent cx="13512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635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3"/>
          <w:szCs w:val="13"/>
          <w:color w:val="0000FF"/>
        </w:rPr>
        <w:t>Katherine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-11430</wp:posOffset>
            </wp:positionV>
            <wp:extent cx="61531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15315" cy="635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-64135</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23" w:lineRule="exact"/>
        <w:rPr>
          <w:sz w:val="20"/>
          <w:szCs w:val="20"/>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5000" w:hanging="6"/>
        <w:spacing w:after="0" w:line="324" w:lineRule="auto"/>
        <w:tabs>
          <w:tab w:leader="none" w:pos="149" w:val="left"/>
        </w:tabs>
        <w:numPr>
          <w:ilvl w:val="0"/>
          <w:numId w:val="1"/>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930744" TargetMode="External"/><Relationship Id="rId14" Type="http://schemas.openxmlformats.org/officeDocument/2006/relationships/hyperlink" Target="http://www.sec.gov/cgi-bin/browse-edgar?action=getcompany&amp;CIK=00011650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2025-05-23T15:40:01Z</dcterms:created>
  <dcterms:modified xsi:type="dcterms:W3CDTF">2025-05-23T15:40:01Z</dcterms:modified>
</cp:coreProperties>
</file>