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246"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2017</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0" w:lineRule="exact"/>
        <w:rPr>
          <w:sz w:val="24"/>
          <w:szCs w:val="24"/>
          <w:color w:val="auto"/>
        </w:rPr>
      </w:pPr>
    </w:p>
    <w:p>
      <w:pPr>
        <w:ind w:left="500" w:hanging="465"/>
        <w:spacing w:after="0"/>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9" w:lineRule="exact"/>
        <w:rPr>
          <w:sz w:val="24"/>
          <w:szCs w:val="24"/>
          <w:color w:val="auto"/>
        </w:rPr>
      </w:pPr>
    </w:p>
    <w:tbl>
      <w:tblPr>
        <w:tblLayout w:type="fixed"/>
        <w:tblInd w:w="384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Pr>
          <w:p>
            <w:pPr>
              <w:spacing w:after="0"/>
              <w:rPr>
                <w:sz w:val="17"/>
                <w:szCs w:val="17"/>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316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Commission file number 1-31234</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WESTWOOD HOLDINGS GROUP,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49"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7000" w:type="dxa"/>
            <w:vAlign w:val="bottom"/>
          </w:tcPr>
          <w:p>
            <w:pPr>
              <w:jc w:val="center"/>
              <w:ind w:right="3015"/>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2440" w:type="dxa"/>
            <w:vAlign w:val="bottom"/>
          </w:tcPr>
          <w:p>
            <w:pPr>
              <w:jc w:val="right"/>
              <w:ind w:right="594"/>
              <w:spacing w:after="0"/>
              <w:rPr>
                <w:sz w:val="20"/>
                <w:szCs w:val="20"/>
                <w:color w:val="auto"/>
              </w:rPr>
            </w:pPr>
            <w:r>
              <w:rPr>
                <w:rFonts w:ascii="Times New Roman" w:cs="Times New Roman" w:eastAsia="Times New Roman" w:hAnsi="Times New Roman"/>
                <w:sz w:val="18"/>
                <w:szCs w:val="18"/>
                <w:b w:val="1"/>
                <w:bCs w:val="1"/>
                <w:color w:val="auto"/>
              </w:rPr>
              <w:t>75-2969997</w:t>
            </w:r>
          </w:p>
        </w:tc>
      </w:tr>
      <w:tr>
        <w:trPr>
          <w:trHeight w:val="251"/>
        </w:trPr>
        <w:tc>
          <w:tcPr>
            <w:tcW w:w="7000" w:type="dxa"/>
            <w:vAlign w:val="bottom"/>
          </w:tcPr>
          <w:p>
            <w:pPr>
              <w:jc w:val="center"/>
              <w:ind w:right="3035"/>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440" w:type="dxa"/>
            <w:vAlign w:val="bottom"/>
          </w:tcPr>
          <w:p>
            <w:pPr>
              <w:jc w:val="center"/>
              <w:ind w:left="134"/>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564"/>
        </w:trPr>
        <w:tc>
          <w:tcPr>
            <w:tcW w:w="7000" w:type="dxa"/>
            <w:vAlign w:val="bottom"/>
          </w:tcPr>
          <w:p>
            <w:pPr>
              <w:jc w:val="center"/>
              <w:ind w:right="3035"/>
              <w:spacing w:after="0"/>
              <w:rPr>
                <w:sz w:val="20"/>
                <w:szCs w:val="20"/>
                <w:color w:val="auto"/>
              </w:rPr>
            </w:pPr>
            <w:r>
              <w:rPr>
                <w:rFonts w:ascii="Times New Roman" w:cs="Times New Roman" w:eastAsia="Times New Roman" w:hAnsi="Times New Roman"/>
                <w:sz w:val="18"/>
                <w:szCs w:val="18"/>
                <w:b w:val="1"/>
                <w:bCs w:val="1"/>
                <w:color w:val="auto"/>
                <w:w w:val="99"/>
              </w:rPr>
              <w:t>200 CRESCENT COURT, SUITE 1200</w:t>
            </w:r>
          </w:p>
        </w:tc>
        <w:tc>
          <w:tcPr>
            <w:tcW w:w="2440" w:type="dxa"/>
            <w:vAlign w:val="bottom"/>
          </w:tcPr>
          <w:p>
            <w:pPr>
              <w:spacing w:after="0"/>
              <w:rPr>
                <w:sz w:val="24"/>
                <w:szCs w:val="24"/>
                <w:color w:val="auto"/>
              </w:rPr>
            </w:pPr>
          </w:p>
        </w:tc>
      </w:tr>
      <w:tr>
        <w:trPr>
          <w:trHeight w:val="252"/>
        </w:trPr>
        <w:tc>
          <w:tcPr>
            <w:tcW w:w="7000" w:type="dxa"/>
            <w:vAlign w:val="bottom"/>
          </w:tcPr>
          <w:p>
            <w:pPr>
              <w:jc w:val="center"/>
              <w:ind w:right="3015"/>
              <w:spacing w:after="0"/>
              <w:rPr>
                <w:sz w:val="20"/>
                <w:szCs w:val="20"/>
                <w:color w:val="auto"/>
              </w:rPr>
            </w:pPr>
            <w:r>
              <w:rPr>
                <w:rFonts w:ascii="Times New Roman" w:cs="Times New Roman" w:eastAsia="Times New Roman" w:hAnsi="Times New Roman"/>
                <w:sz w:val="18"/>
                <w:szCs w:val="18"/>
                <w:b w:val="1"/>
                <w:bCs w:val="1"/>
                <w:color w:val="auto"/>
                <w:w w:val="99"/>
              </w:rPr>
              <w:t>DALLAS, TEXAS</w:t>
            </w:r>
          </w:p>
        </w:tc>
        <w:tc>
          <w:tcPr>
            <w:tcW w:w="2440" w:type="dxa"/>
            <w:vAlign w:val="bottom"/>
          </w:tcPr>
          <w:p>
            <w:pPr>
              <w:jc w:val="right"/>
              <w:ind w:right="794"/>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251"/>
        </w:trPr>
        <w:tc>
          <w:tcPr>
            <w:tcW w:w="7000" w:type="dxa"/>
            <w:vAlign w:val="bottom"/>
          </w:tcPr>
          <w:p>
            <w:pPr>
              <w:jc w:val="center"/>
              <w:ind w:right="3035"/>
              <w:spacing w:after="0"/>
              <w:rPr>
                <w:sz w:val="20"/>
                <w:szCs w:val="20"/>
                <w:color w:val="auto"/>
              </w:rPr>
            </w:pPr>
            <w:r>
              <w:rPr>
                <w:rFonts w:ascii="Times New Roman" w:cs="Times New Roman" w:eastAsia="Times New Roman" w:hAnsi="Times New Roman"/>
                <w:sz w:val="16"/>
                <w:szCs w:val="16"/>
                <w:color w:val="auto"/>
              </w:rPr>
              <w:t>(Address of principal executive office)</w:t>
            </w:r>
          </w:p>
        </w:tc>
        <w:tc>
          <w:tcPr>
            <w:tcW w:w="2440" w:type="dxa"/>
            <w:vAlign w:val="bottom"/>
          </w:tcPr>
          <w:p>
            <w:pPr>
              <w:jc w:val="center"/>
              <w:ind w:left="134"/>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57"/>
        </w:trPr>
        <w:tc>
          <w:tcPr>
            <w:tcW w:w="7000" w:type="dxa"/>
            <w:vAlign w:val="bottom"/>
          </w:tcPr>
          <w:p>
            <w:pPr>
              <w:jc w:val="right"/>
              <w:ind w:right="1335"/>
              <w:spacing w:after="0"/>
              <w:rPr>
                <w:sz w:val="20"/>
                <w:szCs w:val="20"/>
                <w:color w:val="auto"/>
              </w:rPr>
            </w:pPr>
            <w:r>
              <w:rPr>
                <w:rFonts w:ascii="Times New Roman" w:cs="Times New Roman" w:eastAsia="Times New Roman" w:hAnsi="Times New Roman"/>
                <w:sz w:val="16"/>
                <w:szCs w:val="16"/>
                <w:b w:val="1"/>
                <w:bCs w:val="1"/>
                <w:color w:val="auto"/>
              </w:rPr>
              <w:t>(214) 756-6900</w:t>
            </w:r>
          </w:p>
        </w:tc>
        <w:tc>
          <w:tcPr>
            <w:tcW w:w="2440" w:type="dxa"/>
            <w:vAlign w:val="bottom"/>
          </w:tcPr>
          <w:p>
            <w:pPr>
              <w:spacing w:after="0"/>
              <w:rPr>
                <w:sz w:val="24"/>
                <w:szCs w:val="24"/>
                <w:color w:val="auto"/>
              </w:rPr>
            </w:pPr>
          </w:p>
        </w:tc>
      </w:tr>
      <w:tr>
        <w:trPr>
          <w:trHeight w:val="205"/>
        </w:trPr>
        <w:tc>
          <w:tcPr>
            <w:tcW w:w="7000" w:type="dxa"/>
            <w:vAlign w:val="bottom"/>
          </w:tcPr>
          <w:p>
            <w:pPr>
              <w:jc w:val="center"/>
              <w:ind w:left="3075"/>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2440" w:type="dxa"/>
            <w:vAlign w:val="bottom"/>
          </w:tcPr>
          <w:p>
            <w:pPr>
              <w:spacing w:after="0"/>
              <w:rPr>
                <w:sz w:val="17"/>
                <w:szCs w:val="17"/>
                <w:color w:val="auto"/>
              </w:rPr>
            </w:pPr>
          </w:p>
        </w:tc>
      </w:tr>
    </w:tbl>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20" w:lineRule="exact"/>
        <w:rPr>
          <w:sz w:val="24"/>
          <w:szCs w:val="24"/>
          <w:color w:val="auto"/>
        </w:rPr>
      </w:pPr>
    </w:p>
    <w:p>
      <w:pPr>
        <w:ind w:right="180"/>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Yes x</w:t>
        <w:tab/>
        <w:t xml:space="preserve">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4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44" w:lineRule="exact"/>
        <w:rPr>
          <w:sz w:val="24"/>
          <w:szCs w:val="24"/>
          <w:color w:val="auto"/>
        </w:rPr>
      </w:pPr>
    </w:p>
    <w:p>
      <w:pPr>
        <w:jc w:val="center"/>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Yes x</w:t>
        <w:tab/>
        <w:t xml:space="preserve">No </w:t>
      </w:r>
      <w:r>
        <w:rPr>
          <w:rFonts w:ascii="MS PGothic" w:cs="MS PGothic" w:eastAsia="MS PGothic" w:hAnsi="MS PGothic"/>
          <w:sz w:val="16"/>
          <w:szCs w:val="16"/>
          <w:color w:val="auto"/>
        </w:rPr>
        <w:t>☐</w:t>
      </w:r>
    </w:p>
    <w:p>
      <w:pPr>
        <w:spacing w:after="0" w:line="85"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definition of “large accelerated filer”, “accelerated filer” and “ smaller reporting company”, and "emerging growth company" in Rule 12b-2 of the Exchange Act.</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Large accelerated filer</w:t>
            </w:r>
          </w:p>
        </w:tc>
        <w:tc>
          <w:tcPr>
            <w:tcW w:w="38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392"/>
        </w:trPr>
        <w:tc>
          <w:tcPr>
            <w:tcW w:w="1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Non-accelerated filer</w:t>
            </w:r>
          </w:p>
        </w:tc>
        <w:tc>
          <w:tcPr>
            <w:tcW w:w="3840" w:type="dxa"/>
            <w:vAlign w:val="bottom"/>
          </w:tcPr>
          <w:p>
            <w:pPr>
              <w:ind w:left="4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tc>
        <w:tc>
          <w:tcPr>
            <w:tcW w:w="5140" w:type="dxa"/>
            <w:vAlign w:val="bottom"/>
          </w:tcPr>
          <w:p>
            <w:pPr>
              <w:ind w:left="2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378"/>
        </w:trPr>
        <w:tc>
          <w:tcPr>
            <w:tcW w:w="19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5140" w:type="dxa"/>
            <w:vAlign w:val="bottom"/>
            <w:vMerge w:val="restart"/>
          </w:tcPr>
          <w:p>
            <w:pPr>
              <w:ind w:left="228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85"/>
        </w:trPr>
        <w:tc>
          <w:tcPr>
            <w:tcW w:w="19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09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360" w:type="dxa"/>
            <w:vAlign w:val="bottom"/>
            <w:vMerge w:val="restart"/>
          </w:tcPr>
          <w:p>
            <w:pPr>
              <w:ind w:left="2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28"/>
        </w:trPr>
        <w:tc>
          <w:tcPr>
            <w:tcW w:w="5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accounting standards provided pursuant to Section 13(a) of the Exchange Act.</w:t>
            </w:r>
          </w:p>
        </w:tc>
        <w:tc>
          <w:tcPr>
            <w:tcW w:w="514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7"/>
        </w:trPr>
        <w:tc>
          <w:tcPr>
            <w:tcW w:w="10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920" w:type="dxa"/>
            <w:vAlign w:val="bottom"/>
          </w:tcPr>
          <w:p>
            <w:pPr>
              <w:spacing w:after="0"/>
              <w:rPr>
                <w:sz w:val="22"/>
                <w:szCs w:val="22"/>
                <w:color w:val="auto"/>
              </w:rPr>
            </w:pPr>
          </w:p>
        </w:tc>
        <w:tc>
          <w:tcPr>
            <w:tcW w:w="3840" w:type="dxa"/>
            <w:vAlign w:val="bottom"/>
          </w:tcPr>
          <w:p>
            <w:pPr>
              <w:ind w:left="3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p>
        </w:tc>
        <w:tc>
          <w:tcPr>
            <w:tcW w:w="5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 x</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par value $0.01 per share, outstanding as of April 14, 2017: 8,888,656.</w:t>
      </w:r>
    </w:p>
    <w:p>
      <w:pPr>
        <w:spacing w:after="0" w:line="2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ectPr>
          <w:pgSz w:w="11900" w:h="16838" w:orient="portrait"/>
          <w:cols w:equalWidth="0" w:num="1">
            <w:col w:w="11420"/>
          </w:cols>
          <w:pgMar w:left="240" w:top="229" w:right="2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w:t>
            </w:r>
          </w:p>
        </w:tc>
        <w:tc>
          <w:tcPr>
            <w:tcW w:w="87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INFORMATION</w:t>
            </w:r>
          </w:p>
        </w:tc>
        <w:tc>
          <w:tcPr>
            <w:tcW w:w="1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PAGE</w:t>
            </w:r>
          </w:p>
        </w:tc>
      </w:tr>
      <w:tr>
        <w:trPr>
          <w:trHeight w:val="43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8700" w:type="dxa"/>
            <w:vAlign w:val="bottom"/>
            <w:gridSpan w:val="14"/>
          </w:tcPr>
          <w:p>
            <w:pPr>
              <w:spacing w:after="0"/>
              <w:rPr>
                <w:sz w:val="20"/>
                <w:szCs w:val="20"/>
                <w:color w:val="auto"/>
              </w:rPr>
            </w:pPr>
            <w:r>
              <w:rPr>
                <w:rFonts w:ascii="Times New Roman" w:cs="Times New Roman" w:eastAsia="Times New Roman" w:hAnsi="Times New Roman"/>
                <w:sz w:val="16"/>
                <w:szCs w:val="16"/>
                <w:color w:val="auto"/>
              </w:rPr>
              <w:t>Financial Statements</w:t>
            </w:r>
          </w:p>
        </w:tc>
        <w:tc>
          <w:tcPr>
            <w:tcW w:w="1620" w:type="dxa"/>
            <w:vAlign w:val="bottom"/>
          </w:tcPr>
          <w:p>
            <w:pPr>
              <w:spacing w:after="0"/>
              <w:rPr>
                <w:sz w:val="24"/>
                <w:szCs w:val="24"/>
                <w:color w:val="auto"/>
              </w:rPr>
            </w:pPr>
          </w:p>
        </w:tc>
      </w:tr>
      <w:tr>
        <w:trPr>
          <w:trHeight w:val="398"/>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00" w:type="dxa"/>
            <w:vAlign w:val="bottom"/>
            <w:gridSpan w:val="14"/>
          </w:tcPr>
          <w:p>
            <w:pPr>
              <w:spacing w:after="0"/>
              <w:rPr>
                <w:rFonts w:ascii="Times New Roman" w:cs="Times New Roman" w:eastAsia="Times New Roman" w:hAnsi="Times New Roman"/>
                <w:sz w:val="16"/>
                <w:szCs w:val="16"/>
                <w:color w:val="0000EE"/>
              </w:rPr>
            </w:pPr>
            <w:hyperlink w:anchor="page3">
              <w:r>
                <w:rPr>
                  <w:rFonts w:ascii="Times New Roman" w:cs="Times New Roman" w:eastAsia="Times New Roman" w:hAnsi="Times New Roman"/>
                  <w:sz w:val="16"/>
                  <w:szCs w:val="16"/>
                  <w:color w:val="0000EE"/>
                </w:rPr>
                <w:t>Condensed Consolidated Balance Sheets as of March 31, 2017 and December 31, 2016</w:t>
              </w:r>
            </w:hyperlink>
          </w:p>
        </w:tc>
        <w:tc>
          <w:tcPr>
            <w:tcW w:w="1620" w:type="dxa"/>
            <w:vAlign w:val="bottom"/>
          </w:tcPr>
          <w:p>
            <w:pPr>
              <w:jc w:val="right"/>
              <w:spacing w:after="0"/>
              <w:rPr>
                <w:rFonts w:ascii="Times New Roman" w:cs="Times New Roman" w:eastAsia="Times New Roman" w:hAnsi="Times New Roman"/>
                <w:sz w:val="16"/>
                <w:szCs w:val="16"/>
                <w:color w:val="auto"/>
              </w:rPr>
            </w:pPr>
            <w:hyperlink w:anchor="page3">
              <w:r>
                <w:rPr>
                  <w:rFonts w:ascii="Times New Roman" w:cs="Times New Roman" w:eastAsia="Times New Roman" w:hAnsi="Times New Roman"/>
                  <w:sz w:val="16"/>
                  <w:szCs w:val="16"/>
                  <w:color w:val="auto"/>
                </w:rPr>
                <w:t>1</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00" w:type="dxa"/>
            <w:vAlign w:val="bottom"/>
            <w:gridSpan w:val="14"/>
          </w:tcPr>
          <w:p>
            <w:pPr>
              <w:spacing w:after="0"/>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Condensed Consolidated Statements of Comprehensive Income for the Three Months Ended March 31, 2017 and 2016</w:t>
              </w:r>
            </w:hyperlink>
          </w:p>
        </w:tc>
        <w:tc>
          <w:tcPr>
            <w:tcW w:w="1620" w:type="dxa"/>
            <w:vAlign w:val="bottom"/>
          </w:tcPr>
          <w:p>
            <w:pPr>
              <w:jc w:val="right"/>
              <w:spacing w:after="0"/>
              <w:rPr>
                <w:rFonts w:ascii="Times New Roman" w:cs="Times New Roman" w:eastAsia="Times New Roman" w:hAnsi="Times New Roman"/>
                <w:sz w:val="16"/>
                <w:szCs w:val="16"/>
                <w:color w:val="auto"/>
              </w:rPr>
            </w:pPr>
            <w:hyperlink w:anchor="page4">
              <w:r>
                <w:rPr>
                  <w:rFonts w:ascii="Times New Roman" w:cs="Times New Roman" w:eastAsia="Times New Roman" w:hAnsi="Times New Roman"/>
                  <w:sz w:val="16"/>
                  <w:szCs w:val="16"/>
                  <w:color w:val="auto"/>
                </w:rPr>
                <w:t>2</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4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6"/>
                <w:szCs w:val="16"/>
                <w:color w:val="0000EE"/>
              </w:rPr>
            </w:pPr>
            <w:hyperlink w:anchor="page5">
              <w:r>
                <w:rPr>
                  <w:rFonts w:ascii="Times New Roman" w:cs="Times New Roman" w:eastAsia="Times New Roman" w:hAnsi="Times New Roman"/>
                  <w:sz w:val="16"/>
                  <w:szCs w:val="16"/>
                  <w:color w:val="0000EE"/>
                </w:rPr>
                <w:t>Condensed Consolidated Statement of Stockholders’ Equity for the Three Months Ended March 31, 2017</w:t>
              </w:r>
            </w:hyperlink>
          </w:p>
        </w:tc>
        <w:tc>
          <w:tcPr>
            <w:tcW w:w="860" w:type="dxa"/>
            <w:vAlign w:val="bottom"/>
            <w:tcBorders>
              <w:top w:val="single" w:sz="8" w:color="0000EE"/>
            </w:tcBorders>
            <w:gridSpan w:val="2"/>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jc w:val="right"/>
              <w:spacing w:after="0"/>
              <w:rPr>
                <w:rFonts w:ascii="Times New Roman" w:cs="Times New Roman" w:eastAsia="Times New Roman" w:hAnsi="Times New Roman"/>
                <w:sz w:val="16"/>
                <w:szCs w:val="16"/>
                <w:color w:val="auto"/>
              </w:rPr>
            </w:pPr>
            <w:hyperlink w:anchor="page5">
              <w:r>
                <w:rPr>
                  <w:rFonts w:ascii="Times New Roman" w:cs="Times New Roman" w:eastAsia="Times New Roman" w:hAnsi="Times New Roman"/>
                  <w:sz w:val="16"/>
                  <w:szCs w:val="16"/>
                  <w:color w:val="auto"/>
                </w:rPr>
                <w:t>3</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700" w:type="dxa"/>
            <w:vAlign w:val="bottom"/>
            <w:gridSpan w:val="14"/>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Condensed Consolidated Statements of Cash Flows for the Three Months Ended March 31, 2017 and 2016</w:t>
              </w:r>
            </w:hyperlink>
          </w:p>
        </w:tc>
        <w:tc>
          <w:tcPr>
            <w:tcW w:w="1620" w:type="dxa"/>
            <w:vAlign w:val="bottom"/>
          </w:tcPr>
          <w:p>
            <w:pPr>
              <w:jc w:val="right"/>
              <w:spacing w:after="0"/>
              <w:rPr>
                <w:rFonts w:ascii="Times New Roman" w:cs="Times New Roman" w:eastAsia="Times New Roman" w:hAnsi="Times New Roman"/>
                <w:sz w:val="16"/>
                <w:szCs w:val="16"/>
                <w:color w:val="auto"/>
              </w:rPr>
            </w:pPr>
            <w:hyperlink w:anchor="page6">
              <w:r>
                <w:rPr>
                  <w:rFonts w:ascii="Times New Roman" w:cs="Times New Roman" w:eastAsia="Times New Roman" w:hAnsi="Times New Roman"/>
                  <w:sz w:val="16"/>
                  <w:szCs w:val="16"/>
                  <w:color w:val="auto"/>
                </w:rPr>
                <w:t>4</w:t>
              </w:r>
            </w:hyperlink>
          </w:p>
        </w:tc>
      </w:tr>
      <w:tr>
        <w:trPr>
          <w:trHeight w:val="37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6"/>
                <w:szCs w:val="16"/>
                <w:color w:val="0000EE"/>
              </w:rPr>
            </w:pPr>
            <w:hyperlink w:anchor="page7">
              <w:r>
                <w:rPr>
                  <w:rFonts w:ascii="Times New Roman" w:cs="Times New Roman" w:eastAsia="Times New Roman" w:hAnsi="Times New Roman"/>
                  <w:sz w:val="16"/>
                  <w:szCs w:val="16"/>
                  <w:color w:val="0000EE"/>
                </w:rPr>
                <w:t>Notes to Condensed Consolidated Financial Statements</w:t>
              </w:r>
            </w:hyperlink>
          </w:p>
        </w:tc>
        <w:tc>
          <w:tcPr>
            <w:tcW w:w="3320" w:type="dxa"/>
            <w:vAlign w:val="bottom"/>
            <w:tcBorders>
              <w:top w:val="single" w:sz="8" w:color="0000EE"/>
            </w:tcBorders>
            <w:gridSpan w:val="6"/>
          </w:tcPr>
          <w:p>
            <w:pPr>
              <w:spacing w:after="0"/>
              <w:rPr>
                <w:sz w:val="24"/>
                <w:szCs w:val="24"/>
                <w:color w:val="auto"/>
              </w:rPr>
            </w:pPr>
          </w:p>
        </w:tc>
        <w:tc>
          <w:tcPr>
            <w:tcW w:w="1780" w:type="dxa"/>
            <w:vAlign w:val="bottom"/>
            <w:gridSpan w:val="2"/>
          </w:tcPr>
          <w:p>
            <w:pPr>
              <w:spacing w:after="0"/>
              <w:rPr>
                <w:sz w:val="24"/>
                <w:szCs w:val="24"/>
                <w:color w:val="auto"/>
              </w:rPr>
            </w:pPr>
          </w:p>
        </w:tc>
        <w:tc>
          <w:tcPr>
            <w:tcW w:w="1620" w:type="dxa"/>
            <w:vAlign w:val="bottom"/>
          </w:tcPr>
          <w:p>
            <w:pPr>
              <w:jc w:val="right"/>
              <w:spacing w:after="0"/>
              <w:rPr>
                <w:rFonts w:ascii="Times New Roman" w:cs="Times New Roman" w:eastAsia="Times New Roman" w:hAnsi="Times New Roman"/>
                <w:sz w:val="16"/>
                <w:szCs w:val="16"/>
                <w:color w:val="auto"/>
              </w:rPr>
            </w:pPr>
            <w:hyperlink w:anchor="page7">
              <w:r>
                <w:rPr>
                  <w:rFonts w:ascii="Times New Roman" w:cs="Times New Roman" w:eastAsia="Times New Roman" w:hAnsi="Times New Roman"/>
                  <w:sz w:val="16"/>
                  <w:szCs w:val="16"/>
                  <w:color w:val="auto"/>
                </w:rPr>
                <w:t>5</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5820" w:type="dxa"/>
            <w:vAlign w:val="bottom"/>
            <w:tcBorders>
              <w:bottom w:val="single" w:sz="8" w:color="0000EE"/>
            </w:tcBorders>
            <w:gridSpan w:val="10"/>
          </w:tcPr>
          <w:p>
            <w:pPr>
              <w:spacing w:after="0"/>
              <w:rPr>
                <w:rFonts w:ascii="Times New Roman" w:cs="Times New Roman" w:eastAsia="Times New Roman" w:hAnsi="Times New Roman"/>
                <w:sz w:val="16"/>
                <w:szCs w:val="16"/>
                <w:color w:val="0000EE"/>
              </w:rPr>
            </w:pPr>
            <w:hyperlink w:anchor="page19">
              <w:r>
                <w:rPr>
                  <w:rFonts w:ascii="Times New Roman" w:cs="Times New Roman" w:eastAsia="Times New Roman" w:hAnsi="Times New Roman"/>
                  <w:sz w:val="16"/>
                  <w:szCs w:val="16"/>
                  <w:color w:val="0000EE"/>
                </w:rPr>
                <w:t>Management’s Discussion and Analysis of Financial Condition and Results of Operations</w:t>
              </w:r>
            </w:hyperlink>
          </w:p>
        </w:tc>
        <w:tc>
          <w:tcPr>
            <w:tcW w:w="2880" w:type="dxa"/>
            <w:vAlign w:val="bottom"/>
            <w:gridSpan w:val="4"/>
          </w:tcPr>
          <w:p>
            <w:pPr>
              <w:spacing w:after="0"/>
              <w:rPr>
                <w:sz w:val="24"/>
                <w:szCs w:val="24"/>
                <w:color w:val="auto"/>
              </w:rPr>
            </w:pPr>
          </w:p>
        </w:tc>
        <w:tc>
          <w:tcPr>
            <w:tcW w:w="1620" w:type="dxa"/>
            <w:vAlign w:val="bottom"/>
          </w:tcPr>
          <w:p>
            <w:pPr>
              <w:jc w:val="right"/>
              <w:spacing w:after="0"/>
              <w:rPr>
                <w:rFonts w:ascii="Times New Roman" w:cs="Times New Roman" w:eastAsia="Times New Roman" w:hAnsi="Times New Roman"/>
                <w:sz w:val="16"/>
                <w:szCs w:val="16"/>
                <w:color w:val="auto"/>
              </w:rPr>
            </w:pPr>
            <w:hyperlink w:anchor="page19">
              <w:r>
                <w:rPr>
                  <w:rFonts w:ascii="Times New Roman" w:cs="Times New Roman" w:eastAsia="Times New Roman" w:hAnsi="Times New Roman"/>
                  <w:sz w:val="16"/>
                  <w:szCs w:val="16"/>
                  <w:color w:val="auto"/>
                </w:rPr>
                <w:t>17</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3.</w:t>
            </w:r>
          </w:p>
        </w:tc>
        <w:tc>
          <w:tcPr>
            <w:tcW w:w="8700" w:type="dxa"/>
            <w:vAlign w:val="bottom"/>
            <w:gridSpan w:val="14"/>
          </w:tcPr>
          <w:p>
            <w:pPr>
              <w:spacing w:after="0"/>
              <w:rPr>
                <w:rFonts w:ascii="Times New Roman" w:cs="Times New Roman" w:eastAsia="Times New Roman" w:hAnsi="Times New Roman"/>
                <w:sz w:val="16"/>
                <w:szCs w:val="16"/>
                <w:color w:val="0000EE"/>
              </w:rPr>
            </w:pPr>
            <w:hyperlink w:anchor="page26">
              <w:r>
                <w:rPr>
                  <w:rFonts w:ascii="Times New Roman" w:cs="Times New Roman" w:eastAsia="Times New Roman" w:hAnsi="Times New Roman"/>
                  <w:sz w:val="16"/>
                  <w:szCs w:val="16"/>
                  <w:color w:val="0000EE"/>
                </w:rPr>
                <w:t>Quantitative And Qualitative Disclosures About Market Risk</w:t>
              </w:r>
            </w:hyperlink>
          </w:p>
        </w:tc>
        <w:tc>
          <w:tcPr>
            <w:tcW w:w="1620" w:type="dxa"/>
            <w:vAlign w:val="bottom"/>
          </w:tcPr>
          <w:p>
            <w:pPr>
              <w:jc w:val="right"/>
              <w:spacing w:after="0"/>
              <w:rPr>
                <w:rFonts w:ascii="Times New Roman" w:cs="Times New Roman" w:eastAsia="Times New Roman" w:hAnsi="Times New Roman"/>
                <w:sz w:val="16"/>
                <w:szCs w:val="16"/>
                <w:color w:val="auto"/>
              </w:rPr>
            </w:pPr>
            <w:hyperlink w:anchor="page26">
              <w:r>
                <w:rPr>
                  <w:rFonts w:ascii="Times New Roman" w:cs="Times New Roman" w:eastAsia="Times New Roman" w:hAnsi="Times New Roman"/>
                  <w:sz w:val="16"/>
                  <w:szCs w:val="16"/>
                  <w:color w:val="auto"/>
                </w:rPr>
                <w:t>24</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4.</w:t>
            </w:r>
          </w:p>
        </w:tc>
        <w:tc>
          <w:tcPr>
            <w:tcW w:w="3960" w:type="dxa"/>
            <w:vAlign w:val="bottom"/>
            <w:tcBorders>
              <w:top w:val="single" w:sz="8" w:color="0000EE"/>
            </w:tcBorders>
            <w:gridSpan w:val="8"/>
          </w:tcPr>
          <w:p>
            <w:pPr>
              <w:spacing w:after="0"/>
              <w:rPr>
                <w:rFonts w:ascii="Times New Roman" w:cs="Times New Roman" w:eastAsia="Times New Roman" w:hAnsi="Times New Roman"/>
                <w:sz w:val="16"/>
                <w:szCs w:val="16"/>
                <w:color w:val="0000EE"/>
              </w:rPr>
            </w:pPr>
            <w:hyperlink w:anchor="page27">
              <w:r>
                <w:rPr>
                  <w:rFonts w:ascii="Times New Roman" w:cs="Times New Roman" w:eastAsia="Times New Roman" w:hAnsi="Times New Roman"/>
                  <w:sz w:val="16"/>
                  <w:szCs w:val="16"/>
                  <w:color w:val="0000EE"/>
                </w:rPr>
                <w:t>Controls and Procedures</w:t>
              </w:r>
            </w:hyperlink>
          </w:p>
        </w:tc>
        <w:tc>
          <w:tcPr>
            <w:tcW w:w="4740" w:type="dxa"/>
            <w:vAlign w:val="bottom"/>
            <w:gridSpan w:val="6"/>
          </w:tcPr>
          <w:p>
            <w:pPr>
              <w:spacing w:after="0"/>
              <w:rPr>
                <w:sz w:val="24"/>
                <w:szCs w:val="24"/>
                <w:color w:val="auto"/>
              </w:rPr>
            </w:pPr>
          </w:p>
        </w:tc>
        <w:tc>
          <w:tcPr>
            <w:tcW w:w="1620" w:type="dxa"/>
            <w:vAlign w:val="bottom"/>
          </w:tcPr>
          <w:p>
            <w:pPr>
              <w:jc w:val="right"/>
              <w:spacing w:after="0"/>
              <w:rPr>
                <w:rFonts w:ascii="Times New Roman" w:cs="Times New Roman" w:eastAsia="Times New Roman" w:hAnsi="Times New Roman"/>
                <w:sz w:val="16"/>
                <w:szCs w:val="16"/>
                <w:color w:val="auto"/>
              </w:rPr>
            </w:pPr>
            <w:hyperlink w:anchor="page27">
              <w:r>
                <w:rPr>
                  <w:rFonts w:ascii="Times New Roman" w:cs="Times New Roman" w:eastAsia="Times New Roman" w:hAnsi="Times New Roman"/>
                  <w:sz w:val="16"/>
                  <w:szCs w:val="16"/>
                  <w:color w:val="auto"/>
                </w:rPr>
                <w:t>25</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PART II</w:t>
            </w:r>
          </w:p>
        </w:tc>
        <w:tc>
          <w:tcPr>
            <w:tcW w:w="1700" w:type="dxa"/>
            <w:vAlign w:val="bottom"/>
            <w:tcBorders>
              <w:bottom w:val="single" w:sz="8" w:color="0000EE"/>
            </w:tcBorders>
            <w:gridSpan w:val="5"/>
          </w:tcPr>
          <w:p>
            <w:pPr>
              <w:spacing w:after="0"/>
              <w:rPr>
                <w:rFonts w:ascii="Times New Roman" w:cs="Times New Roman" w:eastAsia="Times New Roman" w:hAnsi="Times New Roman"/>
                <w:sz w:val="16"/>
                <w:szCs w:val="16"/>
                <w:color w:val="0000EE"/>
                <w:w w:val="99"/>
              </w:rPr>
            </w:pPr>
            <w:hyperlink w:anchor="page27">
              <w:r>
                <w:rPr>
                  <w:rFonts w:ascii="Times New Roman" w:cs="Times New Roman" w:eastAsia="Times New Roman" w:hAnsi="Times New Roman"/>
                  <w:sz w:val="16"/>
                  <w:szCs w:val="16"/>
                  <w:color w:val="0000EE"/>
                  <w:w w:val="99"/>
                </w:rPr>
                <w:t>OTHER INFORMATION</w:t>
              </w:r>
            </w:hyperlink>
          </w:p>
        </w:tc>
        <w:tc>
          <w:tcPr>
            <w:tcW w:w="7000" w:type="dxa"/>
            <w:vAlign w:val="bottom"/>
            <w:gridSpan w:val="9"/>
          </w:tcPr>
          <w:p>
            <w:pPr>
              <w:spacing w:after="0"/>
              <w:rPr>
                <w:sz w:val="24"/>
                <w:szCs w:val="24"/>
                <w:color w:val="auto"/>
              </w:rPr>
            </w:pPr>
          </w:p>
        </w:tc>
        <w:tc>
          <w:tcPr>
            <w:tcW w:w="1620" w:type="dxa"/>
            <w:vAlign w:val="bottom"/>
          </w:tcPr>
          <w:p>
            <w:pPr>
              <w:jc w:val="right"/>
              <w:spacing w:after="0"/>
              <w:rPr>
                <w:rFonts w:ascii="Times New Roman" w:cs="Times New Roman" w:eastAsia="Times New Roman" w:hAnsi="Times New Roman"/>
                <w:sz w:val="16"/>
                <w:szCs w:val="16"/>
                <w:color w:val="auto"/>
              </w:rPr>
            </w:pPr>
            <w:hyperlink w:anchor="page27">
              <w:r>
                <w:rPr>
                  <w:rFonts w:ascii="Times New Roman" w:cs="Times New Roman" w:eastAsia="Times New Roman" w:hAnsi="Times New Roman"/>
                  <w:sz w:val="16"/>
                  <w:szCs w:val="16"/>
                  <w:color w:val="auto"/>
                </w:rPr>
                <w:t>25</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w:t>
            </w:r>
          </w:p>
        </w:tc>
        <w:tc>
          <w:tcPr>
            <w:tcW w:w="1200" w:type="dxa"/>
            <w:vAlign w:val="bottom"/>
            <w:tcBorders>
              <w:bottom w:val="single" w:sz="8" w:color="0000EE"/>
            </w:tcBorders>
            <w:gridSpan w:val="3"/>
          </w:tcPr>
          <w:p>
            <w:pPr>
              <w:spacing w:after="0"/>
              <w:rPr>
                <w:rFonts w:ascii="Times New Roman" w:cs="Times New Roman" w:eastAsia="Times New Roman" w:hAnsi="Times New Roman"/>
                <w:sz w:val="16"/>
                <w:szCs w:val="16"/>
                <w:color w:val="0000EE"/>
                <w:w w:val="99"/>
              </w:rPr>
            </w:pPr>
            <w:hyperlink w:anchor="page27">
              <w:r>
                <w:rPr>
                  <w:rFonts w:ascii="Times New Roman" w:cs="Times New Roman" w:eastAsia="Times New Roman" w:hAnsi="Times New Roman"/>
                  <w:sz w:val="16"/>
                  <w:szCs w:val="16"/>
                  <w:color w:val="0000EE"/>
                  <w:w w:val="99"/>
                </w:rPr>
                <w:t>Legal Proceedings</w:t>
              </w:r>
            </w:hyperlink>
          </w:p>
        </w:tc>
        <w:tc>
          <w:tcPr>
            <w:tcW w:w="7500" w:type="dxa"/>
            <w:vAlign w:val="bottom"/>
            <w:gridSpan w:val="11"/>
          </w:tcPr>
          <w:p>
            <w:pPr>
              <w:spacing w:after="0"/>
              <w:rPr>
                <w:sz w:val="24"/>
                <w:szCs w:val="24"/>
                <w:color w:val="auto"/>
              </w:rPr>
            </w:pPr>
          </w:p>
        </w:tc>
        <w:tc>
          <w:tcPr>
            <w:tcW w:w="1620" w:type="dxa"/>
            <w:vAlign w:val="bottom"/>
          </w:tcPr>
          <w:p>
            <w:pPr>
              <w:jc w:val="right"/>
              <w:spacing w:after="0"/>
              <w:rPr>
                <w:rFonts w:ascii="Times New Roman" w:cs="Times New Roman" w:eastAsia="Times New Roman" w:hAnsi="Times New Roman"/>
                <w:sz w:val="16"/>
                <w:szCs w:val="16"/>
                <w:color w:val="auto"/>
              </w:rPr>
            </w:pPr>
            <w:hyperlink w:anchor="page27">
              <w:r>
                <w:rPr>
                  <w:rFonts w:ascii="Times New Roman" w:cs="Times New Roman" w:eastAsia="Times New Roman" w:hAnsi="Times New Roman"/>
                  <w:sz w:val="16"/>
                  <w:szCs w:val="16"/>
                  <w:color w:val="auto"/>
                </w:rPr>
                <w:t>25</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1A.</w:t>
            </w:r>
          </w:p>
        </w:tc>
        <w:tc>
          <w:tcPr>
            <w:tcW w:w="8700" w:type="dxa"/>
            <w:vAlign w:val="bottom"/>
            <w:gridSpan w:val="14"/>
          </w:tcPr>
          <w:p>
            <w:pPr>
              <w:spacing w:after="0"/>
              <w:rPr>
                <w:rFonts w:ascii="Times New Roman" w:cs="Times New Roman" w:eastAsia="Times New Roman" w:hAnsi="Times New Roman"/>
                <w:sz w:val="16"/>
                <w:szCs w:val="16"/>
                <w:color w:val="0000EE"/>
              </w:rPr>
            </w:pPr>
            <w:hyperlink w:anchor="page27">
              <w:r>
                <w:rPr>
                  <w:rFonts w:ascii="Times New Roman" w:cs="Times New Roman" w:eastAsia="Times New Roman" w:hAnsi="Times New Roman"/>
                  <w:sz w:val="16"/>
                  <w:szCs w:val="16"/>
                  <w:color w:val="0000EE"/>
                </w:rPr>
                <w:t>Risk Factors</w:t>
              </w:r>
            </w:hyperlink>
          </w:p>
        </w:tc>
        <w:tc>
          <w:tcPr>
            <w:tcW w:w="1620" w:type="dxa"/>
            <w:vAlign w:val="bottom"/>
          </w:tcPr>
          <w:p>
            <w:pPr>
              <w:jc w:val="right"/>
              <w:spacing w:after="0"/>
              <w:rPr>
                <w:rFonts w:ascii="Times New Roman" w:cs="Times New Roman" w:eastAsia="Times New Roman" w:hAnsi="Times New Roman"/>
                <w:sz w:val="16"/>
                <w:szCs w:val="16"/>
                <w:color w:val="auto"/>
              </w:rPr>
            </w:pPr>
            <w:hyperlink w:anchor="page27">
              <w:r>
                <w:rPr>
                  <w:rFonts w:ascii="Times New Roman" w:cs="Times New Roman" w:eastAsia="Times New Roman" w:hAnsi="Times New Roman"/>
                  <w:sz w:val="16"/>
                  <w:szCs w:val="16"/>
                  <w:color w:val="auto"/>
                </w:rPr>
                <w:t>25</w:t>
              </w:r>
            </w:hyperlink>
          </w:p>
        </w:tc>
      </w:tr>
      <w:tr>
        <w:trPr>
          <w:trHeight w:val="20"/>
        </w:trPr>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000EE"/>
            </w:tcBorders>
            <w:gridSpan w:val="7"/>
          </w:tcPr>
          <w:p>
            <w:pPr>
              <w:spacing w:after="0"/>
              <w:rPr>
                <w:rFonts w:ascii="Times New Roman" w:cs="Times New Roman" w:eastAsia="Times New Roman" w:hAnsi="Times New Roman"/>
                <w:sz w:val="16"/>
                <w:szCs w:val="16"/>
                <w:color w:val="0000EE"/>
              </w:rPr>
            </w:pPr>
            <w:hyperlink w:anchor="page28">
              <w:r>
                <w:rPr>
                  <w:rFonts w:ascii="Times New Roman" w:cs="Times New Roman" w:eastAsia="Times New Roman" w:hAnsi="Times New Roman"/>
                  <w:sz w:val="16"/>
                  <w:szCs w:val="16"/>
                  <w:color w:val="0000EE"/>
                </w:rPr>
                <w:t>Unregistered Sales of Equity Securities and Use of Proceeds</w:t>
              </w:r>
            </w:hyperlink>
          </w:p>
        </w:tc>
        <w:tc>
          <w:tcPr>
            <w:tcW w:w="4780" w:type="dxa"/>
            <w:vAlign w:val="bottom"/>
            <w:gridSpan w:val="7"/>
          </w:tcPr>
          <w:p>
            <w:pPr>
              <w:spacing w:after="0"/>
              <w:rPr>
                <w:sz w:val="24"/>
                <w:szCs w:val="24"/>
                <w:color w:val="auto"/>
              </w:rPr>
            </w:pPr>
          </w:p>
        </w:tc>
        <w:tc>
          <w:tcPr>
            <w:tcW w:w="1620" w:type="dxa"/>
            <w:vAlign w:val="bottom"/>
          </w:tcPr>
          <w:p>
            <w:pPr>
              <w:jc w:val="right"/>
              <w:spacing w:after="0"/>
              <w:rPr>
                <w:rFonts w:ascii="Times New Roman" w:cs="Times New Roman" w:eastAsia="Times New Roman" w:hAnsi="Times New Roman"/>
                <w:sz w:val="16"/>
                <w:szCs w:val="16"/>
                <w:color w:val="auto"/>
              </w:rPr>
            </w:pPr>
            <w:hyperlink w:anchor="page28">
              <w:r>
                <w:rPr>
                  <w:rFonts w:ascii="Times New Roman" w:cs="Times New Roman" w:eastAsia="Times New Roman" w:hAnsi="Times New Roman"/>
                  <w:sz w:val="16"/>
                  <w:szCs w:val="16"/>
                  <w:color w:val="auto"/>
                </w:rPr>
                <w:t>26</w:t>
              </w:r>
            </w:hyperlink>
          </w:p>
        </w:tc>
      </w:tr>
      <w:tr>
        <w:trPr>
          <w:trHeight w:val="372"/>
        </w:trPr>
        <w:tc>
          <w:tcPr>
            <w:tcW w:w="1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Item 6.</w:t>
            </w:r>
          </w:p>
        </w:tc>
        <w:tc>
          <w:tcPr>
            <w:tcW w:w="8700" w:type="dxa"/>
            <w:vAlign w:val="bottom"/>
            <w:gridSpan w:val="14"/>
          </w:tcPr>
          <w:p>
            <w:pPr>
              <w:spacing w:after="0"/>
              <w:rPr>
                <w:rFonts w:ascii="Times New Roman" w:cs="Times New Roman" w:eastAsia="Times New Roman" w:hAnsi="Times New Roman"/>
                <w:sz w:val="16"/>
                <w:szCs w:val="16"/>
                <w:color w:val="0000EE"/>
              </w:rPr>
            </w:pPr>
            <w:hyperlink w:anchor="page29">
              <w:r>
                <w:rPr>
                  <w:rFonts w:ascii="Times New Roman" w:cs="Times New Roman" w:eastAsia="Times New Roman" w:hAnsi="Times New Roman"/>
                  <w:sz w:val="16"/>
                  <w:szCs w:val="16"/>
                  <w:color w:val="0000EE"/>
                </w:rPr>
                <w:t>Exhibits</w:t>
              </w:r>
            </w:hyperlink>
          </w:p>
        </w:tc>
        <w:tc>
          <w:tcPr>
            <w:tcW w:w="1620" w:type="dxa"/>
            <w:vAlign w:val="bottom"/>
          </w:tcPr>
          <w:p>
            <w:pPr>
              <w:jc w:val="right"/>
              <w:spacing w:after="0"/>
              <w:rPr>
                <w:rFonts w:ascii="Times New Roman" w:cs="Times New Roman" w:eastAsia="Times New Roman" w:hAnsi="Times New Roman"/>
                <w:sz w:val="16"/>
                <w:szCs w:val="16"/>
                <w:color w:val="auto"/>
              </w:rPr>
            </w:pPr>
            <w:hyperlink w:anchor="page29">
              <w:r>
                <w:rPr>
                  <w:rFonts w:ascii="Times New Roman" w:cs="Times New Roman" w:eastAsia="Times New Roman" w:hAnsi="Times New Roman"/>
                  <w:sz w:val="16"/>
                  <w:szCs w:val="16"/>
                  <w:color w:val="auto"/>
                </w:rPr>
                <w:t>27</w:t>
              </w:r>
            </w:hyperlink>
          </w:p>
        </w:tc>
      </w:tr>
      <w:tr>
        <w:trPr>
          <w:trHeight w:val="358"/>
        </w:trPr>
        <w:tc>
          <w:tcPr>
            <w:tcW w:w="680" w:type="dxa"/>
            <w:vAlign w:val="bottom"/>
            <w:tcBorders>
              <w:bottom w:val="single" w:sz="8" w:color="0000EE"/>
            </w:tcBorders>
          </w:tcPr>
          <w:p>
            <w:pPr>
              <w:spacing w:after="0"/>
              <w:rPr>
                <w:rFonts w:ascii="Times New Roman" w:cs="Times New Roman" w:eastAsia="Times New Roman" w:hAnsi="Times New Roman"/>
                <w:sz w:val="16"/>
                <w:szCs w:val="16"/>
                <w:color w:val="0000EE"/>
                <w:w w:val="97"/>
              </w:rPr>
            </w:pPr>
            <w:hyperlink w:anchor="page30">
              <w:r>
                <w:rPr>
                  <w:rFonts w:ascii="Times New Roman" w:cs="Times New Roman" w:eastAsia="Times New Roman" w:hAnsi="Times New Roman"/>
                  <w:sz w:val="16"/>
                  <w:szCs w:val="16"/>
                  <w:color w:val="0000EE"/>
                  <w:w w:val="97"/>
                </w:rPr>
                <w:t>Signatures</w:t>
              </w:r>
            </w:hyperlink>
          </w:p>
        </w:tc>
        <w:tc>
          <w:tcPr>
            <w:tcW w:w="36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20" w:type="dxa"/>
            <w:vAlign w:val="bottom"/>
          </w:tcPr>
          <w:p>
            <w:pPr>
              <w:jc w:val="right"/>
              <w:spacing w:after="0"/>
              <w:rPr>
                <w:rFonts w:ascii="Times New Roman" w:cs="Times New Roman" w:eastAsia="Times New Roman" w:hAnsi="Times New Roman"/>
                <w:sz w:val="16"/>
                <w:szCs w:val="16"/>
                <w:color w:val="auto"/>
              </w:rPr>
            </w:pPr>
            <w:hyperlink w:anchor="page30">
              <w:r>
                <w:rPr>
                  <w:rFonts w:ascii="Times New Roman" w:cs="Times New Roman" w:eastAsia="Times New Roman" w:hAnsi="Times New Roman"/>
                  <w:sz w:val="16"/>
                  <w:szCs w:val="16"/>
                  <w:color w:val="auto"/>
                </w:rPr>
                <w:t>28</w:t>
              </w:r>
            </w:hyperlink>
          </w:p>
        </w:tc>
      </w:tr>
    </w:tbl>
    <w:p>
      <w:pPr>
        <w:sectPr>
          <w:pgSz w:w="11900" w:h="16838" w:orient="portrait"/>
          <w:cols w:equalWidth="0" w:num="1">
            <w:col w:w="11400"/>
          </w:cols>
          <w:pgMar w:left="240" w:top="360" w:right="25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0" w:type="dxa"/>
            <w:vAlign w:val="bottom"/>
          </w:tcPr>
          <w:p>
            <w:pPr>
              <w:spacing w:after="0"/>
              <w:rPr>
                <w:sz w:val="1"/>
                <w:szCs w:val="1"/>
                <w:color w:val="auto"/>
              </w:rPr>
            </w:pPr>
          </w:p>
        </w:tc>
      </w:tr>
      <w:tr>
        <w:trPr>
          <w:trHeight w:val="33"/>
        </w:trPr>
        <w:tc>
          <w:tcPr>
            <w:tcW w:w="8300" w:type="dxa"/>
            <w:vAlign w:val="bottom"/>
            <w:vMerge w:val="restart"/>
          </w:tcPr>
          <w:p>
            <w:pPr>
              <w:ind w:left="37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3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30,626</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33,679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25,208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23,429</w:t>
            </w: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44,786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56,485</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2,364</w:t>
            </w:r>
          </w:p>
        </w:tc>
        <w:tc>
          <w:tcPr>
            <w:tcW w:w="0" w:type="dxa"/>
            <w:vAlign w:val="bottom"/>
          </w:tcPr>
          <w:p>
            <w:pPr>
              <w:spacing w:after="0"/>
              <w:rPr>
                <w:sz w:val="1"/>
                <w:szCs w:val="1"/>
                <w:color w:val="auto"/>
              </w:rPr>
            </w:pPr>
          </w:p>
        </w:tc>
      </w:tr>
      <w:tr>
        <w:trPr>
          <w:trHeight w:val="237"/>
        </w:trPr>
        <w:tc>
          <w:tcPr>
            <w:tcW w:w="8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103,006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115,957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27,144</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10,903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20,904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21,394</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$4,834 and $4,590</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4,280</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166,104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179,678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ind w:left="21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8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2,482</w:t>
            </w:r>
          </w:p>
        </w:tc>
        <w:tc>
          <w:tcPr>
            <w:tcW w:w="100" w:type="dxa"/>
            <w:vAlign w:val="bottom"/>
          </w:tcPr>
          <w:p>
            <w:pPr>
              <w:spacing w:after="0"/>
              <w:rPr>
                <w:sz w:val="21"/>
                <w:szCs w:val="21"/>
                <w:color w:val="auto"/>
              </w:rPr>
            </w:pPr>
          </w:p>
        </w:tc>
        <w:tc>
          <w:tcPr>
            <w:tcW w:w="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6,679</w:t>
            </w: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Compensation and benefits payable</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37"/>
        </w:trPr>
        <w:tc>
          <w:tcPr>
            <w:tcW w:w="8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18,077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29,668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dividends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21,268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33,609</w:t>
            </w:r>
          </w:p>
        </w:tc>
        <w:tc>
          <w:tcPr>
            <w:tcW w:w="0" w:type="dxa"/>
            <w:vAlign w:val="bottom"/>
          </w:tcPr>
          <w:p>
            <w:pPr>
              <w:spacing w:after="0"/>
              <w:rPr>
                <w:sz w:val="1"/>
                <w:szCs w:val="1"/>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Common stock, $0.01 par value, authorized 25,000,000 shares, issued 9,989,598 and outstanding 8,888,656</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shares at March 31, 2017; issued 9,801,938 and outstanding 8,810,375 shares at December 31, 2016</w:t>
            </w: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167,928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162,730</w:t>
            </w: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Treasury stock, at cost - 1,100,942 shares at March 31, 2017; 991,563 shares at December 31, 2016</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0" w:type="dxa"/>
            <w:vAlign w:val="bottom"/>
          </w:tcPr>
          <w:p>
            <w:pPr>
              <w:spacing w:after="0"/>
              <w:rPr>
                <w:sz w:val="1"/>
                <w:szCs w:val="1"/>
                <w:color w:val="auto"/>
              </w:rPr>
            </w:pPr>
          </w:p>
        </w:tc>
      </w:tr>
      <w:tr>
        <w:trPr>
          <w:trHeight w:val="243"/>
        </w:trPr>
        <w:tc>
          <w:tcPr>
            <w:tcW w:w="8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31,881</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144,836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146,069</w:t>
            </w:r>
          </w:p>
        </w:tc>
        <w:tc>
          <w:tcPr>
            <w:tcW w:w="0" w:type="dxa"/>
            <w:vAlign w:val="bottom"/>
          </w:tcPr>
          <w:p>
            <w:pPr>
              <w:spacing w:after="0"/>
              <w:rPr>
                <w:sz w:val="1"/>
                <w:szCs w:val="1"/>
                <w:color w:val="auto"/>
              </w:rPr>
            </w:pPr>
          </w:p>
        </w:tc>
      </w:tr>
      <w:tr>
        <w:trPr>
          <w:trHeight w:val="237"/>
        </w:trPr>
        <w:tc>
          <w:tcPr>
            <w:tcW w:w="83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166,104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179,678</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60"/>
          </w:cols>
          <w:pgMar w:left="280" w:top="482" w:right="259" w:bottom="1440" w:gutter="0" w:footer="0" w:header="0"/>
        </w:sectPr>
      </w:pPr>
    </w:p>
    <w:bookmarkStart w:id="3" w:name="page4"/>
    <w:bookmarkEnd w:id="3"/>
    <w:p>
      <w:pPr>
        <w:jc w:val="center"/>
        <w:ind w:right="20"/>
        <w:spacing w:after="0" w:line="265"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CONDENSED CONSOLIDATED STATEMENTS OF COMPREHENSIVE INCOME (In thousands, except per share data and share amounts) (Unaudited)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47"/>
        </w:trPr>
        <w:tc>
          <w:tcPr>
            <w:tcW w:w="69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47"/>
        </w:trPr>
        <w:tc>
          <w:tcPr>
            <w:tcW w:w="69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Advisory fees: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Asset-based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21,815</w:t>
            </w:r>
          </w:p>
        </w:tc>
        <w:tc>
          <w:tcPr>
            <w:tcW w:w="0" w:type="dxa"/>
            <w:vAlign w:val="bottom"/>
          </w:tcPr>
          <w:p>
            <w:pPr>
              <w:spacing w:after="0"/>
              <w:rPr>
                <w:sz w:val="1"/>
                <w:szCs w:val="1"/>
                <w:color w:val="auto"/>
              </w:rPr>
            </w:pPr>
          </w:p>
        </w:tc>
      </w:tr>
      <w:tr>
        <w:trPr>
          <w:trHeight w:val="243"/>
        </w:trPr>
        <w:tc>
          <w:tcPr>
            <w:tcW w:w="69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Performance-based</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Trust fees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7,795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7,465</w:t>
            </w:r>
          </w:p>
        </w:tc>
        <w:tc>
          <w:tcPr>
            <w:tcW w:w="0" w:type="dxa"/>
            <w:vAlign w:val="bottom"/>
          </w:tcPr>
          <w:p>
            <w:pPr>
              <w:spacing w:after="0"/>
              <w:rPr>
                <w:sz w:val="1"/>
                <w:szCs w:val="1"/>
                <w:color w:val="auto"/>
              </w:rPr>
            </w:pPr>
          </w:p>
        </w:tc>
      </w:tr>
      <w:tr>
        <w:trPr>
          <w:trHeight w:val="243"/>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29,129</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17,717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16,494</w:t>
            </w:r>
          </w:p>
        </w:tc>
        <w:tc>
          <w:tcPr>
            <w:tcW w:w="0" w:type="dxa"/>
            <w:vAlign w:val="bottom"/>
          </w:tcPr>
          <w:p>
            <w:pPr>
              <w:spacing w:after="0"/>
              <w:rPr>
                <w:sz w:val="1"/>
                <w:szCs w:val="1"/>
                <w:color w:val="auto"/>
              </w:rPr>
            </w:pPr>
          </w:p>
        </w:tc>
      </w:tr>
      <w:tr>
        <w:trPr>
          <w:trHeight w:val="243"/>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Westwood mutual funds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43"/>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Information technology</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43"/>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2,355</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24,853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23,483</w:t>
            </w:r>
          </w:p>
        </w:tc>
        <w:tc>
          <w:tcPr>
            <w:tcW w:w="0" w:type="dxa"/>
            <w:vAlign w:val="bottom"/>
          </w:tcPr>
          <w:p>
            <w:pPr>
              <w:spacing w:after="0"/>
              <w:rPr>
                <w:sz w:val="1"/>
                <w:szCs w:val="1"/>
                <w:color w:val="auto"/>
              </w:rPr>
            </w:pPr>
          </w:p>
        </w:tc>
      </w:tr>
      <w:tr>
        <w:trPr>
          <w:trHeight w:val="23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5,646</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2,124</w:t>
            </w:r>
          </w:p>
        </w:tc>
        <w:tc>
          <w:tcPr>
            <w:tcW w:w="0" w:type="dxa"/>
            <w:vAlign w:val="bottom"/>
          </w:tcPr>
          <w:p>
            <w:pPr>
              <w:spacing w:after="0"/>
              <w:rPr>
                <w:sz w:val="1"/>
                <w:szCs w:val="1"/>
                <w:color w:val="auto"/>
              </w:rPr>
            </w:pPr>
          </w:p>
        </w:tc>
      </w:tr>
      <w:tr>
        <w:trPr>
          <w:trHeight w:val="237"/>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3,522</w:t>
            </w:r>
          </w:p>
        </w:tc>
        <w:tc>
          <w:tcPr>
            <w:tcW w:w="0" w:type="dxa"/>
            <w:vAlign w:val="bottom"/>
          </w:tcPr>
          <w:p>
            <w:pPr>
              <w:spacing w:after="0"/>
              <w:rPr>
                <w:sz w:val="1"/>
                <w:szCs w:val="1"/>
                <w:color w:val="auto"/>
              </w:rPr>
            </w:pPr>
          </w:p>
        </w:tc>
      </w:tr>
      <w:tr>
        <w:trPr>
          <w:trHeight w:val="67"/>
        </w:trPr>
        <w:tc>
          <w:tcPr>
            <w:tcW w:w="69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9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6,271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4,825</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43"/>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6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8,065,825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7,862,449</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8,311,382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8,047,084</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520"/>
          </w:cols>
          <w:pgMar w:left="1200" w:top="360" w:right="11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2017</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60" w:type="dxa"/>
            <w:vAlign w:val="bottom"/>
          </w:tcPr>
          <w:p>
            <w:pPr>
              <w:spacing w:after="0"/>
              <w:rPr>
                <w:sz w:val="17"/>
                <w:szCs w:val="17"/>
                <w:color w:val="auto"/>
              </w:rPr>
            </w:pPr>
          </w:p>
        </w:tc>
        <w:tc>
          <w:tcPr>
            <w:tcW w:w="23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6"/>
                <w:szCs w:val="16"/>
                <w:b w:val="1"/>
                <w:bCs w:val="1"/>
                <w:color w:val="auto"/>
              </w:rPr>
              <w:t>Common Stock, Par</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760" w:type="dxa"/>
            <w:vAlign w:val="bottom"/>
          </w:tcPr>
          <w:p>
            <w:pPr>
              <w:spacing w:after="0"/>
              <w:rPr>
                <w:sz w:val="17"/>
                <w:szCs w:val="17"/>
                <w:color w:val="auto"/>
              </w:rPr>
            </w:pPr>
          </w:p>
        </w:tc>
        <w:tc>
          <w:tcPr>
            <w:tcW w:w="234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5"/>
                <w:szCs w:val="15"/>
                <w:color w:val="auto"/>
              </w:rPr>
            </w:pPr>
          </w:p>
        </w:tc>
        <w:tc>
          <w:tcPr>
            <w:tcW w:w="96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w w:val="98"/>
              </w:rPr>
              <w:t>Treasury</w:t>
            </w:r>
          </w:p>
        </w:tc>
        <w:tc>
          <w:tcPr>
            <w:tcW w:w="200" w:type="dxa"/>
            <w:vAlign w:val="bottom"/>
          </w:tcPr>
          <w:p>
            <w:pPr>
              <w:spacing w:after="0"/>
              <w:rPr>
                <w:sz w:val="15"/>
                <w:szCs w:val="15"/>
                <w:color w:val="auto"/>
              </w:rPr>
            </w:pPr>
          </w:p>
        </w:tc>
        <w:tc>
          <w:tcPr>
            <w:tcW w:w="150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60" w:type="dxa"/>
            <w:vAlign w:val="bottom"/>
          </w:tcPr>
          <w:p>
            <w:pPr>
              <w:spacing w:after="0"/>
              <w:rPr>
                <w:sz w:val="15"/>
                <w:szCs w:val="15"/>
                <w:color w:val="auto"/>
              </w:rPr>
            </w:pPr>
          </w:p>
        </w:tc>
        <w:tc>
          <w:tcPr>
            <w:tcW w:w="96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760" w:type="dxa"/>
            <w:vAlign w:val="bottom"/>
          </w:tcPr>
          <w:p>
            <w:pPr>
              <w:spacing w:after="0"/>
              <w:rPr>
                <w:sz w:val="18"/>
                <w:szCs w:val="18"/>
                <w:color w:val="auto"/>
              </w:rPr>
            </w:pPr>
          </w:p>
        </w:tc>
        <w:tc>
          <w:tcPr>
            <w:tcW w:w="128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6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4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December 31, 2016</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8,810,375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162,730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31,881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146,069</w:t>
            </w:r>
          </w:p>
        </w:tc>
        <w:tc>
          <w:tcPr>
            <w:tcW w:w="0" w:type="dxa"/>
            <w:vAlign w:val="bottom"/>
          </w:tcPr>
          <w:p>
            <w:pPr>
              <w:spacing w:after="0"/>
              <w:rPr>
                <w:sz w:val="1"/>
                <w:szCs w:val="1"/>
                <w:color w:val="auto"/>
              </w:rPr>
            </w:pPr>
          </w:p>
        </w:tc>
      </w:tr>
      <w:tr>
        <w:trPr>
          <w:trHeight w:val="237"/>
        </w:trPr>
        <w:tc>
          <w:tcPr>
            <w:tcW w:w="2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Cumulative effect of accounting change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6,064</w:t>
            </w:r>
          </w:p>
        </w:tc>
        <w:tc>
          <w:tcPr>
            <w:tcW w:w="0" w:type="dxa"/>
            <w:vAlign w:val="bottom"/>
          </w:tcPr>
          <w:p>
            <w:pPr>
              <w:spacing w:after="0"/>
              <w:rPr>
                <w:sz w:val="1"/>
                <w:szCs w:val="1"/>
                <w:color w:val="auto"/>
              </w:rPr>
            </w:pPr>
          </w:p>
        </w:tc>
      </w:tr>
      <w:tr>
        <w:trPr>
          <w:trHeight w:val="237"/>
        </w:trPr>
        <w:tc>
          <w:tcPr>
            <w:tcW w:w="2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restricted stock, net of</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forfeitures</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187,660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Dividends declared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based compensation expense</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3,897</w:t>
            </w:r>
          </w:p>
        </w:tc>
        <w:tc>
          <w:tcPr>
            <w:tcW w:w="0" w:type="dxa"/>
            <w:vAlign w:val="bottom"/>
          </w:tcPr>
          <w:p>
            <w:pPr>
              <w:spacing w:after="0"/>
              <w:rPr>
                <w:sz w:val="1"/>
                <w:szCs w:val="1"/>
                <w:color w:val="auto"/>
              </w:rPr>
            </w:pPr>
          </w:p>
        </w:tc>
      </w:tr>
      <w:tr>
        <w:trPr>
          <w:trHeight w:val="216"/>
        </w:trPr>
        <w:tc>
          <w:tcPr>
            <w:tcW w:w="2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Reclassification of compensation</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liability to be paid in shares</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w:t>
            </w:r>
          </w:p>
        </w:tc>
        <w:tc>
          <w:tcPr>
            <w:tcW w:w="0" w:type="dxa"/>
            <w:vAlign w:val="bottom"/>
          </w:tcPr>
          <w:p>
            <w:pPr>
              <w:spacing w:after="0"/>
              <w:rPr>
                <w:sz w:val="1"/>
                <w:szCs w:val="1"/>
                <w:color w:val="auto"/>
              </w:rPr>
            </w:pPr>
          </w:p>
        </w:tc>
      </w:tr>
      <w:tr>
        <w:trPr>
          <w:trHeight w:val="33"/>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w:t>
            </w:r>
          </w:p>
        </w:tc>
        <w:tc>
          <w:tcPr>
            <w:tcW w:w="0" w:type="dxa"/>
            <w:vAlign w:val="bottom"/>
          </w:tcPr>
          <w:p>
            <w:pPr>
              <w:spacing w:after="0"/>
              <w:rPr>
                <w:sz w:val="1"/>
                <w:szCs w:val="1"/>
                <w:color w:val="auto"/>
              </w:rPr>
            </w:pPr>
          </w:p>
        </w:tc>
      </w:tr>
      <w:tr>
        <w:trPr>
          <w:trHeight w:val="216"/>
        </w:trPr>
        <w:tc>
          <w:tcPr>
            <w:tcW w:w="2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returned for payment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of taxes</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(5,189)</w:t>
            </w:r>
          </w:p>
        </w:tc>
        <w:tc>
          <w:tcPr>
            <w:tcW w:w="0" w:type="dxa"/>
            <w:vAlign w:val="bottom"/>
          </w:tcPr>
          <w:p>
            <w:pPr>
              <w:spacing w:after="0"/>
              <w:rPr>
                <w:sz w:val="1"/>
                <w:szCs w:val="1"/>
                <w:color w:val="auto"/>
              </w:rPr>
            </w:pPr>
          </w:p>
        </w:tc>
      </w:tr>
      <w:tr>
        <w:trPr>
          <w:trHeight w:val="33"/>
        </w:trPr>
        <w:tc>
          <w:tcPr>
            <w:tcW w:w="2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March 31, 2017</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8,888,656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167,928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31,756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144,836</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WESTWOOD HOLDINGS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0" w:type="dxa"/>
            <w:vAlign w:val="bottom"/>
            <w:gridSpan w:val="4"/>
          </w:tcPr>
          <w:p>
            <w:pPr>
              <w:jc w:val="right"/>
              <w:ind w:right="32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47"/>
        </w:trPr>
        <w:tc>
          <w:tcPr>
            <w:tcW w:w="83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8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ind w:right="50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47"/>
        </w:trPr>
        <w:tc>
          <w:tcPr>
            <w:tcW w:w="836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Net income</w:t>
            </w:r>
          </w:p>
        </w:tc>
        <w:tc>
          <w:tcPr>
            <w:tcW w:w="26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6,064</w:t>
            </w:r>
          </w:p>
        </w:tc>
        <w:tc>
          <w:tcPr>
            <w:tcW w:w="100" w:type="dxa"/>
            <w:vAlign w:val="bottom"/>
          </w:tcPr>
          <w:p>
            <w:pPr>
              <w:spacing w:after="0"/>
              <w:rPr>
                <w:sz w:val="18"/>
                <w:szCs w:val="18"/>
                <w:color w:val="auto"/>
              </w:rPr>
            </w:pP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3,522</w:t>
            </w:r>
          </w:p>
        </w:tc>
        <w:tc>
          <w:tcPr>
            <w:tcW w:w="0" w:type="dxa"/>
            <w:vAlign w:val="bottom"/>
          </w:tcPr>
          <w:p>
            <w:pPr>
              <w:spacing w:after="0"/>
              <w:rPr>
                <w:sz w:val="1"/>
                <w:szCs w:val="1"/>
                <w:color w:val="auto"/>
              </w:rPr>
            </w:pPr>
          </w:p>
        </w:tc>
      </w:tr>
      <w:tr>
        <w:trPr>
          <w:trHeight w:val="58"/>
        </w:trPr>
        <w:tc>
          <w:tcPr>
            <w:tcW w:w="83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Depreciation</w:t>
            </w:r>
          </w:p>
        </w:tc>
        <w:tc>
          <w:tcPr>
            <w:tcW w:w="2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258</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Amortization of intangible assets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490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490</w:t>
            </w: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Unrealized gains on trading investments</w:t>
            </w:r>
          </w:p>
        </w:tc>
        <w:tc>
          <w:tcPr>
            <w:tcW w:w="260" w:type="dxa"/>
            <w:vAlign w:val="bottom"/>
          </w:tcPr>
          <w:p>
            <w:pPr>
              <w:spacing w:after="0"/>
              <w:rPr>
                <w:sz w:val="23"/>
                <w:szCs w:val="2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(303)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(248)</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Stock based compensation expense</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3,897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4,003</w:t>
            </w: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Deferred income taxes</w:t>
            </w:r>
          </w:p>
        </w:tc>
        <w:tc>
          <w:tcPr>
            <w:tcW w:w="2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Excess tax benefits from stock based compensation</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Other</w:t>
            </w:r>
          </w:p>
        </w:tc>
        <w:tc>
          <w:tcPr>
            <w:tcW w:w="260" w:type="dxa"/>
            <w:vAlign w:val="bottom"/>
          </w:tcPr>
          <w:p>
            <w:pPr>
              <w:spacing w:after="0"/>
              <w:rPr>
                <w:sz w:val="23"/>
                <w:szCs w:val="2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288</w:t>
            </w:r>
          </w:p>
        </w:tc>
        <w:tc>
          <w:tcPr>
            <w:tcW w:w="0" w:type="dxa"/>
            <w:vAlign w:val="bottom"/>
          </w:tcPr>
          <w:p>
            <w:pPr>
              <w:spacing w:after="0"/>
              <w:rPr>
                <w:sz w:val="1"/>
                <w:szCs w:val="1"/>
                <w:color w:val="auto"/>
              </w:rPr>
            </w:pPr>
          </w:p>
        </w:tc>
      </w:tr>
      <w:tr>
        <w:trPr>
          <w:trHeight w:val="254"/>
        </w:trPr>
        <w:tc>
          <w:tcPr>
            <w:tcW w:w="83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Change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Net sales of investments - trading securities</w:t>
            </w:r>
          </w:p>
        </w:tc>
        <w:tc>
          <w:tcPr>
            <w:tcW w:w="260" w:type="dxa"/>
            <w:vAlign w:val="bottom"/>
          </w:tcPr>
          <w:p>
            <w:pPr>
              <w:spacing w:after="0"/>
              <w:rPr>
                <w:sz w:val="23"/>
                <w:szCs w:val="23"/>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12,002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27,813</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receivable</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(1,721)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(5,675)</w:t>
            </w: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Other current assets</w:t>
            </w:r>
          </w:p>
        </w:tc>
        <w:tc>
          <w:tcPr>
            <w:tcW w:w="260" w:type="dxa"/>
            <w:vAlign w:val="bottom"/>
          </w:tcPr>
          <w:p>
            <w:pPr>
              <w:spacing w:after="0"/>
              <w:rPr>
                <w:sz w:val="23"/>
                <w:szCs w:val="2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675</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374</w:t>
            </w:r>
          </w:p>
        </w:tc>
        <w:tc>
          <w:tcPr>
            <w:tcW w:w="0" w:type="dxa"/>
            <w:vAlign w:val="bottom"/>
          </w:tcPr>
          <w:p>
            <w:pPr>
              <w:spacing w:after="0"/>
              <w:rPr>
                <w:sz w:val="1"/>
                <w:szCs w:val="1"/>
                <w:color w:val="auto"/>
              </w:rPr>
            </w:pPr>
          </w:p>
        </w:tc>
      </w:tr>
      <w:tr>
        <w:trPr>
          <w:trHeight w:val="266"/>
        </w:trPr>
        <w:tc>
          <w:tcPr>
            <w:tcW w:w="836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Compensation and benefits payable</w:t>
            </w:r>
          </w:p>
        </w:tc>
        <w:tc>
          <w:tcPr>
            <w:tcW w:w="260" w:type="dxa"/>
            <w:vAlign w:val="bottom"/>
          </w:tcPr>
          <w:p>
            <w:pPr>
              <w:spacing w:after="0"/>
              <w:rPr>
                <w:sz w:val="23"/>
                <w:szCs w:val="2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(11,394)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(15,749)</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5"/>
                <w:szCs w:val="15"/>
                <w:color w:val="auto"/>
              </w:rPr>
              <w:t>Income taxes payable</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859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1,666</w:t>
            </w:r>
          </w:p>
        </w:tc>
        <w:tc>
          <w:tcPr>
            <w:tcW w:w="0" w:type="dxa"/>
            <w:vAlign w:val="bottom"/>
          </w:tcPr>
          <w:p>
            <w:pPr>
              <w:spacing w:after="0"/>
              <w:rPr>
                <w:sz w:val="1"/>
                <w:szCs w:val="1"/>
                <w:color w:val="auto"/>
              </w:rPr>
            </w:pPr>
          </w:p>
        </w:tc>
      </w:tr>
      <w:tr>
        <w:trPr>
          <w:trHeight w:val="266"/>
        </w:trPr>
        <w:tc>
          <w:tcPr>
            <w:tcW w:w="83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5"/>
                <w:szCs w:val="15"/>
                <w:color w:val="auto"/>
              </w:rPr>
              <w:t>Other liabilities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(33)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254"/>
        </w:trPr>
        <w:tc>
          <w:tcPr>
            <w:tcW w:w="8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9,941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17,225</w:t>
            </w:r>
          </w:p>
        </w:tc>
        <w:tc>
          <w:tcPr>
            <w:tcW w:w="0" w:type="dxa"/>
            <w:vAlign w:val="bottom"/>
          </w:tcPr>
          <w:p>
            <w:pPr>
              <w:spacing w:after="0"/>
              <w:rPr>
                <w:sz w:val="1"/>
                <w:szCs w:val="1"/>
                <w:color w:val="auto"/>
              </w:rPr>
            </w:pPr>
          </w:p>
        </w:tc>
      </w:tr>
      <w:tr>
        <w:trPr>
          <w:trHeight w:val="215"/>
        </w:trPr>
        <w:tc>
          <w:tcPr>
            <w:tcW w:w="83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
        </w:trPr>
        <w:tc>
          <w:tcPr>
            <w:tcW w:w="8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260" w:type="dxa"/>
            <w:vAlign w:val="bottom"/>
            <w:shd w:val="clear" w:color="auto" w:fill="CCEEFF"/>
          </w:tcPr>
          <w:p>
            <w:pPr>
              <w:spacing w:after="0"/>
              <w:rPr>
                <w:sz w:val="18"/>
                <w:szCs w:val="18"/>
                <w:color w:val="auto"/>
              </w:rPr>
            </w:pPr>
          </w:p>
        </w:tc>
        <w:tc>
          <w:tcPr>
            <w:tcW w:w="12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0" w:type="dxa"/>
            <w:vAlign w:val="bottom"/>
          </w:tcPr>
          <w:p>
            <w:pPr>
              <w:spacing w:after="0"/>
              <w:rPr>
                <w:sz w:val="1"/>
                <w:szCs w:val="1"/>
                <w:color w:val="auto"/>
              </w:rPr>
            </w:pPr>
          </w:p>
        </w:tc>
      </w:tr>
      <w:tr>
        <w:trPr>
          <w:trHeight w:val="62"/>
        </w:trPr>
        <w:tc>
          <w:tcPr>
            <w:tcW w:w="836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2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tcBorders>
              <w:bottom w:val="single" w:sz="8" w:color="auto"/>
            </w:tcBorders>
            <w:shd w:val="clear" w:color="auto" w:fill="CCEEFF"/>
          </w:tcPr>
          <w:p>
            <w:pPr>
              <w:spacing w:after="0"/>
              <w:rPr>
                <w:sz w:val="5"/>
                <w:szCs w:val="5"/>
                <w:color w:val="auto"/>
              </w:rPr>
            </w:pPr>
          </w:p>
        </w:tc>
        <w:tc>
          <w:tcPr>
            <w:tcW w:w="11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836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60" w:type="dxa"/>
            <w:vAlign w:val="bottom"/>
          </w:tcPr>
          <w:p>
            <w:pPr>
              <w:spacing w:after="0"/>
              <w:rPr>
                <w:sz w:val="16"/>
                <w:szCs w:val="16"/>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rPr>
              <w:t>(150)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(378)</w:t>
            </w:r>
          </w:p>
        </w:tc>
        <w:tc>
          <w:tcPr>
            <w:tcW w:w="0" w:type="dxa"/>
            <w:vAlign w:val="bottom"/>
          </w:tcPr>
          <w:p>
            <w:pPr>
              <w:spacing w:after="0"/>
              <w:rPr>
                <w:sz w:val="1"/>
                <w:szCs w:val="1"/>
                <w:color w:val="auto"/>
              </w:rPr>
            </w:pPr>
          </w:p>
        </w:tc>
      </w:tr>
      <w:tr>
        <w:trPr>
          <w:trHeight w:val="58"/>
        </w:trPr>
        <w:tc>
          <w:tcPr>
            <w:tcW w:w="8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8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Purchases of treasury stock</w:t>
            </w:r>
          </w:p>
        </w:tc>
        <w:tc>
          <w:tcPr>
            <w:tcW w:w="2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(4,411)</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Purchase of treasury stock under employee stock plans</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(1,326)</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(614)</w:t>
            </w:r>
          </w:p>
        </w:tc>
        <w:tc>
          <w:tcPr>
            <w:tcW w:w="0" w:type="dxa"/>
            <w:vAlign w:val="bottom"/>
          </w:tcPr>
          <w:p>
            <w:pPr>
              <w:spacing w:after="0"/>
              <w:rPr>
                <w:sz w:val="1"/>
                <w:szCs w:val="1"/>
                <w:color w:val="auto"/>
              </w:rPr>
            </w:pPr>
          </w:p>
        </w:tc>
      </w:tr>
      <w:tr>
        <w:trPr>
          <w:trHeight w:val="266"/>
        </w:trPr>
        <w:tc>
          <w:tcPr>
            <w:tcW w:w="83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Restricted stock returned for payment of taxes</w:t>
            </w:r>
          </w:p>
        </w:tc>
        <w:tc>
          <w:tcPr>
            <w:tcW w:w="260" w:type="dxa"/>
            <w:vAlign w:val="bottom"/>
          </w:tcPr>
          <w:p>
            <w:pPr>
              <w:spacing w:after="0"/>
              <w:rPr>
                <w:sz w:val="23"/>
                <w:szCs w:val="2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(5,189)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(3,696)</w:t>
            </w:r>
          </w:p>
        </w:tc>
        <w:tc>
          <w:tcPr>
            <w:tcW w:w="0" w:type="dxa"/>
            <w:vAlign w:val="bottom"/>
          </w:tcPr>
          <w:p>
            <w:pPr>
              <w:spacing w:after="0"/>
              <w:rPr>
                <w:sz w:val="1"/>
                <w:szCs w:val="1"/>
                <w:color w:val="auto"/>
              </w:rPr>
            </w:pPr>
          </w:p>
        </w:tc>
      </w:tr>
      <w:tr>
        <w:trPr>
          <w:trHeight w:val="274"/>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Excess tax benefits from stock based compensation</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266"/>
        </w:trPr>
        <w:tc>
          <w:tcPr>
            <w:tcW w:w="8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5"/>
                <w:szCs w:val="15"/>
                <w:color w:val="auto"/>
              </w:rPr>
              <w:t>Cash dividends paid</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rPr>
              <w:t>(6,564)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(5,724)</w:t>
            </w:r>
          </w:p>
        </w:tc>
        <w:tc>
          <w:tcPr>
            <w:tcW w:w="0" w:type="dxa"/>
            <w:vAlign w:val="bottom"/>
          </w:tcPr>
          <w:p>
            <w:pPr>
              <w:spacing w:after="0"/>
              <w:rPr>
                <w:sz w:val="1"/>
                <w:szCs w:val="1"/>
                <w:color w:val="auto"/>
              </w:rPr>
            </w:pPr>
          </w:p>
        </w:tc>
      </w:tr>
      <w:tr>
        <w:trPr>
          <w:trHeight w:val="254"/>
        </w:trPr>
        <w:tc>
          <w:tcPr>
            <w:tcW w:w="83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(13,079)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(14,280)</w:t>
            </w:r>
          </w:p>
        </w:tc>
        <w:tc>
          <w:tcPr>
            <w:tcW w:w="0" w:type="dxa"/>
            <w:vAlign w:val="bottom"/>
          </w:tcPr>
          <w:p>
            <w:pPr>
              <w:spacing w:after="0"/>
              <w:rPr>
                <w:sz w:val="1"/>
                <w:szCs w:val="1"/>
                <w:color w:val="auto"/>
              </w:rPr>
            </w:pPr>
          </w:p>
        </w:tc>
      </w:tr>
      <w:tr>
        <w:trPr>
          <w:trHeight w:val="246"/>
        </w:trPr>
        <w:tc>
          <w:tcPr>
            <w:tcW w:w="83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5"/>
                <w:szCs w:val="15"/>
                <w:color w:val="auto"/>
              </w:rPr>
              <w:t>Effect of currency rate changes on cash</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235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color w:val="auto"/>
              </w:rPr>
              <w:t>1,118</w:t>
            </w:r>
          </w:p>
        </w:tc>
        <w:tc>
          <w:tcPr>
            <w:tcW w:w="0" w:type="dxa"/>
            <w:vAlign w:val="bottom"/>
          </w:tcPr>
          <w:p>
            <w:pPr>
              <w:spacing w:after="0"/>
              <w:rPr>
                <w:sz w:val="1"/>
                <w:szCs w:val="1"/>
                <w:color w:val="auto"/>
              </w:rPr>
            </w:pPr>
          </w:p>
        </w:tc>
      </w:tr>
      <w:tr>
        <w:trPr>
          <w:trHeight w:val="254"/>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b w:val="1"/>
                <w:bCs w:val="1"/>
                <w:color w:val="auto"/>
              </w:rPr>
              <w:t>Net Change in Cash and Cash Equivalents</w:t>
            </w: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3,685</w:t>
            </w:r>
          </w:p>
        </w:tc>
        <w:tc>
          <w:tcPr>
            <w:tcW w:w="0" w:type="dxa"/>
            <w:vAlign w:val="bottom"/>
          </w:tcPr>
          <w:p>
            <w:pPr>
              <w:spacing w:after="0"/>
              <w:rPr>
                <w:sz w:val="1"/>
                <w:szCs w:val="1"/>
                <w:color w:val="auto"/>
              </w:rPr>
            </w:pPr>
          </w:p>
        </w:tc>
      </w:tr>
      <w:tr>
        <w:trPr>
          <w:trHeight w:val="208"/>
        </w:trPr>
        <w:tc>
          <w:tcPr>
            <w:tcW w:w="83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60" w:type="dxa"/>
            <w:vAlign w:val="bottom"/>
          </w:tcPr>
          <w:p>
            <w:pPr>
              <w:spacing w:after="0"/>
              <w:rPr>
                <w:sz w:val="18"/>
                <w:szCs w:val="18"/>
                <w:color w:val="auto"/>
              </w:rPr>
            </w:pP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33,679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22,740</w:t>
            </w:r>
          </w:p>
        </w:tc>
        <w:tc>
          <w:tcPr>
            <w:tcW w:w="0" w:type="dxa"/>
            <w:vAlign w:val="bottom"/>
          </w:tcPr>
          <w:p>
            <w:pPr>
              <w:spacing w:after="0"/>
              <w:rPr>
                <w:sz w:val="1"/>
                <w:szCs w:val="1"/>
                <w:color w:val="auto"/>
              </w:rPr>
            </w:pPr>
          </w:p>
        </w:tc>
      </w:tr>
      <w:tr>
        <w:trPr>
          <w:trHeight w:val="58"/>
        </w:trPr>
        <w:tc>
          <w:tcPr>
            <w:tcW w:w="83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30,626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26,425</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8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5"/>
                <w:szCs w:val="15"/>
                <w:color w:val="auto"/>
              </w:rPr>
              <w:t>Supplemental cash flow information:</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83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Cash paid during the period for income taxes</w:t>
            </w:r>
          </w:p>
        </w:tc>
        <w:tc>
          <w:tcPr>
            <w:tcW w:w="26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vMerge w:val="restart"/>
          </w:tcPr>
          <w:p>
            <w:pPr>
              <w:jc w:val="right"/>
              <w:ind w:right="43"/>
              <w:spacing w:after="0"/>
              <w:rPr>
                <w:sz w:val="20"/>
                <w:szCs w:val="20"/>
                <w:color w:val="auto"/>
              </w:rPr>
            </w:pPr>
            <w:r>
              <w:rPr>
                <w:rFonts w:ascii="Times New Roman" w:cs="Times New Roman" w:eastAsia="Times New Roman" w:hAnsi="Times New Roman"/>
                <w:sz w:val="15"/>
                <w:szCs w:val="15"/>
                <w:color w:val="auto"/>
              </w:rPr>
              <w:t>828</w:t>
            </w:r>
          </w:p>
        </w:tc>
        <w:tc>
          <w:tcPr>
            <w:tcW w:w="100" w:type="dxa"/>
            <w:vAlign w:val="bottom"/>
          </w:tcPr>
          <w:p>
            <w:pPr>
              <w:spacing w:after="0"/>
              <w:rPr>
                <w:sz w:val="18"/>
                <w:szCs w:val="18"/>
                <w:color w:val="auto"/>
              </w:rPr>
            </w:pP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541</w:t>
            </w:r>
          </w:p>
        </w:tc>
        <w:tc>
          <w:tcPr>
            <w:tcW w:w="0" w:type="dxa"/>
            <w:vAlign w:val="bottom"/>
          </w:tcPr>
          <w:p>
            <w:pPr>
              <w:spacing w:after="0"/>
              <w:rPr>
                <w:sz w:val="1"/>
                <w:szCs w:val="1"/>
                <w:color w:val="auto"/>
              </w:rPr>
            </w:pPr>
          </w:p>
        </w:tc>
      </w:tr>
      <w:tr>
        <w:trPr>
          <w:trHeight w:val="58"/>
        </w:trPr>
        <w:tc>
          <w:tcPr>
            <w:tcW w:w="83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Accrued dividends</w:t>
            </w: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vMerge w:val="restart"/>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color w:val="auto"/>
              </w:rPr>
              <w:t>7,358</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6,714</w:t>
            </w:r>
          </w:p>
        </w:tc>
        <w:tc>
          <w:tcPr>
            <w:tcW w:w="0" w:type="dxa"/>
            <w:vAlign w:val="bottom"/>
          </w:tcPr>
          <w:p>
            <w:pPr>
              <w:spacing w:after="0"/>
              <w:rPr>
                <w:sz w:val="1"/>
                <w:szCs w:val="1"/>
                <w:color w:val="auto"/>
              </w:rPr>
            </w:pPr>
          </w:p>
        </w:tc>
      </w:tr>
      <w:tr>
        <w:trPr>
          <w:trHeight w:val="62"/>
        </w:trPr>
        <w:tc>
          <w:tcPr>
            <w:tcW w:w="836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83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Accrued purchase of property and equipment</w:t>
            </w:r>
          </w:p>
        </w:tc>
        <w:tc>
          <w:tcPr>
            <w:tcW w:w="260" w:type="dxa"/>
            <w:vAlign w:val="bottom"/>
            <w:vMerge w:val="restart"/>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vMerge w:val="restart"/>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tcPr>
          <w:p>
            <w:pPr>
              <w:jc w:val="right"/>
              <w:ind w:right="23"/>
              <w:spacing w:after="0"/>
              <w:rPr>
                <w:sz w:val="20"/>
                <w:szCs w:val="20"/>
                <w:color w:val="auto"/>
              </w:rPr>
            </w:pPr>
            <w:r>
              <w:rPr>
                <w:rFonts w:ascii="Times New Roman" w:cs="Times New Roman" w:eastAsia="Times New Roman" w:hAnsi="Times New Roman"/>
                <w:sz w:val="15"/>
                <w:szCs w:val="15"/>
                <w:color w:val="auto"/>
              </w:rPr>
              <w:t>832</w:t>
            </w:r>
          </w:p>
        </w:tc>
        <w:tc>
          <w:tcPr>
            <w:tcW w:w="0" w:type="dxa"/>
            <w:vAlign w:val="bottom"/>
          </w:tcPr>
          <w:p>
            <w:pPr>
              <w:spacing w:after="0"/>
              <w:rPr>
                <w:sz w:val="1"/>
                <w:szCs w:val="1"/>
                <w:color w:val="auto"/>
              </w:rPr>
            </w:pPr>
          </w:p>
        </w:tc>
      </w:tr>
      <w:tr>
        <w:trPr>
          <w:trHeight w:val="58"/>
        </w:trPr>
        <w:tc>
          <w:tcPr>
            <w:tcW w:w="83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8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Tenant allowance included in property and equipment</w:t>
            </w:r>
          </w:p>
        </w:tc>
        <w:tc>
          <w:tcPr>
            <w:tcW w:w="260" w:type="dxa"/>
            <w:vAlign w:val="bottom"/>
            <w:vMerge w:val="restart"/>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vMerge w:val="restart"/>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1,128</w:t>
            </w:r>
          </w:p>
        </w:tc>
        <w:tc>
          <w:tcPr>
            <w:tcW w:w="0" w:type="dxa"/>
            <w:vAlign w:val="bottom"/>
          </w:tcPr>
          <w:p>
            <w:pPr>
              <w:spacing w:after="0"/>
              <w:rPr>
                <w:sz w:val="1"/>
                <w:szCs w:val="1"/>
                <w:color w:val="auto"/>
              </w:rPr>
            </w:pPr>
          </w:p>
        </w:tc>
      </w:tr>
      <w:tr>
        <w:trPr>
          <w:trHeight w:val="62"/>
        </w:trPr>
        <w:tc>
          <w:tcPr>
            <w:tcW w:w="836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340" w:type="dxa"/>
            <w:vAlign w:val="bottom"/>
            <w:gridSpan w:val="2"/>
            <w:vMerge w:val="continue"/>
            <w:shd w:val="clear" w:color="auto" w:fill="CCEEFF"/>
          </w:tcPr>
          <w:p>
            <w:pPr>
              <w:spacing w:after="0"/>
              <w:rPr>
                <w:sz w:val="5"/>
                <w:szCs w:val="5"/>
                <w:color w:val="auto"/>
              </w:rPr>
            </w:pPr>
          </w:p>
        </w:tc>
        <w:tc>
          <w:tcPr>
            <w:tcW w:w="340" w:type="dxa"/>
            <w:vAlign w:val="bottom"/>
            <w:vMerge w:val="continue"/>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6" w:name="page7"/>
    <w:bookmarkEnd w:id="6"/>
    <w:p>
      <w:pPr>
        <w:jc w:val="center"/>
        <w:ind w:left="300" w:right="270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(Unaudited)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175" w:lineRule="exact"/>
        <w:rPr>
          <w:sz w:val="20"/>
          <w:szCs w:val="20"/>
          <w:color w:val="auto"/>
        </w:rPr>
      </w:pPr>
    </w:p>
    <w:p>
      <w:pPr>
        <w:ind w:right="260" w:firstLine="500"/>
        <w:spacing w:after="0" w:line="277" w:lineRule="auto"/>
        <w:rPr>
          <w:sz w:val="20"/>
          <w:szCs w:val="20"/>
          <w:color w:val="auto"/>
        </w:rPr>
      </w:pPr>
      <w:r>
        <w:rPr>
          <w:rFonts w:ascii="Times New Roman" w:cs="Times New Roman" w:eastAsia="Times New Roman" w:hAnsi="Times New Roman"/>
          <w:sz w:val="17"/>
          <w:szCs w:val="17"/>
          <w:color w:val="auto"/>
        </w:rPr>
        <w:t>Westwood Holdings Group, Inc. (“Westwood”, the “Company”, “we”, “us” or “our”) was incorporated under the laws of the State of Delaware on December 12, 2001. Westwood provides investment management services to institutional investors, private wealth clients and financial intermediaries through its subsidiaries, Westwood Management Corp. and Westwood Advisors, LLC (together “Westwood Management”), Westwood Trust (“Westwood Trust”), and Westwood International Advisors Inc. (“Westwood International”). Revenue is largely dependent on the total value and composition of assets under management (“AUM”). Accordingly, fluctuations in financial markets and in the composition of AUM impact revenues and results of operations.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ind w:firstLine="500"/>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Securities and Exchange Commission (“SEC”).</w:t>
      </w:r>
    </w:p>
    <w:p>
      <w:pPr>
        <w:spacing w:after="0" w:line="80" w:lineRule="exact"/>
        <w:rPr>
          <w:sz w:val="20"/>
          <w:szCs w:val="20"/>
          <w:color w:val="auto"/>
        </w:rPr>
      </w:pPr>
    </w:p>
    <w:p>
      <w:pPr>
        <w:ind w:right="120" w:firstLine="500"/>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2016. Operating results for the periods in these condensed consolidated financial statements are not necessarily indicative of the results for any future period. The accompanying condensed consolidated financial statements include the accounts of Westwood and its subsidiaries. All intercompany accounts and transactions have been eliminated upon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w:t>
      </w:r>
    </w:p>
    <w:p>
      <w:pPr>
        <w:spacing w:after="0" w:line="171" w:lineRule="exact"/>
        <w:rPr>
          <w:sz w:val="20"/>
          <w:szCs w:val="20"/>
          <w:color w:val="auto"/>
        </w:rPr>
      </w:pPr>
    </w:p>
    <w:p>
      <w:pPr>
        <w:ind w:firstLine="972"/>
        <w:spacing w:after="0" w:line="254" w:lineRule="auto"/>
        <w:rPr>
          <w:sz w:val="20"/>
          <w:szCs w:val="20"/>
          <w:color w:val="auto"/>
        </w:rPr>
      </w:pPr>
      <w:r>
        <w:rPr>
          <w:rFonts w:ascii="Times New Roman" w:cs="Times New Roman" w:eastAsia="Times New Roman" w:hAnsi="Times New Roman"/>
          <w:sz w:val="18"/>
          <w:szCs w:val="18"/>
          <w:color w:val="auto"/>
        </w:rPr>
        <w:t xml:space="preserve">In March 2016, the Financial Accounting Standards Board ("FASB") issued Accounting Standards Update (ASU) 2016-09,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 Compensation: Improvements to Employee Share-Based Payment Accounting. </w:t>
      </w:r>
      <w:r>
        <w:rPr>
          <w:rFonts w:ascii="Times New Roman" w:cs="Times New Roman" w:eastAsia="Times New Roman" w:hAnsi="Times New Roman"/>
          <w:sz w:val="18"/>
          <w:szCs w:val="18"/>
          <w:color w:val="auto"/>
        </w:rPr>
        <w:t>The purpose of the amendment is to simplify the accounting for share-based payment transactions, and includes changes to the accounting for the classification of awards as either equity or liabilities, classification of certain share-based payment items on the statement of cash flows, the accounting for forfeitures and certain income tax consequences. The amendment is effective for annual periods beginning after December 15, 2016, and interim periods within those annual periods. Amendments related to the presentation of employee taxes paid on the statement of cash flows should be applied retrospectively. The amendment related to forfeitures, where an entity may account for forfeitures as they occur, should be applied retrospectively by means of a cumulative-effect adjustment to equity at the beginning of the period in which the guidance is adopted. Amendments requiring recognition of excess tax benefits and tax deficiencies in the income statement and the practical expedient for estimating expected term should be applied prospectively. An entity may elect to apply the amendments related to the presentation of tax benefits on the statement of cash flows using either a prospective or retrospective transition method.</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60"/>
          </w:cols>
          <w:pgMar w:left="240" w:top="360" w:right="299" w:bottom="1440" w:gutter="0" w:footer="0" w:header="0"/>
        </w:sectPr>
      </w:pPr>
    </w:p>
    <w:bookmarkStart w:id="7" w:name="page8"/>
    <w:bookmarkEnd w:id="7"/>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8" w:lineRule="exact"/>
        <w:rPr>
          <w:sz w:val="20"/>
          <w:szCs w:val="20"/>
          <w:color w:val="auto"/>
        </w:rPr>
      </w:pPr>
    </w:p>
    <w:p>
      <w:pPr>
        <w:ind w:right="460" w:firstLine="972"/>
        <w:spacing w:after="0" w:line="282" w:lineRule="auto"/>
        <w:rPr>
          <w:sz w:val="20"/>
          <w:szCs w:val="20"/>
          <w:color w:val="auto"/>
        </w:rPr>
      </w:pPr>
      <w:r>
        <w:rPr>
          <w:rFonts w:ascii="Times New Roman" w:cs="Times New Roman" w:eastAsia="Times New Roman" w:hAnsi="Times New Roman"/>
          <w:sz w:val="18"/>
          <w:szCs w:val="18"/>
          <w:color w:val="auto"/>
        </w:rPr>
        <w:t>We adopted ASU 2016-09 effective January 1, 2017. The following summarizes the effects of the adoption on our condensed consolidated financial statements:</w:t>
      </w:r>
    </w:p>
    <w:p>
      <w:pPr>
        <w:spacing w:after="0" w:line="108" w:lineRule="exact"/>
        <w:rPr>
          <w:sz w:val="20"/>
          <w:szCs w:val="20"/>
          <w:color w:val="auto"/>
        </w:rPr>
      </w:pPr>
    </w:p>
    <w:p>
      <w:pPr>
        <w:ind w:left="980" w:right="40"/>
        <w:spacing w:after="0" w:line="255" w:lineRule="auto"/>
        <w:rPr>
          <w:sz w:val="20"/>
          <w:szCs w:val="20"/>
          <w:color w:val="auto"/>
        </w:rPr>
      </w:pPr>
      <w:r>
        <w:rPr>
          <w:rFonts w:ascii="Times New Roman" w:cs="Times New Roman" w:eastAsia="Times New Roman" w:hAnsi="Times New Roman"/>
          <w:sz w:val="18"/>
          <w:szCs w:val="18"/>
          <w:color w:val="auto"/>
        </w:rPr>
        <w:t>Income taxes - Upon adoption, all excess tax benefits and tax deficiencies, including tax benefits of dividends on share-based payment awards, are recognized as income tax expense or benefit in the consolidated statement of comprehensive income. The tax effects of exercised or vested awards are treated as discrete items in the reporting period in which they occur. As a result, the Company recognized discrete adjustments to income tax expense for the three months ended March 31, 2017 of $1.0 million related to excess tax benefits, decreasing our first quarter 2017 effective tax rate to 22.0%. Without the adjustment, our effective tax rate would have been 34.2%. The Company did not have any unrecognized excess tax benefits as of December 31, 2016, and therefore there was no cumulative-effect adjustment to retained earnings related to income taxes. The Company adopted the amendments related to the recognition of excess tax benefits and tax shortfalls prospectively, with no adjustments made to prior periods.</w:t>
      </w:r>
    </w:p>
    <w:p>
      <w:pPr>
        <w:spacing w:after="0" w:line="131" w:lineRule="exact"/>
        <w:rPr>
          <w:sz w:val="20"/>
          <w:szCs w:val="20"/>
          <w:color w:val="auto"/>
        </w:rPr>
      </w:pPr>
    </w:p>
    <w:p>
      <w:pPr>
        <w:ind w:left="980" w:right="60"/>
        <w:spacing w:after="0" w:line="258" w:lineRule="auto"/>
        <w:rPr>
          <w:sz w:val="20"/>
          <w:szCs w:val="20"/>
          <w:color w:val="auto"/>
        </w:rPr>
      </w:pPr>
      <w:r>
        <w:rPr>
          <w:rFonts w:ascii="Times New Roman" w:cs="Times New Roman" w:eastAsia="Times New Roman" w:hAnsi="Times New Roman"/>
          <w:sz w:val="18"/>
          <w:szCs w:val="18"/>
          <w:color w:val="auto"/>
        </w:rPr>
        <w:t>Forfeitures - Prior to adoption, stock-based compensation expense was recognized on a straight-line basis, net of estimated forfeitures, such that expense was recognized for stock-based awards that were expected to vest. A forfeiture rate was estimated annually and revised, if necessary, in subsequent periods if actual forfeitures differed from initial estimates. Upon adoption, the Company no longer applies an estimated forfeiture rate and instead accounts for forfeitures as they occur. The Company applied the modified retrospective adoption approach, resulting in a $711,000 cumulative-effect reduction to "Retained earnings" with the offset to "Additional paid-in-capital" on January 1, 2017.</w:t>
      </w:r>
    </w:p>
    <w:p>
      <w:pPr>
        <w:spacing w:after="0" w:line="130" w:lineRule="exact"/>
        <w:rPr>
          <w:sz w:val="20"/>
          <w:szCs w:val="20"/>
          <w:color w:val="auto"/>
        </w:rPr>
      </w:pPr>
    </w:p>
    <w:p>
      <w:pPr>
        <w:ind w:left="980" w:right="220"/>
        <w:spacing w:after="0" w:line="256" w:lineRule="auto"/>
        <w:rPr>
          <w:sz w:val="20"/>
          <w:szCs w:val="20"/>
          <w:color w:val="auto"/>
        </w:rPr>
      </w:pPr>
      <w:r>
        <w:rPr>
          <w:rFonts w:ascii="Times New Roman" w:cs="Times New Roman" w:eastAsia="Times New Roman" w:hAnsi="Times New Roman"/>
          <w:sz w:val="18"/>
          <w:szCs w:val="18"/>
          <w:color w:val="auto"/>
        </w:rPr>
        <w:t>Statements of Cash Flows - The Company historically accounted for excess tax benefits on the consolidated statements of cash flows as a financing activity. Upon adoption of this standard, excess tax benefits are classified along with other income tax cash flows as an operating activity. The change in cash flow classification associated with excess tax benefits was adopted prospectively, resulting in the classification of the $1.0 million excess tax benefit as an operating activity during the three months ended March 31, 2017. No change in classification was necessary for the presentation of restricted stock returned for payment of taxes, as the Company has historically presented such payments as a financing activity. The Company adopted this portion of the standard on a prospective basis, with no adjustments made to prior periods.</w:t>
      </w:r>
    </w:p>
    <w:p>
      <w:pPr>
        <w:spacing w:after="0" w:line="134" w:lineRule="exact"/>
        <w:rPr>
          <w:sz w:val="20"/>
          <w:szCs w:val="20"/>
          <w:color w:val="auto"/>
        </w:rPr>
      </w:pPr>
    </w:p>
    <w:p>
      <w:pPr>
        <w:ind w:left="980" w:right="40"/>
        <w:spacing w:after="0" w:line="261" w:lineRule="auto"/>
        <w:rPr>
          <w:sz w:val="20"/>
          <w:szCs w:val="20"/>
          <w:color w:val="auto"/>
        </w:rPr>
      </w:pPr>
      <w:r>
        <w:rPr>
          <w:rFonts w:ascii="Times New Roman" w:cs="Times New Roman" w:eastAsia="Times New Roman" w:hAnsi="Times New Roman"/>
          <w:sz w:val="18"/>
          <w:szCs w:val="18"/>
          <w:color w:val="auto"/>
        </w:rPr>
        <w:t>Earnings Per Share - The Company uses the treasury stock method to compute diluted earnings per share, unless the effect would be anti-dilutive. Under the new standard, the Company is no longer required to estimate the tax effect of anticipated windfall benefits or shortfalls when projecting proceeds available for share repurchases in calculating dilutive shares. The Company utilized the modified retrospective adoption approach, with no adjustments made to prior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17" w:lineRule="exact"/>
        <w:rPr>
          <w:sz w:val="20"/>
          <w:szCs w:val="20"/>
          <w:color w:val="auto"/>
        </w:rPr>
      </w:pPr>
    </w:p>
    <w:p>
      <w:pPr>
        <w:ind w:firstLine="972"/>
        <w:spacing w:after="0" w:line="255" w:lineRule="auto"/>
        <w:rPr>
          <w:sz w:val="20"/>
          <w:szCs w:val="20"/>
          <w:color w:val="auto"/>
        </w:rPr>
      </w:pPr>
      <w:r>
        <w:rPr>
          <w:rFonts w:ascii="Times New Roman" w:cs="Times New Roman" w:eastAsia="Times New Roman" w:hAnsi="Times New Roman"/>
          <w:sz w:val="18"/>
          <w:szCs w:val="18"/>
          <w:color w:val="auto"/>
        </w:rPr>
        <w:t xml:space="preserve">In January 2017, the FASB issued ASU 2017-04, </w:t>
      </w:r>
      <w:r>
        <w:rPr>
          <w:rFonts w:ascii="Times New Roman" w:cs="Times New Roman" w:eastAsia="Times New Roman" w:hAnsi="Times New Roman"/>
          <w:sz w:val="18"/>
          <w:szCs w:val="18"/>
          <w:i w:val="1"/>
          <w:iCs w:val="1"/>
          <w:color w:val="auto"/>
        </w:rPr>
        <w:t>Intangibles - Goodwill and Other (Topic 350): Simplifying the Test for Goodwill Impairment</w:t>
      </w:r>
      <w:r>
        <w:rPr>
          <w:rFonts w:ascii="Times New Roman" w:cs="Times New Roman" w:eastAsia="Times New Roman" w:hAnsi="Times New Roman"/>
          <w:sz w:val="18"/>
          <w:szCs w:val="18"/>
          <w:color w:val="auto"/>
        </w:rPr>
        <w:t>. The amendment eliminates step two from the goodwill impairment test in order to simplify the subsequent measurement of goodwill. Under step two, an entity had to perform procedures to determine the fair value of its assets and liabilities at the impairment testing date following procedures required to determine the fair value of assets acquired and liabilities assumed in a business combination. Under ASU 2017-04, an entity should perform its annual, or interim, goodwill impairment test by comparing the fair value of a reporting unit with its carrying amount and should recognize an impairment charge for the amount by which the carrying amount exceeds the reporting unit's fair value. The amendment is effective, on a prospective basis, for annual or interim periods beginning after December 15, 2019, with early adoption permitted. We do not expect the amendment to have a material impact on our Consolidated Financial Statements and expect to adopt the standard within the required time frame.</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75"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approximately 20,000 and 94,000 anti-dilutive restricted shares for the three months ended March 31, 2017 and 2016, respectively.</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and share amounts):</w:t>
      </w:r>
    </w:p>
    <w:p>
      <w:pPr>
        <w:spacing w:after="0" w:line="228" w:lineRule="exact"/>
        <w:rPr>
          <w:sz w:val="20"/>
          <w:szCs w:val="20"/>
          <w:color w:val="auto"/>
        </w:rPr>
      </w:pPr>
    </w:p>
    <w:tbl>
      <w:tblPr>
        <w:tblLayout w:type="fixed"/>
        <w:tblInd w:w="760" w:type="dxa"/>
        <w:tblCellMar>
          <w:top w:w="0" w:type="dxa"/>
          <w:left w:w="0" w:type="dxa"/>
          <w:bottom w:w="0" w:type="dxa"/>
          <w:right w:w="0" w:type="dxa"/>
        </w:tblCellMar>
      </w:tblPr>
      <w:tr>
        <w:trPr>
          <w:trHeight w:val="212"/>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47"/>
        </w:trPr>
        <w:tc>
          <w:tcPr>
            <w:tcW w:w="72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47"/>
        </w:trPr>
        <w:tc>
          <w:tcPr>
            <w:tcW w:w="72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3,522</w:t>
            </w:r>
          </w:p>
        </w:tc>
      </w:tr>
      <w:tr>
        <w:trPr>
          <w:trHeight w:val="324"/>
        </w:trPr>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8,065,825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7,862,449</w:t>
            </w: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Dilutive potential shares from unvested restricted shares</w:t>
            </w:r>
          </w:p>
        </w:tc>
        <w:tc>
          <w:tcPr>
            <w:tcW w:w="18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245,557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102,217</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Dilutive potential shares from contingent consideration</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82,418</w:t>
            </w:r>
          </w:p>
        </w:tc>
      </w:tr>
      <w:tr>
        <w:trPr>
          <w:trHeight w:val="237"/>
        </w:trPr>
        <w:tc>
          <w:tcPr>
            <w:tcW w:w="7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diluted</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8,311,382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8,047,084</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0.45</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0.44</w:t>
            </w:r>
          </w:p>
        </w:tc>
      </w:tr>
      <w:tr>
        <w:trPr>
          <w:trHeight w:val="27"/>
        </w:trPr>
        <w:tc>
          <w:tcPr>
            <w:tcW w:w="7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w:t>
      </w:r>
    </w:p>
    <w:p>
      <w:pPr>
        <w:spacing w:after="0" w:line="175" w:lineRule="exact"/>
        <w:rPr>
          <w:sz w:val="20"/>
          <w:szCs w:val="20"/>
          <w:color w:val="auto"/>
        </w:rPr>
      </w:pPr>
    </w:p>
    <w:p>
      <w:pPr>
        <w:jc w:val="both"/>
        <w:ind w:right="760" w:firstLine="500"/>
        <w:spacing w:after="0" w:line="282" w:lineRule="auto"/>
        <w:rPr>
          <w:sz w:val="20"/>
          <w:szCs w:val="20"/>
          <w:color w:val="auto"/>
        </w:rPr>
      </w:pPr>
      <w:r>
        <w:rPr>
          <w:rFonts w:ascii="Times New Roman" w:cs="Times New Roman" w:eastAsia="Times New Roman" w:hAnsi="Times New Roman"/>
          <w:sz w:val="18"/>
          <w:szCs w:val="18"/>
          <w:color w:val="auto"/>
        </w:rPr>
        <w:t>Investment balances are presented in the table below (in thousands). All investments are carried at fair value and are accounted for as trading securities.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7"/>
                <w:szCs w:val="17"/>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03"/>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20" w:type="dxa"/>
            <w:vAlign w:val="bottom"/>
          </w:tcPr>
          <w:p>
            <w:pPr>
              <w:spacing w:after="0"/>
              <w:rPr>
                <w:sz w:val="17"/>
                <w:szCs w:val="17"/>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2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8"/>
                <w:szCs w:val="18"/>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2017:</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U.S. Government and Government agency obligations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21,627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21,624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Money market funds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10,333</w:t>
            </w:r>
          </w:p>
        </w:tc>
        <w:tc>
          <w:tcPr>
            <w:tcW w:w="0" w:type="dxa"/>
            <w:vAlign w:val="bottom"/>
          </w:tcPr>
          <w:p>
            <w:pPr>
              <w:spacing w:after="0"/>
              <w:rPr>
                <w:sz w:val="1"/>
                <w:szCs w:val="1"/>
                <w:color w:val="auto"/>
              </w:rPr>
            </w:pPr>
          </w:p>
        </w:tc>
      </w:tr>
      <w:tr>
        <w:trPr>
          <w:trHeight w:val="243"/>
        </w:trPr>
        <w:tc>
          <w:tcPr>
            <w:tcW w:w="5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Equity funds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12,829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Marketable securities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44,457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44,786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2016: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U.S. Government and Government agency obligations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30,273</w:t>
            </w:r>
          </w:p>
        </w:tc>
        <w:tc>
          <w:tcPr>
            <w:tcW w:w="0" w:type="dxa"/>
            <w:vAlign w:val="bottom"/>
          </w:tcPr>
          <w:p>
            <w:pPr>
              <w:spacing w:after="0"/>
              <w:rPr>
                <w:sz w:val="1"/>
                <w:szCs w:val="1"/>
                <w:color w:val="auto"/>
              </w:rPr>
            </w:pPr>
          </w:p>
        </w:tc>
      </w:tr>
      <w:tr>
        <w:trPr>
          <w:trHeight w:val="243"/>
        </w:trPr>
        <w:tc>
          <w:tcPr>
            <w:tcW w:w="5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Money market funds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14,127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Equity funds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12,057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12,085</w:t>
            </w:r>
          </w:p>
        </w:tc>
        <w:tc>
          <w:tcPr>
            <w:tcW w:w="0" w:type="dxa"/>
            <w:vAlign w:val="bottom"/>
          </w:tcPr>
          <w:p>
            <w:pPr>
              <w:spacing w:after="0"/>
              <w:rPr>
                <w:sz w:val="1"/>
                <w:szCs w:val="1"/>
                <w:color w:val="auto"/>
              </w:rPr>
            </w:pPr>
          </w:p>
        </w:tc>
      </w:tr>
      <w:tr>
        <w:trPr>
          <w:trHeight w:val="237"/>
        </w:trPr>
        <w:tc>
          <w:tcPr>
            <w:tcW w:w="56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Marketable securities</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56,459</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56,485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As of March 31, 2017 and December 31, 2016, $11.5 million and $11.0 million in corporate funds, respectively, were invested in Westwood Funds®, Westwood Common Trust Funds and Westwood Investment Funds PLC (the "UCITS Fund"). See Note 8 “Variable Interest Entities”.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75" w:lineRule="exact"/>
        <w:rPr>
          <w:sz w:val="20"/>
          <w:szCs w:val="20"/>
          <w:color w:val="auto"/>
        </w:rPr>
      </w:pPr>
    </w:p>
    <w:p>
      <w:pPr>
        <w:ind w:right="60" w:firstLine="500"/>
        <w:spacing w:after="0" w:line="255" w:lineRule="auto"/>
        <w:rPr>
          <w:sz w:val="20"/>
          <w:szCs w:val="20"/>
          <w:color w:val="auto"/>
        </w:rPr>
      </w:pPr>
      <w:r>
        <w:rPr>
          <w:rFonts w:ascii="Times New Roman" w:cs="Times New Roman" w:eastAsia="Times New Roman" w:hAnsi="Times New Roman"/>
          <w:sz w:val="18"/>
          <w:szCs w:val="18"/>
          <w:color w:val="auto"/>
        </w:rPr>
        <w:t>We determine estimated fair values for our financial instruments using available information. The fair value amounts discussed in our condensed consolidated financial statements are not necessarily indicative of either amounts realizable upon disposition of these instruments or our intent or ability to dispose of these assets. The estimated fair value of cash and cash equivalents, accounts receivable, other current assets, accounts payable and accrued liabilities, dividends payable, compensation and benefits payable and income taxes payable approximates their carrying value due to their short-term maturities. The carrying amount of investments designated as “trading” securities, primarily U.S. Government and Government agency obligations, money market funds,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mutual funds, the UCITS Fund and Westwood Trust common trust fund shares, equals their fair value based on prices quoted in active markets and, with respect to common trust funds, the net asset value of the shares held as reported by each fund. Market values of our money market holdings generally do not fluctuate.</w:t>
      </w:r>
    </w:p>
    <w:p>
      <w:pPr>
        <w:spacing w:after="0" w:line="77" w:lineRule="exact"/>
        <w:rPr>
          <w:sz w:val="20"/>
          <w:szCs w:val="20"/>
          <w:color w:val="auto"/>
        </w:rPr>
      </w:pPr>
    </w:p>
    <w:p>
      <w:pPr>
        <w:ind w:right="40" w:firstLine="500"/>
        <w:spacing w:after="0" w:line="282" w:lineRule="auto"/>
        <w:rPr>
          <w:sz w:val="20"/>
          <w:szCs w:val="20"/>
          <w:color w:val="auto"/>
        </w:rPr>
      </w:pPr>
      <w:r>
        <w:rPr>
          <w:rFonts w:ascii="Times New Roman" w:cs="Times New Roman" w:eastAsia="Times New Roman" w:hAnsi="Times New Roman"/>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54" w:lineRule="exact"/>
        <w:rPr>
          <w:sz w:val="20"/>
          <w:szCs w:val="20"/>
          <w:color w:val="auto"/>
        </w:rPr>
      </w:pPr>
    </w:p>
    <w:p>
      <w:pPr>
        <w:ind w:left="1800" w:hanging="576"/>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market prices in active markets for identical assets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that are directly or indirectly observable</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unobservable inputs where there is little or no market activity</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values of our assets and liabilities as of the dates indicated within the fair value hierarchy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Measured at</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20" w:type="dxa"/>
            <w:vAlign w:val="bottom"/>
          </w:tcPr>
          <w:p>
            <w:pPr>
              <w:spacing w:after="0"/>
              <w:rPr>
                <w:sz w:val="21"/>
                <w:szCs w:val="21"/>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0"/>
              </w:rPr>
              <w:t xml:space="preserve">NAV </w:t>
            </w:r>
            <w:r>
              <w:rPr>
                <w:rFonts w:ascii="Times New Roman" w:cs="Times New Roman" w:eastAsia="Times New Roman" w:hAnsi="Times New Roman"/>
                <w:sz w:val="21"/>
                <w:szCs w:val="21"/>
                <w:color w:val="auto"/>
                <w:w w:val="90"/>
                <w:vertAlign w:val="superscript"/>
              </w:rPr>
              <w:t>(1)</w:t>
            </w:r>
          </w:p>
        </w:tc>
        <w:tc>
          <w:tcPr>
            <w:tcW w:w="260" w:type="dxa"/>
            <w:vAlign w:val="bottom"/>
          </w:tcPr>
          <w:p>
            <w:pPr>
              <w:spacing w:after="0"/>
              <w:rPr>
                <w:sz w:val="21"/>
                <w:szCs w:val="21"/>
                <w:color w:val="auto"/>
              </w:rPr>
            </w:pPr>
          </w:p>
        </w:tc>
        <w:tc>
          <w:tcPr>
            <w:tcW w:w="8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44"/>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 of March 31, 2017:</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41,461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44,786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financial instruments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41,461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44,786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Investments in trading securities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53,319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56,485</w:t>
            </w:r>
          </w:p>
        </w:tc>
        <w:tc>
          <w:tcPr>
            <w:tcW w:w="0" w:type="dxa"/>
            <w:vAlign w:val="bottom"/>
          </w:tcPr>
          <w:p>
            <w:pPr>
              <w:spacing w:after="0"/>
              <w:rPr>
                <w:sz w:val="1"/>
                <w:szCs w:val="1"/>
                <w:color w:val="auto"/>
              </w:rPr>
            </w:pPr>
          </w:p>
        </w:tc>
      </w:tr>
      <w:tr>
        <w:trPr>
          <w:trHeight w:val="237"/>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financial instruments</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53,319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3,166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56,485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ind w:left="40" w:right="80" w:hanging="5"/>
        <w:spacing w:after="0" w:line="242" w:lineRule="auto"/>
        <w:tabs>
          <w:tab w:leader="none" w:pos="244" w:val="left"/>
        </w:tabs>
        <w:numPr>
          <w:ilvl w:val="1"/>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Comprised of certain investments measured at fair value using net asset value ("NAV") as a practical expedient. These investments were recategorized and are no longer included within Level 2 of the valuation hierarchy. The fair value amounts presented in this table are intended to permit reconciliation of the fair value hierarchy to the amounts presented on our consolidated balance sheets.</w:t>
      </w:r>
    </w:p>
    <w:p>
      <w:pPr>
        <w:spacing w:after="0" w:line="200" w:lineRule="exact"/>
        <w:rPr>
          <w:rFonts w:ascii="Times New Roman" w:cs="Times New Roman" w:eastAsia="Times New Roman" w:hAnsi="Times New Roman"/>
          <w:sz w:val="14"/>
          <w:szCs w:val="14"/>
          <w:color w:val="auto"/>
        </w:rPr>
      </w:pPr>
    </w:p>
    <w:p>
      <w:pPr>
        <w:spacing w:after="0" w:line="272"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jc w:val="both"/>
        <w:ind w:firstLine="500"/>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annual goodwill impairment assessment during the third quarter of 2016 and determined that no impairment loss was required. No impairments on goodwill were recorded during the three months ended March 31, 2017 or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jc w:val="both"/>
        <w:ind w:right="100" w:firstLine="500"/>
        <w:spacing w:after="0" w:line="261" w:lineRule="auto"/>
        <w:rPr>
          <w:sz w:val="20"/>
          <w:szCs w:val="20"/>
          <w:color w:val="auto"/>
        </w:rPr>
      </w:pPr>
      <w:r>
        <w:rPr>
          <w:rFonts w:ascii="Times New Roman" w:cs="Times New Roman" w:eastAsia="Times New Roman" w:hAnsi="Times New Roman"/>
          <w:sz w:val="18"/>
          <w:szCs w:val="18"/>
          <w:color w:val="auto"/>
        </w:rPr>
        <w:t>Our intangible assets represent the acquisition date fair value of acquired client relationships, trade names and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impairments on intangible assets were recorded during the three months ended March 31, 2017 or 2016.</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10" w:name="page11"/>
    <w:bookmarkEnd w:id="10"/>
    <w:p>
      <w:pPr>
        <w:jc w:val="center"/>
        <w:ind w:left="260" w:right="214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ind w:right="8240" w:firstLine="8"/>
        <w:spacing w:after="0" w:line="466" w:lineRule="auto"/>
        <w:tabs>
          <w:tab w:leader="none" w:pos="18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 Accumulated Other Comprehensive Loss</w:t>
      </w:r>
    </w:p>
    <w:p>
      <w:pPr>
        <w:spacing w:after="0" w:line="1" w:lineRule="exact"/>
        <w:rPr>
          <w:rFonts w:ascii="Times New Roman" w:cs="Times New Roman" w:eastAsia="Times New Roman" w:hAnsi="Times New Roman"/>
          <w:sz w:val="17"/>
          <w:szCs w:val="17"/>
          <w:b w:val="1"/>
          <w:bCs w:val="1"/>
          <w:color w:val="auto"/>
        </w:rPr>
      </w:pPr>
    </w:p>
    <w:p>
      <w:pPr>
        <w:ind w:left="50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components of accumulated other comprehensive loss were as follows (in thousands):</w:t>
      </w:r>
    </w:p>
    <w:p>
      <w:pPr>
        <w:spacing w:after="0" w:line="174" w:lineRule="exact"/>
        <w:rPr>
          <w:sz w:val="20"/>
          <w:szCs w:val="20"/>
          <w:color w:val="auto"/>
        </w:rPr>
      </w:pPr>
    </w:p>
    <w:tbl>
      <w:tblPr>
        <w:tblLayout w:type="fixed"/>
        <w:tblInd w:w="940" w:type="dxa"/>
        <w:tblCellMar>
          <w:top w:w="0" w:type="dxa"/>
          <w:left w:w="0" w:type="dxa"/>
          <w:bottom w:w="0" w:type="dxa"/>
          <w:right w:w="0" w:type="dxa"/>
        </w:tblCellMar>
      </w:tblPr>
      <w:tr>
        <w:trPr>
          <w:trHeight w:val="212"/>
        </w:trPr>
        <w:tc>
          <w:tcPr>
            <w:tcW w:w="6060" w:type="dxa"/>
            <w:vAlign w:val="bottom"/>
          </w:tcPr>
          <w:p>
            <w:pPr>
              <w:spacing w:after="0"/>
              <w:rPr>
                <w:sz w:val="18"/>
                <w:szCs w:val="18"/>
                <w:color w:val="auto"/>
              </w:rPr>
            </w:pPr>
          </w:p>
        </w:tc>
        <w:tc>
          <w:tcPr>
            <w:tcW w:w="350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As of March 31, 2017   As of December 31, 2016</w:t>
            </w:r>
          </w:p>
        </w:tc>
      </w:tr>
      <w:tr>
        <w:trPr>
          <w:trHeight w:val="47"/>
        </w:trPr>
        <w:tc>
          <w:tcPr>
            <w:tcW w:w="60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64"/>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37"/>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7"/>
        </w:trPr>
        <w:tc>
          <w:tcPr>
            <w:tcW w:w="60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VARIABLE INTEREST ENTITIES</w:t>
      </w:r>
    </w:p>
    <w:p>
      <w:pPr>
        <w:spacing w:after="0" w:line="22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have evaluated all of our advisory relationships with the UCITS Fund, the Westwood Funds®, limited liability companies ("LLCs") and our relationship as sponsor of the Common Trust Funds ("CTFs") to determine whether each of these entities is a variable interest entity ("VIE") or voting ownership entity ("VOE"). Based on our analysis, we determined that the limited liability companies and CTFs were VIEs, as the at-risk equity holders do not have the ability to direct the activities that most significantly impact the entity’s economic performance, and the Company and its representatives have a majority control of the entity's Board of Directors and can influence the entity's management and affairs. Although we have related parties on the UCITS Fund board of directors, the shareholders have rights to remove the current directors with a simple majority vote, so we determined the UCITS Fund is not a VIE. As the Company and its representatives do not have representation on the Westwood Funds'® independent board of directors, which directs the activities that most significantly impact the entity's economic performance, we determined that the Westwood Funds® were not VIEs. Therefore, the UCITS Fund and the Westwood Funds® should be analyzed under the VOE consolidation method. Based on our analysis of our seed investments in these entities for the periods ending March 31, 2017 and December 31, 2016, we have not consolidated the limited liability companies or CTFs under the VIE method or the UCITS Fund or the Westwood Funds® under the VOE method, and therefore the results of these entities are not included in the Company’s consolidated financial results.</w:t>
      </w:r>
    </w:p>
    <w:p>
      <w:pPr>
        <w:spacing w:after="0" w:line="83" w:lineRule="exact"/>
        <w:rPr>
          <w:sz w:val="20"/>
          <w:szCs w:val="20"/>
          <w:color w:val="auto"/>
        </w:rPr>
      </w:pPr>
    </w:p>
    <w:p>
      <w:pPr>
        <w:ind w:right="20" w:firstLine="500"/>
        <w:spacing w:after="0" w:line="258" w:lineRule="auto"/>
        <w:rPr>
          <w:sz w:val="20"/>
          <w:szCs w:val="20"/>
          <w:color w:val="auto"/>
        </w:rPr>
      </w:pPr>
      <w:r>
        <w:rPr>
          <w:rFonts w:ascii="Times New Roman" w:cs="Times New Roman" w:eastAsia="Times New Roman" w:hAnsi="Times New Roman"/>
          <w:sz w:val="18"/>
          <w:szCs w:val="18"/>
          <w:color w:val="auto"/>
        </w:rPr>
        <w:t>In May 2015, the Company provided seed investments of $5.4 million for two new Westwood mutual funds. In both December 2015 and January 2014, the Company provided seed investments of $2.0 million to two common trust funds. In October 2014, the Company provided a seed investment of €1.6 million, or $2.0 million at the then prevailing exchange rate, to the UCITS Fund. These seed investments were provided for the sole purpose of showing the economic substance needed to establish the funds or sub-funds. The Company's seed investments in these funds are included in “Investments, at fair value” on our condensed consolidated balance sheet at March 31, 2017.</w:t>
      </w:r>
    </w:p>
    <w:p>
      <w:pPr>
        <w:spacing w:after="0" w:line="76" w:lineRule="exact"/>
        <w:rPr>
          <w:sz w:val="20"/>
          <w:szCs w:val="20"/>
          <w:color w:val="auto"/>
        </w:rPr>
      </w:pPr>
    </w:p>
    <w:p>
      <w:pPr>
        <w:ind w:right="200" w:firstLine="500"/>
        <w:spacing w:after="0" w:line="261" w:lineRule="auto"/>
        <w:rPr>
          <w:sz w:val="20"/>
          <w:szCs w:val="20"/>
          <w:color w:val="auto"/>
        </w:rPr>
      </w:pPr>
      <w:r>
        <w:rPr>
          <w:rFonts w:ascii="Times New Roman" w:cs="Times New Roman" w:eastAsia="Times New Roman" w:hAnsi="Times New Roman"/>
          <w:sz w:val="18"/>
          <w:szCs w:val="18"/>
          <w:color w:val="auto"/>
        </w:rPr>
        <w:t>Otherwise, we have not provided any financial support we were not previously contractually obligated to provide and there are no arrangements that would require us to provide additional financial support to any of these entities. Our seed investments in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UCITS Fund and the CTFs are accounted for as investments in accordance with our other investments described in Note 4 “Investments.” We recognized fee revenue from the Westwood VIEs and Westwood VOEs of $12.8 million and $13.0 million for the three months ended March 31, 2017 and 2016,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117" w:right="259" w:bottom="1440" w:gutter="0" w:footer="0" w:header="0"/>
        </w:sectPr>
      </w:pPr>
    </w:p>
    <w:bookmarkStart w:id="11" w:name="page12"/>
    <w:bookmarkEnd w:id="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64" w:lineRule="exact"/>
        <w:rPr>
          <w:sz w:val="20"/>
          <w:szCs w:val="20"/>
          <w:color w:val="auto"/>
        </w:rPr>
      </w:pPr>
    </w:p>
    <w:p>
      <w:pPr>
        <w:ind w:right="4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displays the assets under management, the amounts of our seed investments that are included in "Investments, at fair value" on our consolidated balance sheets, and the risk of loss in each vehicle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 of March 31, 2017</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47"/>
        </w:trPr>
        <w:tc>
          <w:tcPr>
            <w:tcW w:w="67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7"/>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03"/>
        </w:trPr>
        <w:tc>
          <w:tcPr>
            <w:tcW w:w="6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Under</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2"/>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Investment</w:t>
            </w:r>
          </w:p>
        </w:tc>
        <w:tc>
          <w:tcPr>
            <w:tcW w:w="160" w:type="dxa"/>
            <w:vAlign w:val="bottom"/>
          </w:tcPr>
          <w:p>
            <w:pPr>
              <w:spacing w:after="0"/>
              <w:rPr>
                <w:sz w:val="18"/>
                <w:szCs w:val="18"/>
                <w:color w:val="auto"/>
              </w:rPr>
            </w:pPr>
          </w:p>
        </w:tc>
        <w:tc>
          <w:tcPr>
            <w:tcW w:w="132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Amount at Risk</w:t>
            </w:r>
          </w:p>
        </w:tc>
      </w:tr>
      <w:tr>
        <w:trPr>
          <w:trHeight w:val="33"/>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VIEs/VOEs: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Westwood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3,963</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Common Trust Funds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LLCs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UCITS Fund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Private Wealth</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Institutional</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11,872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67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69"/>
        </w:trPr>
        <w:tc>
          <w:tcPr>
            <w:tcW w:w="6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AUM</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22,073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INCENTIVE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75" w:lineRule="exact"/>
        <w:rPr>
          <w:sz w:val="20"/>
          <w:szCs w:val="20"/>
          <w:color w:val="auto"/>
        </w:rPr>
      </w:pPr>
    </w:p>
    <w:p>
      <w:pPr>
        <w:ind w:right="100" w:firstLine="500"/>
        <w:spacing w:after="0" w:line="261" w:lineRule="auto"/>
        <w:rPr>
          <w:sz w:val="20"/>
          <w:szCs w:val="20"/>
          <w:color w:val="auto"/>
        </w:rPr>
      </w:pPr>
      <w:r>
        <w:rPr>
          <w:rFonts w:ascii="Times New Roman" w:cs="Times New Roman" w:eastAsia="Times New Roman" w:hAnsi="Times New Roman"/>
          <w:sz w:val="18"/>
          <w:szCs w:val="18"/>
          <w:color w:val="auto"/>
        </w:rPr>
        <w:t>We have issued restricted shares to our employees and non-employee directors. The Third Amended and Restated Westwood Holdings Group, Inc. Stock Incentive Plan, as amended (the “Plan”), reserves shares of Westwood common stock for issuance to eligible employees, directors and consultants of Westwood or its subsidiaries in the form of restricted stock. The total number of shares issuable under the Plan (including predecessor plans to the Plan) may not exceed 4,398,100 shares. At March 31, 2017, approximately 172,000 shares remain available for issuance under the Plan.</w:t>
      </w:r>
    </w:p>
    <w:p>
      <w:pPr>
        <w:spacing w:after="0" w:line="180" w:lineRule="exact"/>
        <w:rPr>
          <w:sz w:val="20"/>
          <w:szCs w:val="20"/>
          <w:color w:val="auto"/>
        </w:rPr>
      </w:pPr>
    </w:p>
    <w:p>
      <w:pPr>
        <w:ind w:right="68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stock-based compensation expense recorded for stock-based compensation arrangements for the periods indicated (in thousands):</w:t>
      </w:r>
    </w:p>
    <w:p>
      <w:pPr>
        <w:spacing w:after="0" w:line="110" w:lineRule="exact"/>
        <w:rPr>
          <w:sz w:val="20"/>
          <w:szCs w:val="20"/>
          <w:color w:val="auto"/>
        </w:rPr>
      </w:pPr>
    </w:p>
    <w:tbl>
      <w:tblPr>
        <w:tblLayout w:type="fixed"/>
        <w:tblInd w:w="132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4"/>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r>
      <w:tr>
        <w:trPr>
          <w:trHeight w:val="47"/>
        </w:trPr>
        <w:tc>
          <w:tcPr>
            <w:tcW w:w="63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17"/>
        </w:trPr>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47"/>
        </w:trPr>
        <w:tc>
          <w:tcPr>
            <w:tcW w:w="63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condition stock-based compensation expense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condition stock-based compensation expense</w:t>
            </w:r>
          </w:p>
        </w:tc>
        <w:tc>
          <w:tcPr>
            <w:tcW w:w="1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r>
      <w:tr>
        <w:trPr>
          <w:trHeight w:val="27"/>
        </w:trPr>
        <w:tc>
          <w:tcPr>
            <w:tcW w:w="6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under the Plan</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EB Plan stock-based compensation expense</w:t>
            </w:r>
          </w:p>
        </w:tc>
        <w:tc>
          <w:tcPr>
            <w:tcW w:w="1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7"/>
        </w:trPr>
        <w:tc>
          <w:tcPr>
            <w:tcW w:w="63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7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5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As of March 31, 2017, there was approximately $34.4 million of unrecognized compensation cost for restricted stock grants under the Plan, which we expect to recognize over a weighted-average period of 2.6 years. Our two types of restricted stock grants under the Plan are discussed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Subject Only to a Service Condition</w:t>
      </w:r>
    </w:p>
    <w:p>
      <w:pPr>
        <w:spacing w:after="0" w:line="175"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As discussed in Note 2 "Summary of Significant Accounting Policies," the Company made an accounting policy election to account for forfeitures as they occur upon the adoption of ASU 2016-09 on January 1, 2017.</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details the status and changes in our restricted stock grants subject only to a service condition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2017:</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12"/>
        </w:trPr>
        <w:tc>
          <w:tcPr>
            <w:tcW w:w="7780" w:type="dxa"/>
            <w:vAlign w:val="bottom"/>
          </w:tcPr>
          <w:p>
            <w:pPr>
              <w:spacing w:after="0"/>
              <w:rPr>
                <w:sz w:val="18"/>
                <w:szCs w:val="18"/>
                <w:color w:val="auto"/>
              </w:rPr>
            </w:pPr>
          </w:p>
        </w:tc>
        <w:tc>
          <w:tcPr>
            <w:tcW w:w="160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r>
      <w:tr>
        <w:trPr>
          <w:trHeight w:val="33"/>
        </w:trPr>
        <w:tc>
          <w:tcPr>
            <w:tcW w:w="7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January 1, 2017</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607,501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54.67</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131,569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61.56</w:t>
            </w:r>
          </w:p>
        </w:tc>
      </w:tr>
      <w:tr>
        <w:trPr>
          <w:trHeight w:val="27"/>
        </w:trPr>
        <w:tc>
          <w:tcPr>
            <w:tcW w:w="77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57.23</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55.78</w:t>
            </w:r>
          </w:p>
        </w:tc>
      </w:tr>
      <w:tr>
        <w:trPr>
          <w:trHeight w:val="27"/>
        </w:trPr>
        <w:tc>
          <w:tcPr>
            <w:tcW w:w="77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March 31, 2017</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557,791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55.50</w:t>
            </w:r>
          </w:p>
        </w:tc>
      </w:tr>
      <w:tr>
        <w:trPr>
          <w:trHeight w:val="20"/>
        </w:trPr>
        <w:tc>
          <w:tcPr>
            <w:tcW w:w="77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Subject to Service and Performance Conditions</w:t>
      </w:r>
    </w:p>
    <w:p>
      <w:pPr>
        <w:spacing w:after="0" w:line="175" w:lineRule="exact"/>
        <w:rPr>
          <w:sz w:val="20"/>
          <w:szCs w:val="20"/>
          <w:color w:val="auto"/>
        </w:rPr>
      </w:pPr>
    </w:p>
    <w:p>
      <w:pPr>
        <w:ind w:right="40" w:firstLine="986"/>
        <w:spacing w:after="0" w:line="252" w:lineRule="auto"/>
        <w:rPr>
          <w:sz w:val="20"/>
          <w:szCs w:val="20"/>
          <w:color w:val="auto"/>
        </w:rPr>
      </w:pPr>
      <w:r>
        <w:rPr>
          <w:rFonts w:ascii="Times New Roman" w:cs="Times New Roman" w:eastAsia="Times New Roman" w:hAnsi="Times New Roman"/>
          <w:sz w:val="18"/>
          <w:szCs w:val="18"/>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a specific goal for that year’s vesting of the restricted shares. For 2017, the goal is based on Income before income tax from our audited consolidated statement of comprehensive income for fiscal 2017. The date that the Compensation Committee establishes the annual goal is considered to be the grant date and the fair value measurement date to determine expense on the shares that are likely to vest. The vesting period ends when the Compensation Committee formally approves the performance-based restricted stock vesting based on the Income before income tax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 In March 2017, the Compensation Committee established the fiscal 2017 goal for our Chief Executive Officer and Chief Investment Officer as Income before income tax of $24.0 million for 50% of their respective awards, and an Income before income tax target of $34.0 million (ranging from 25% of target for threshold performance of $30.3 million to 185% of target for maximum performance of $42.5 million) for the remaining 50% of their respective awards. For all other restricted stock grants subject to performance conditions, the Compensation Committee established the fiscal 2017 goal as Income before income tax of at least $24.0 million. At the end of the first quarter of 2017, we concluded that it was probable that we would meet the target performance goals required to vest the applicable percentage of the performance-based restricted shares this year and began recording expense related to those shares.</w:t>
      </w:r>
    </w:p>
    <w:p>
      <w:pPr>
        <w:spacing w:after="0" w:line="91" w:lineRule="exact"/>
        <w:rPr>
          <w:sz w:val="20"/>
          <w:szCs w:val="20"/>
          <w:color w:val="auto"/>
        </w:rPr>
      </w:pPr>
    </w:p>
    <w:p>
      <w:pPr>
        <w:ind w:right="380" w:firstLine="50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status and changes in our restricted stock grants subject to service and performance conditions for the three months ended March 31, 2017:</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38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33"/>
        </w:trPr>
        <w:tc>
          <w:tcPr>
            <w:tcW w:w="38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January 1, 2017</w:t>
            </w:r>
          </w:p>
        </w:tc>
        <w:tc>
          <w:tcPr>
            <w:tcW w:w="55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153,620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55.90</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55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147,557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56.41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5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55.86</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March 31, 2017</w:t>
            </w:r>
          </w:p>
        </w:tc>
        <w:tc>
          <w:tcPr>
            <w:tcW w:w="55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153,135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55.95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bottom w:val="single" w:sz="8" w:color="CCEEFF"/>
            </w:tcBorders>
            <w:vMerge w:val="restart"/>
          </w:tcPr>
          <w:p>
            <w:pPr>
              <w:jc w:val="right"/>
              <w:ind w:right="1770"/>
              <w:spacing w:after="0"/>
              <w:rPr>
                <w:sz w:val="20"/>
                <w:szCs w:val="20"/>
                <w:color w:val="auto"/>
              </w:rPr>
            </w:pPr>
            <w:r>
              <w:rPr>
                <w:rFonts w:ascii="Times New Roman" w:cs="Times New Roman" w:eastAsia="Times New Roman" w:hAnsi="Times New Roman"/>
                <w:sz w:val="18"/>
                <w:szCs w:val="18"/>
                <w:color w:val="auto"/>
              </w:rPr>
              <w:t>11</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64" w:lineRule="exact"/>
        <w:rPr>
          <w:sz w:val="20"/>
          <w:szCs w:val="20"/>
          <w:color w:val="auto"/>
        </w:rPr>
      </w:pPr>
    </w:p>
    <w:p>
      <w:pPr>
        <w:ind w:right="20" w:firstLine="500"/>
        <w:spacing w:after="0" w:line="282" w:lineRule="auto"/>
        <w:rPr>
          <w:sz w:val="20"/>
          <w:szCs w:val="20"/>
          <w:color w:val="auto"/>
        </w:rPr>
      </w:pPr>
      <w:r>
        <w:rPr>
          <w:rFonts w:ascii="Times New Roman" w:cs="Times New Roman" w:eastAsia="Times New Roman" w:hAnsi="Times New Roman"/>
          <w:sz w:val="18"/>
          <w:szCs w:val="18"/>
          <w:color w:val="auto"/>
        </w:rPr>
        <w:t>The above amounts as of March 31, 2017 do not include 18,422 non-vested restricted shares that potentially vest over performance years subsequent to 2017 inasmuch as the Compensation Committee has not set annual performance goals for later years and therefore no grant date has been established.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Canadian Plan</w:t>
      </w:r>
    </w:p>
    <w:p>
      <w:pPr>
        <w:spacing w:after="0" w:line="1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Share Award Plan of Westwood Holdings Group, Inc. for Service Provided in Canada to its Subsidiaries (the “Canadian Plan”) provides compensation in the form of common stock for services performed by employees of Westwood International. Under the Canadian Plan, no more than $10 million CDN ($7.5 million in U.S. Dollars using the exchange rate on March 31, 2017) may be funded to the plan trustee for purchases of common stock with respect to awards granted under the Canadian Plan. At March 31, 2017, approximately $4.3 million CDN ($3.2 million in U.S. Dollars using the exchange rate on March 31, 2017) remains available for issuance under the Canadian Plan, or approximately 60,400 shares based on the closing share price of our stock of $53.41 as of March 31, 2017. During the first three months of 2017, the trust formed pursuant to the Canadian Plan purchased in the open market 23,822 Westwood common shares for approximately $1.3 million. As of March 31, 2017, the trust holds 55,418 shares of Westwood common stock. As of March 31, 2017, unrecognized compensation cost related to restricted stock grants under the Canadian Plan totaled $1.2 million, which we expect to recognize over a weighted-average period of 2.1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Mutual Fund Share Incentive Awards</w:t>
      </w:r>
    </w:p>
    <w:p>
      <w:pPr>
        <w:spacing w:after="0" w:line="175" w:lineRule="exact"/>
        <w:rPr>
          <w:sz w:val="20"/>
          <w:szCs w:val="20"/>
          <w:color w:val="auto"/>
        </w:rPr>
      </w:pPr>
    </w:p>
    <w:p>
      <w:pPr>
        <w:ind w:right="20" w:firstLine="500"/>
        <w:spacing w:after="0" w:line="266" w:lineRule="auto"/>
        <w:rPr>
          <w:sz w:val="20"/>
          <w:szCs w:val="20"/>
          <w:color w:val="auto"/>
        </w:rPr>
      </w:pPr>
      <w:r>
        <w:rPr>
          <w:rFonts w:ascii="Times New Roman" w:cs="Times New Roman" w:eastAsia="Times New Roman" w:hAnsi="Times New Roman"/>
          <w:sz w:val="18"/>
          <w:szCs w:val="18"/>
          <w:color w:val="auto"/>
        </w:rPr>
        <w:t>We grant annually to certain employees mutual fund incentive awards, which are bonus awards based on our mutual funds achieving specific performance goals. Awards granted are notionally credited to a participant account maintained by us that contains a number of mutual fund shares equal to the award amount divided by the net closing value of a fund share on the date the amount is credited to the account.</w:t>
      </w:r>
    </w:p>
    <w:p>
      <w:pPr>
        <w:spacing w:after="0" w:line="68" w:lineRule="exact"/>
        <w:rPr>
          <w:sz w:val="20"/>
          <w:szCs w:val="20"/>
          <w:color w:val="auto"/>
        </w:rPr>
      </w:pPr>
    </w:p>
    <w:p>
      <w:pPr>
        <w:ind w:firstLine="500"/>
        <w:spacing w:after="0" w:line="254" w:lineRule="auto"/>
        <w:rPr>
          <w:sz w:val="20"/>
          <w:szCs w:val="20"/>
          <w:color w:val="auto"/>
        </w:rPr>
      </w:pPr>
      <w:r>
        <w:rPr>
          <w:rFonts w:ascii="Times New Roman" w:cs="Times New Roman" w:eastAsia="Times New Roman" w:hAnsi="Times New Roman"/>
          <w:sz w:val="18"/>
          <w:szCs w:val="18"/>
          <w:color w:val="auto"/>
        </w:rPr>
        <w:t>For awards earned prior to 2017, the award vested after approximately one year of service following the year in which the participant earned the award. Beginning in 2017, the award vests after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approximately two or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three months ended March 31, 2017 and 2016, we recorded expense of approximately $288,000 and $262,000, respectively, related to mutual fund share incentive awards. As of March 31, 2017 and December 31, 2016, we had an accrued liability of approximately $938,000 and $1.7 million, respectively, related to mutual fund share incentive awards.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4" w:name="page15"/>
    <w:bookmarkEnd w:id="14"/>
    <w:p>
      <w:pPr>
        <w:jc w:val="center"/>
        <w:ind w:left="260" w:right="214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10. INCOME TAXES</w:t>
      </w:r>
    </w:p>
    <w:p>
      <w:pPr>
        <w:spacing w:after="0" w:line="1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Our effective income tax rate was 22.0% for the first quarter of 2017, compared with 37.6% for the first quarter of 2016. The decrease is primarily related to the adoption of ASU 2016-09 </w:t>
      </w:r>
      <w:r>
        <w:rPr>
          <w:rFonts w:ascii="Times New Roman" w:cs="Times New Roman" w:eastAsia="Times New Roman" w:hAnsi="Times New Roman"/>
          <w:sz w:val="18"/>
          <w:szCs w:val="18"/>
          <w:i w:val="1"/>
          <w:iCs w:val="1"/>
          <w:color w:val="auto"/>
        </w:rPr>
        <w:t>Compensation-Stock Compensation: Improvements to Employee Share-Based Payment Accounting</w:t>
      </w:r>
      <w:r>
        <w:rPr>
          <w:rFonts w:ascii="Times New Roman" w:cs="Times New Roman" w:eastAsia="Times New Roman" w:hAnsi="Times New Roman"/>
          <w:sz w:val="18"/>
          <w:szCs w:val="18"/>
          <w:color w:val="auto"/>
        </w:rPr>
        <w:t>, which requires recognition of excess tax benefits related to employees' restricted stock vesting to be recorded within income tax expense. Prior to adoption of ASU 2016-09, excess tax benefits were recorded through Additional paid-in capital, with no impact to the effective tax rate or our consolidated statement of comprehensive income. See further discussion in Note 2 "Summary of Significant Accounting Policies."</w:t>
      </w:r>
    </w:p>
    <w:p>
      <w:pPr>
        <w:spacing w:after="0" w:line="76"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As of March 31, 2017 and December 31, 2016, the Company's gross liability related to uncertain tax positions was $2.1 million and $2.5 million, respectively. A number of years may elapse before an uncertain tax position is finally resolved. To the extent that the Company has favorable tax settlements, or determines that accrued amounts are no longer needed due to a lapse in the applicable statute of limitations or other changes in circumstances, such liabilities, as well as any related interest and penalties, would be reversed as a reduction of income tax expense, net of federal tax effects, in the period such determination is made. A reconciliation of the change in recorded uncertain tax positions during the three months ended March 31, 2017 is as follows (in thousands):</w:t>
      </w:r>
    </w:p>
    <w:p>
      <w:pPr>
        <w:spacing w:after="0" w:line="233" w:lineRule="exact"/>
        <w:rPr>
          <w:sz w:val="20"/>
          <w:szCs w:val="20"/>
          <w:color w:val="auto"/>
        </w:rPr>
      </w:pPr>
    </w:p>
    <w:tbl>
      <w:tblPr>
        <w:tblLayout w:type="fixed"/>
        <w:tblInd w:w="1540" w:type="dxa"/>
        <w:tblCellMar>
          <w:top w:w="0" w:type="dxa"/>
          <w:left w:w="0" w:type="dxa"/>
          <w:bottom w:w="0" w:type="dxa"/>
          <w:right w:w="0" w:type="dxa"/>
        </w:tblCellMar>
      </w:tblPr>
      <w:tr>
        <w:trPr>
          <w:trHeight w:val="27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2017</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2,462</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6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6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7"/>
        </w:trPr>
        <w:tc>
          <w:tcPr>
            <w:tcW w:w="6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 for tax positions related to prior years</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57"/>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2017</w:t>
            </w: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2,125</w:t>
            </w:r>
          </w:p>
        </w:tc>
      </w:tr>
      <w:tr>
        <w:trPr>
          <w:trHeight w:val="20"/>
        </w:trPr>
        <w:tc>
          <w:tcPr>
            <w:tcW w:w="6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Within the next twelve months, it is reasonably possible that the liability for uncertain tax positions could decrease by as much as $2.1 million as a result of settlements with certain taxing authorities, which, if recognized, would decrease our provision for income taxes by $1.4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2222"/>
        </w:rPr>
        <w:t>11. RELATED PARTY TRANSACTIONS</w:t>
      </w:r>
    </w:p>
    <w:p>
      <w:pPr>
        <w:spacing w:after="0" w:line="175" w:lineRule="exact"/>
        <w:rPr>
          <w:sz w:val="20"/>
          <w:szCs w:val="20"/>
          <w:color w:val="auto"/>
        </w:rPr>
      </w:pPr>
    </w:p>
    <w:p>
      <w:pPr>
        <w:jc w:val="both"/>
        <w:ind w:right="20" w:firstLine="500"/>
        <w:spacing w:after="0" w:line="266" w:lineRule="auto"/>
        <w:rPr>
          <w:sz w:val="20"/>
          <w:szCs w:val="20"/>
          <w:color w:val="auto"/>
        </w:rPr>
      </w:pPr>
      <w:r>
        <w:rPr>
          <w:rFonts w:ascii="Times New Roman" w:cs="Times New Roman" w:eastAsia="Times New Roman" w:hAnsi="Times New Roman"/>
          <w:sz w:val="18"/>
          <w:szCs w:val="18"/>
          <w:color w:val="auto"/>
        </w:rPr>
        <w:t>Some of our directors, executive officers and their affiliates invest their personal funds directly in trust accounts that we manage. For the three months ended March 31, 2017 and 2016, we recorded trust fees from these accounts of $95,000 and $112,000, respectively. There was $93,000 and $97,000 due from these accounts as of March 31, 2017 and December 31, 2016, respectively.</w:t>
      </w:r>
    </w:p>
    <w:p>
      <w:pPr>
        <w:spacing w:after="0" w:line="68" w:lineRule="exact"/>
        <w:rPr>
          <w:sz w:val="20"/>
          <w:szCs w:val="20"/>
          <w:color w:val="auto"/>
        </w:rPr>
      </w:pPr>
    </w:p>
    <w:p>
      <w:pPr>
        <w:ind w:firstLine="500"/>
        <w:spacing w:after="0" w:line="255" w:lineRule="auto"/>
        <w:rPr>
          <w:sz w:val="20"/>
          <w:szCs w:val="20"/>
          <w:color w:val="auto"/>
        </w:rPr>
      </w:pPr>
      <w:r>
        <w:rPr>
          <w:rFonts w:ascii="Times New Roman" w:cs="Times New Roman" w:eastAsia="Times New Roman" w:hAnsi="Times New Roman"/>
          <w:sz w:val="18"/>
          <w:szCs w:val="18"/>
          <w:color w:val="222222"/>
        </w:rPr>
        <w:t xml:space="preserve">The Company engages in transactions with its affiliates in the ordinary course of business. Westwood International and </w:t>
      </w:r>
      <w:r>
        <w:rPr>
          <w:rFonts w:ascii="Times New Roman" w:cs="Times New Roman" w:eastAsia="Times New Roman" w:hAnsi="Times New Roman"/>
          <w:sz w:val="18"/>
          <w:szCs w:val="18"/>
          <w:color w:val="000000"/>
        </w:rPr>
        <w:t>Westwood Management</w:t>
      </w:r>
      <w:r>
        <w:rPr>
          <w:rFonts w:ascii="Times New Roman" w:cs="Times New Roman" w:eastAsia="Times New Roman" w:hAnsi="Times New Roman"/>
          <w:sz w:val="18"/>
          <w:szCs w:val="18"/>
          <w:color w:val="222222"/>
        </w:rPr>
        <w:t xml:space="preserve"> provide investment advisory services to the UCITS Fund and the Westwood Funds®. Certain members of our management serve on the board of directors of the UCITS Fund, and we have capital invested in three of the Westwood Funds®. Under the terms of the investment advisory agreements, the Company earns quarterly fees paid by clients of the fund or directly by the funds. The fees are based on negotiated fee schedules applied to assets under management. These fees are commensurate with market rates. For the three months ended March 31, 2017 and 2016, the Company earned approximately $800,000 and $319,000, respectively, in fees from the affiliated funds. These fees do not include fees paid directly to Westwood International by certain clients invested in the UCITS Fund that have an investment management agreement with Westwood International. As of March 31, 2017 and December 31, 2016, $292,000 and $270,000, respectively, of these fees were unpaid and included in “Accounts receivable” on our condensed consolidated balance sheets.</w:t>
      </w: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117" w:right="259" w:bottom="1440" w:gutter="0" w:footer="0" w:header="0"/>
        </w:sectPr>
      </w:pPr>
    </w:p>
    <w:bookmarkStart w:id="15" w:name="page16"/>
    <w:bookmarkEnd w:id="1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75" w:lineRule="exact"/>
        <w:rPr>
          <w:sz w:val="20"/>
          <w:szCs w:val="20"/>
          <w:color w:val="auto"/>
        </w:rPr>
      </w:pPr>
    </w:p>
    <w:p>
      <w:pPr>
        <w:ind w:right="80" w:firstLine="500"/>
        <w:spacing w:after="0" w:line="254" w:lineRule="auto"/>
        <w:rPr>
          <w:sz w:val="20"/>
          <w:szCs w:val="20"/>
          <w:color w:val="auto"/>
        </w:rPr>
      </w:pPr>
      <w:r>
        <w:rPr>
          <w:rFonts w:ascii="Times New Roman" w:cs="Times New Roman" w:eastAsia="Times New Roman" w:hAnsi="Times New Roman"/>
          <w:sz w:val="18"/>
          <w:szCs w:val="18"/>
          <w:color w:val="auto"/>
        </w:rPr>
        <w:t>On August 3, 2012, AGF Management Limited and AGF Investments Inc. (collectively, “AGF”) filed a lawsuit in the Ontario Superior Court of Justice against Westwood, certain Westwood employees and the executive recruiting firm of Warren International, LLC. (“Warren”). The action relates to the hiring of certain members of Westwood’s global and emerging markets investment team previously employed by AGF. AGF is alleging that the former employees breached certain obligations when they resigned from AGF and that Westwood and Warren induced such breaches. AGF is seeking an unspecified amount of damages and punitive damages of $10 million CDN in the lawsuit. On November 5, 2012, Westwood responded to AGF’s lawsuit with a counterclaim against AGF for defamation. Westwood is seeking $1 million CDN in general damages, $10 million CDN in special damages, $1 million CDN in punitive damages, and costs. On November 6, 2012, AGF filed a second lawsuit against Westwood, Westwood Management and an employee of a Westwood subsidiary, alleging that the employee made defamatory statements about AGF. In this second lawsuit, AGF is seeking $5 million CDN in general damages, $1 million CDN per defendant in punitive damages, unspecified special damages, interest and costs. The pleadings phase was completed in 2013, and we continue to be in the discovery phase.</w:t>
      </w:r>
    </w:p>
    <w:p>
      <w:pPr>
        <w:spacing w:after="0" w:line="78" w:lineRule="exact"/>
        <w:rPr>
          <w:sz w:val="20"/>
          <w:szCs w:val="20"/>
          <w:color w:val="auto"/>
        </w:rPr>
      </w:pPr>
    </w:p>
    <w:p>
      <w:pPr>
        <w:ind w:right="60" w:firstLine="500"/>
        <w:spacing w:after="0" w:line="261" w:lineRule="auto"/>
        <w:rPr>
          <w:sz w:val="20"/>
          <w:szCs w:val="20"/>
          <w:color w:val="auto"/>
        </w:rPr>
      </w:pPr>
      <w:r>
        <w:rPr>
          <w:rFonts w:ascii="Times New Roman" w:cs="Times New Roman" w:eastAsia="Times New Roman" w:hAnsi="Times New Roman"/>
          <w:sz w:val="18"/>
          <w:szCs w:val="18"/>
          <w:color w:val="auto"/>
        </w:rPr>
        <w:t>While we intend to vigorously defend both actions and pursue our counterclaims, we are currently unable to estimate the ultimate aggregate amount of monetary gain, loss or financial impact of these actions and counterclaims. Defending these actions and pursuing these counterclaims may be expensive for us, as well as time consuming for our personnel. While we do not currently believe these proceedings will have a material impact, adverse resolution of these actions and counterclaims could have a material adverse effect on our business, financial condition or results of operations and cash flows.</w:t>
      </w:r>
    </w:p>
    <w:p>
      <w:pPr>
        <w:spacing w:after="0" w:line="72" w:lineRule="exact"/>
        <w:rPr>
          <w:sz w:val="20"/>
          <w:szCs w:val="20"/>
          <w:color w:val="auto"/>
        </w:rPr>
      </w:pPr>
    </w:p>
    <w:p>
      <w:pPr>
        <w:ind w:right="60" w:firstLine="500"/>
        <w:spacing w:after="0" w:line="256" w:lineRule="auto"/>
        <w:rPr>
          <w:sz w:val="20"/>
          <w:szCs w:val="20"/>
          <w:color w:val="auto"/>
        </w:rPr>
      </w:pPr>
      <w:r>
        <w:rPr>
          <w:rFonts w:ascii="Times New Roman" w:cs="Times New Roman" w:eastAsia="Times New Roman" w:hAnsi="Times New Roman"/>
          <w:sz w:val="18"/>
          <w:szCs w:val="18"/>
          <w:color w:val="auto"/>
        </w:rPr>
        <w:t>Our policy is to not accrue legal fees and directly related costs as part of potential loss contingencies. We have agreed with our Directors &amp; Officers insurance provider that 50% of the defense costs related to both AGF claims, excluding Westwood’s counterclaim against AGF, are covered by insurance. We expense legal fees and directly related costs as incurred. We did not receive insurance proceeds during the three months ended March 31, 2017. We received insurance proceeds of approximately $214,000 during the three months ended March 31, 2016. We had a receivable of $245,000 and $186,000 as of March 31, 2017 and December 31, 2016, respectively, which represents our current minimum estimate of expenses that we expect to recover under our insurance policy. This receivable is part of “Other current assets” on our condensed consolidated balance sheets.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175" w:lineRule="exact"/>
        <w:rPr>
          <w:sz w:val="20"/>
          <w:szCs w:val="20"/>
          <w:color w:val="auto"/>
        </w:rPr>
      </w:pPr>
    </w:p>
    <w:p>
      <w:pPr>
        <w:ind w:firstLine="500"/>
        <w:spacing w:after="0" w:line="255" w:lineRule="auto"/>
        <w:rPr>
          <w:sz w:val="20"/>
          <w:szCs w:val="20"/>
          <w:color w:val="auto"/>
        </w:rPr>
      </w:pPr>
      <w:r>
        <w:rPr>
          <w:rFonts w:ascii="Times New Roman" w:cs="Times New Roman" w:eastAsia="Times New Roman" w:hAnsi="Times New Roman"/>
          <w:sz w:val="18"/>
          <w:szCs w:val="18"/>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w:t>
      </w:r>
    </w:p>
    <w:p>
      <w:pPr>
        <w:spacing w:after="0" w:line="121" w:lineRule="exact"/>
        <w:rPr>
          <w:sz w:val="20"/>
          <w:szCs w:val="20"/>
          <w:color w:val="auto"/>
        </w:rPr>
      </w:pPr>
    </w:p>
    <w:p>
      <w:pPr>
        <w:ind w:right="100" w:firstLine="500"/>
        <w:spacing w:after="0" w:line="261" w:lineRule="auto"/>
        <w:rPr>
          <w:sz w:val="20"/>
          <w:szCs w:val="20"/>
          <w:color w:val="auto"/>
        </w:rPr>
      </w:pPr>
      <w:r>
        <w:rPr>
          <w:rFonts w:ascii="Times New Roman" w:cs="Times New Roman" w:eastAsia="Times New Roman" w:hAnsi="Times New Roman"/>
          <w:sz w:val="18"/>
          <w:szCs w:val="18"/>
          <w:color w:val="auto"/>
        </w:rPr>
        <w:t>Our Advisory segment provides investment advisory services to corporate retirement plans, public retirement plans, endowments, foundations, individuals,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and the UCITS Fund, as well as investment subadvisory services to mutual funds and our Trust segment. Westwood Management and Westwood International, which provide investment advisory services to clients of similar type, are included in our Advisory segment along with Westwood Advisors,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Trust provides trust and custodial services and participation in common trust funds that it sponsors to institutions and high net worth individuals.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Westwood Trust is included in our Trust segment.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Westwood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2"/>
        </w:trPr>
        <w:tc>
          <w:tcPr>
            <w:tcW w:w="4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Advisory</w:t>
            </w:r>
          </w:p>
        </w:tc>
        <w:tc>
          <w:tcPr>
            <w:tcW w:w="26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Trust</w:t>
            </w:r>
          </w:p>
        </w:tc>
        <w:tc>
          <w:tcPr>
            <w:tcW w:w="20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Holdings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Eliminations</w:t>
            </w:r>
          </w:p>
        </w:tc>
        <w:tc>
          <w:tcPr>
            <w:tcW w:w="22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(in thousands)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4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4"/>
        </w:trPr>
        <w:tc>
          <w:tcPr>
            <w:tcW w:w="440" w:type="dxa"/>
            <w:vAlign w:val="bottom"/>
            <w:shd w:val="clear" w:color="auto" w:fill="CCEEFF"/>
          </w:tcPr>
          <w:p>
            <w:pPr>
              <w:spacing w:after="0"/>
              <w:rPr>
                <w:sz w:val="17"/>
                <w:szCs w:val="17"/>
                <w:color w:val="auto"/>
              </w:rPr>
            </w:pPr>
          </w:p>
        </w:tc>
        <w:tc>
          <w:tcPr>
            <w:tcW w:w="3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March 31, 2017</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60"/>
        </w:trPr>
        <w:tc>
          <w:tcPr>
            <w:tcW w:w="4360" w:type="dxa"/>
            <w:vAlign w:val="bottom"/>
            <w:gridSpan w:val="2"/>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24,175</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7,795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31,970</w:t>
            </w: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interest and dividend revenue</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167</w:t>
            </w: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486</w:t>
            </w:r>
          </w:p>
        </w:tc>
      </w:tr>
      <w:tr>
        <w:trPr>
          <w:trHeight w:val="21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26,841</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7,859</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32,623</w:t>
            </w:r>
          </w:p>
        </w:tc>
      </w:tr>
      <w:tr>
        <w:trPr>
          <w:trHeight w:val="73"/>
        </w:trPr>
        <w:tc>
          <w:tcPr>
            <w:tcW w:w="436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17"/>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Economic Earnings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10,787</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1,448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10,607</w:t>
            </w:r>
          </w:p>
        </w:tc>
      </w:tr>
      <w:tr>
        <w:trPr>
          <w:trHeight w:val="237"/>
        </w:trPr>
        <w:tc>
          <w:tcPr>
            <w:tcW w:w="4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3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Restricted stock expense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3,897</w:t>
            </w: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Intangible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490</w:t>
            </w:r>
          </w:p>
        </w:tc>
      </w:tr>
      <w:tr>
        <w:trPr>
          <w:trHeight w:val="237"/>
        </w:trPr>
        <w:tc>
          <w:tcPr>
            <w:tcW w:w="44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taxes on goodwill</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w:t>
            </w:r>
          </w:p>
        </w:tc>
      </w:tr>
      <w:tr>
        <w:trPr>
          <w:trHeight w:val="33"/>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6,064</w:t>
            </w:r>
          </w:p>
        </w:tc>
      </w:tr>
      <w:tr>
        <w:trPr>
          <w:trHeight w:val="20"/>
        </w:trPr>
        <w:tc>
          <w:tcPr>
            <w:tcW w:w="43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178,591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66,166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166,104</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Segment goodwill</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5,219</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21,925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27,144</w:t>
            </w: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4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24"/>
        </w:trPr>
        <w:tc>
          <w:tcPr>
            <w:tcW w:w="440" w:type="dxa"/>
            <w:vAlign w:val="bottom"/>
          </w:tcPr>
          <w:p>
            <w:pPr>
              <w:spacing w:after="0"/>
              <w:rPr>
                <w:sz w:val="19"/>
                <w:szCs w:val="19"/>
                <w:color w:val="auto"/>
              </w:rPr>
            </w:pPr>
          </w:p>
        </w:tc>
        <w:tc>
          <w:tcPr>
            <w:tcW w:w="392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Three Months Ended March 31, 2016</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7"/>
        </w:trPr>
        <w:tc>
          <w:tcPr>
            <w:tcW w:w="43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tcPr>
          <w:p>
            <w:pPr>
              <w:spacing w:after="0"/>
              <w:rPr>
                <w:sz w:val="4"/>
                <w:szCs w:val="4"/>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fee revenues from external sources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29,280</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intersegment revenues</w:t>
            </w:r>
          </w:p>
        </w:tc>
        <w:tc>
          <w:tcPr>
            <w:tcW w:w="18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interest and dividend revenue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net</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33"/>
        </w:trPr>
        <w:tc>
          <w:tcPr>
            <w:tcW w:w="43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26,339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29,129</w:t>
            </w:r>
          </w:p>
        </w:tc>
      </w:tr>
      <w:tr>
        <w:trPr>
          <w:trHeight w:val="20"/>
        </w:trPr>
        <w:tc>
          <w:tcPr>
            <w:tcW w:w="43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Economic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9,076</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8,093</w:t>
            </w: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w:t>
            </w:r>
          </w:p>
        </w:tc>
        <w:tc>
          <w:tcPr>
            <w:tcW w:w="39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Restricted stock expense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4,003</w:t>
            </w:r>
          </w:p>
        </w:tc>
      </w:tr>
      <w:tr>
        <w:trPr>
          <w:trHeight w:val="237"/>
        </w:trPr>
        <w:tc>
          <w:tcPr>
            <w:tcW w:w="440" w:type="dxa"/>
            <w:vAlign w:val="bottom"/>
          </w:tcPr>
          <w:p>
            <w:pPr>
              <w:spacing w:after="0"/>
              <w:rPr>
                <w:sz w:val="20"/>
                <w:szCs w:val="20"/>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amortization</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490</w:t>
            </w:r>
          </w:p>
        </w:tc>
      </w:tr>
      <w:tr>
        <w:trPr>
          <w:trHeight w:val="33"/>
        </w:trPr>
        <w:tc>
          <w:tcPr>
            <w:tcW w:w="4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40" w:type="dxa"/>
            <w:vAlign w:val="bottom"/>
            <w:tcBorders>
              <w:bottom w:val="single" w:sz="8" w:color="CCEEFF"/>
            </w:tcBorders>
            <w:shd w:val="clear" w:color="auto" w:fill="CCEEFF"/>
          </w:tcPr>
          <w:p>
            <w:pPr>
              <w:spacing w:after="0"/>
              <w:rPr>
                <w:sz w:val="23"/>
                <w:szCs w:val="23"/>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taxes on goodwill</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w:t>
            </w:r>
          </w:p>
        </w:tc>
      </w:tr>
      <w:tr>
        <w:trPr>
          <w:trHeight w:val="21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3,522</w:t>
            </w:r>
          </w:p>
        </w:tc>
      </w:tr>
      <w:tr>
        <w:trPr>
          <w:trHeight w:val="73"/>
        </w:trPr>
        <w:tc>
          <w:tcPr>
            <w:tcW w:w="4360" w:type="dxa"/>
            <w:vAlign w:val="bottom"/>
            <w:tcBorders>
              <w:bottom w:val="single" w:sz="8" w:color="CCEEFF"/>
            </w:tcBorders>
            <w:gridSpan w:val="2"/>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CCEEFF"/>
            </w:tcBorders>
          </w:tcPr>
          <w:p>
            <w:pPr>
              <w:spacing w:after="0"/>
              <w:rPr>
                <w:sz w:val="6"/>
                <w:szCs w:val="6"/>
                <w:color w:val="auto"/>
              </w:rPr>
            </w:pPr>
          </w:p>
        </w:tc>
        <w:tc>
          <w:tcPr>
            <w:tcW w:w="9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r>
      <w:tr>
        <w:trPr>
          <w:trHeight w:val="278"/>
        </w:trPr>
        <w:tc>
          <w:tcPr>
            <w:tcW w:w="4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43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Segment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184,478</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66,794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8,264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(95,084)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164,452</w:t>
            </w:r>
          </w:p>
        </w:tc>
      </w:tr>
      <w:tr>
        <w:trPr>
          <w:trHeight w:val="33"/>
        </w:trPr>
        <w:tc>
          <w:tcPr>
            <w:tcW w:w="43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Segment goodwill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27,144</w:t>
            </w:r>
          </w:p>
        </w:tc>
      </w:tr>
      <w:tr>
        <w:trPr>
          <w:trHeight w:val="33"/>
        </w:trPr>
        <w:tc>
          <w:tcPr>
            <w:tcW w:w="440" w:type="dxa"/>
            <w:vAlign w:val="bottom"/>
            <w:shd w:val="clear" w:color="auto" w:fill="CCEEFF"/>
          </w:tcPr>
          <w:p>
            <w:pPr>
              <w:spacing w:after="0"/>
              <w:rPr>
                <w:sz w:val="2"/>
                <w:szCs w:val="2"/>
                <w:color w:val="auto"/>
              </w:rPr>
            </w:pPr>
          </w:p>
        </w:tc>
        <w:tc>
          <w:tcPr>
            <w:tcW w:w="3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46" w:lineRule="exact"/>
        <w:rPr>
          <w:sz w:val="20"/>
          <w:szCs w:val="20"/>
          <w:color w:val="auto"/>
        </w:rPr>
      </w:pPr>
    </w:p>
    <w:p>
      <w:pPr>
        <w:ind w:right="80" w:firstLine="500"/>
        <w:spacing w:after="0" w:line="266" w:lineRule="auto"/>
        <w:rPr>
          <w:sz w:val="20"/>
          <w:szCs w:val="20"/>
          <w:color w:val="auto"/>
        </w:rPr>
      </w:pPr>
      <w:r>
        <w:rPr>
          <w:rFonts w:ascii="Times New Roman" w:cs="Times New Roman" w:eastAsia="Times New Roman" w:hAnsi="Times New Roman"/>
          <w:sz w:val="18"/>
          <w:szCs w:val="18"/>
          <w:color w:val="auto"/>
        </w:rPr>
        <w:t>We are providing a performance measure that we refer to as Economic Earnings. Both our management and Board of Directors review Economic Earnings to evaluate our ongoing performance, allocate resources and determine our dividend policy. We also believe that this performance measure is useful for management and investors when evaluating our underlying operating and financial performance and our available resources.</w:t>
      </w:r>
    </w:p>
    <w:p>
      <w:pPr>
        <w:spacing w:after="0" w:line="68"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In calculating Economic Earnings, we add to net income the non-cash expense associated with equity-based compensation awards of restricted stock, amortization of intangible assets and the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type w:val="continuous"/>
        </w:sectPr>
      </w:pPr>
    </w:p>
    <w:bookmarkStart w:id="17" w:name="page18"/>
    <w:bookmarkEnd w:id="17"/>
    <w:p>
      <w:pPr>
        <w:jc w:val="center"/>
        <w:ind w:left="380" w:right="2020"/>
        <w:spacing w:after="0" w:line="268" w:lineRule="auto"/>
        <w:rPr>
          <w:sz w:val="20"/>
          <w:szCs w:val="20"/>
          <w:color w:val="auto"/>
        </w:rPr>
      </w:pPr>
      <w:r>
        <w:rPr>
          <w:rFonts w:ascii="Times New Roman" w:cs="Times New Roman" w:eastAsia="Times New Roman" w:hAnsi="Times New Roman"/>
          <w:sz w:val="18"/>
          <w:szCs w:val="18"/>
          <w:b w:val="1"/>
          <w:bCs w:val="1"/>
          <w:color w:val="auto"/>
        </w:rPr>
        <w:t>WESTWOOD HOLDINGS GROUP, INC. AND SUBSIDIARIES NOTES TO CONDENSED CONSOLIDATED FINANCIAL STATEMENTS — (Continued) (Unaudited)</w:t>
      </w:r>
    </w:p>
    <w:p>
      <w:pPr>
        <w:spacing w:after="0" w:line="3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a reconciliation of Net income to Economic Earnings (in thousands, except per share and share amounts):</w:t>
      </w:r>
    </w:p>
    <w:p>
      <w:pPr>
        <w:spacing w:after="0" w:line="174" w:lineRule="exact"/>
        <w:rPr>
          <w:sz w:val="20"/>
          <w:szCs w:val="20"/>
          <w:color w:val="auto"/>
        </w:rPr>
      </w:pPr>
    </w:p>
    <w:tbl>
      <w:tblPr>
        <w:tblLayout w:type="fixed"/>
        <w:tblInd w:w="84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4"/>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47"/>
        </w:trPr>
        <w:tc>
          <w:tcPr>
            <w:tcW w:w="7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17"/>
        </w:trPr>
        <w:tc>
          <w:tcPr>
            <w:tcW w:w="7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47"/>
        </w:trPr>
        <w:tc>
          <w:tcPr>
            <w:tcW w:w="7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6,064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3,522</w:t>
            </w:r>
          </w:p>
        </w:tc>
      </w:tr>
      <w:tr>
        <w:trPr>
          <w:trHeight w:val="243"/>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4,003</w:t>
            </w: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w:t>
            </w:r>
          </w:p>
        </w:tc>
      </w:tr>
      <w:tr>
        <w:trPr>
          <w:trHeight w:val="243"/>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r>
      <w:tr>
        <w:trPr>
          <w:trHeight w:val="27"/>
        </w:trPr>
        <w:tc>
          <w:tcPr>
            <w:tcW w:w="7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Economic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10,607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8,093</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Declared</w:t>
      </w:r>
    </w:p>
    <w:p>
      <w:pPr>
        <w:spacing w:after="0" w:line="175"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In April 2017, Westwood’s Board of Directors declared a quarterly cash dividend of $0.62 per common share payable on July 3, 2017 to stockholders of record on June 9, 2017.</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80"/>
          </w:cols>
          <w:pgMar w:left="240" w:top="117" w:right="379" w:bottom="1440" w:gutter="0" w:footer="0" w:header="0"/>
        </w:sectPr>
      </w:pPr>
    </w:p>
    <w:bookmarkStart w:id="18" w:name="page19"/>
    <w:bookmarkEnd w:id="18"/>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firstLine="500"/>
        <w:spacing w:after="0" w:line="255" w:lineRule="auto"/>
        <w:rPr>
          <w:sz w:val="20"/>
          <w:szCs w:val="20"/>
          <w:color w:val="auto"/>
        </w:rPr>
      </w:pPr>
      <w:r>
        <w:rPr>
          <w:rFonts w:ascii="Times New Roman" w:cs="Times New Roman" w:eastAsia="Times New Roman" w:hAnsi="Times New Roman"/>
          <w:sz w:val="18"/>
          <w:szCs w:val="18"/>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“may,” “target,” “designed,” “on track,” “comfortable with,” “optimistic”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2016, filed with the SEC, and those risks set forth below:</w:t>
      </w:r>
    </w:p>
    <w:p>
      <w:pPr>
        <w:spacing w:after="0" w:line="81" w:lineRule="exact"/>
        <w:rPr>
          <w:sz w:val="20"/>
          <w:szCs w:val="20"/>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and market value of our assets under management;</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adversely affecting the financial services industry;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investment management industry;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assets under management includes investments in foreign companies;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investment strategies successfully;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current and potential customers;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qualified personnel;</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cyber security;</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information systems;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and property integrate acquired businesses;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risks;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address conflicts of interest;</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insurance coverage;</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fee structure in light of competitive fee pressures;</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investment consulting firms; and</w:t>
      </w:r>
    </w:p>
    <w:p>
      <w:pPr>
        <w:spacing w:after="0" w:line="117" w:lineRule="exact"/>
        <w:rPr>
          <w:rFonts w:ascii="Times New Roman" w:cs="Times New Roman" w:eastAsia="Times New Roman" w:hAnsi="Times New Roman"/>
          <w:sz w:val="18"/>
          <w:szCs w:val="18"/>
          <w:color w:val="auto"/>
        </w:rPr>
      </w:pPr>
    </w:p>
    <w:p>
      <w:pPr>
        <w:ind w:left="1800" w:hanging="57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concentration of our revenues in a small number of customers.</w:t>
      </w:r>
    </w:p>
    <w:p>
      <w:pPr>
        <w:spacing w:after="0" w:line="17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360"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60" w:firstLine="500"/>
        <w:spacing w:after="0" w:line="255" w:lineRule="auto"/>
        <w:rPr>
          <w:sz w:val="20"/>
          <w:szCs w:val="20"/>
          <w:color w:val="auto"/>
        </w:rPr>
      </w:pPr>
      <w:r>
        <w:rPr>
          <w:rFonts w:ascii="Times New Roman" w:cs="Times New Roman" w:eastAsia="Times New Roman" w:hAnsi="Times New Roman"/>
          <w:sz w:val="18"/>
          <w:szCs w:val="18"/>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and Westwood Trust. Westwood Management provides investment advisory services to institutional investors, a family of mutual funds called the Westwood Funds®, other mutual funds, an Ireland-domiciled fund organized pursuant to the European Union’s Undertakings for Collective Investment in Transferable Securities (the “UCITS Fund”), individual investors and clients of Westwood Trust. Westwood International provides investment advisory services to institutional clients, the Westwood Funds®, other mutual funds, the UCITS Fund and clients of Westwood Trust. Westwood Trust provides trust and custodial services and participation in self-sponsored common trust funds to institutions and high net worth individuals. Our revenues are generally derived from fees based on a percentage of assets under management.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firstLine="500"/>
        <w:spacing w:after="0" w:line="254" w:lineRule="auto"/>
        <w:rPr>
          <w:sz w:val="20"/>
          <w:szCs w:val="20"/>
          <w:color w:val="auto"/>
        </w:rPr>
      </w:pPr>
      <w:r>
        <w:rPr>
          <w:rFonts w:ascii="Times New Roman" w:cs="Times New Roman" w:eastAsia="Times New Roman" w:hAnsi="Times New Roman"/>
          <w:sz w:val="18"/>
          <w:szCs w:val="18"/>
          <w:color w:val="auto"/>
        </w:rPr>
        <w:t>We derive our revenues from investment advisory fees, trust fees, and other revenues. Our advisory fees are generated by Westwood Management and Westwood International, which manage client accounts under investment advisory and subadvisory agreements. Advisory fees are calculated based on a percentage of assets under management and are paid in accordance with the terms of the agreements. Advisory fees are paid quarterly in advance based on assets under management on the last day of the preceding quarter, quarterly in arrears based on assets under management on the last day of the quarter just ended, or are based on a daily or monthly analysis of assets under management for the stated period. We recognize advisory fee revenues as services are rendered. A limited number of our clients have a contractual performance-based fee component in their contracts, which generates additional revenues if we outperform a specified index over a specific period of time. We record revenues from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81" w:lineRule="exact"/>
        <w:rPr>
          <w:sz w:val="20"/>
          <w:szCs w:val="20"/>
          <w:color w:val="auto"/>
        </w:rPr>
      </w:pPr>
    </w:p>
    <w:p>
      <w:pPr>
        <w:ind w:right="100" w:firstLine="500"/>
        <w:spacing w:after="0" w:line="256" w:lineRule="auto"/>
        <w:rPr>
          <w:sz w:val="20"/>
          <w:szCs w:val="20"/>
          <w:color w:val="auto"/>
        </w:rPr>
      </w:pPr>
      <w:r>
        <w:rPr>
          <w:rFonts w:ascii="Times New Roman" w:cs="Times New Roman" w:eastAsia="Times New Roman" w:hAnsi="Times New Roman"/>
          <w:sz w:val="18"/>
          <w:szCs w:val="18"/>
          <w:color w:val="auto"/>
        </w:rPr>
        <w:t>Our trust fees are generated by Westwood Trust pursuant to trust or custodial agreements. Trust fees are separately negotiated with each client and are generally based on a percentage of assets under management. Westwood Trust also provides trust services to a small number of clients on a fixed fee basis. During the first quarter of 2016, Westwood Trust changed the billing terms for most of our trust clients from quarterly in advance, based on assets under management on the last day of the preceding quarter, to quarterly in arrears, based on a daily average of assets under management for the quarter. Since billing periods for most of Westwood Trust’s clients coincide with the calendar quarter, revenue is fully recognized within the quarter and our condensed consolidated financial statements do not contain a significant amount of deferred trust fee revenues.</w:t>
      </w:r>
    </w:p>
    <w:p>
      <w:pPr>
        <w:spacing w:after="0" w:line="80" w:lineRule="exact"/>
        <w:rPr>
          <w:sz w:val="20"/>
          <w:szCs w:val="20"/>
          <w:color w:val="auto"/>
        </w:rPr>
      </w:pPr>
    </w:p>
    <w:p>
      <w:pPr>
        <w:ind w:right="60" w:firstLine="500"/>
        <w:spacing w:after="0" w:line="282" w:lineRule="auto"/>
        <w:rPr>
          <w:sz w:val="20"/>
          <w:szCs w:val="20"/>
          <w:color w:val="auto"/>
        </w:rPr>
      </w:pPr>
      <w:r>
        <w:rPr>
          <w:rFonts w:ascii="Times New Roman" w:cs="Times New Roman" w:eastAsia="Times New Roman" w:hAnsi="Times New Roman"/>
          <w:sz w:val="18"/>
          <w:szCs w:val="18"/>
          <w:color w:val="auto"/>
        </w:rPr>
        <w:t>Our other revenues generally consist of interest and investment income. Although we generally invest most of our cash in U.S. Treasury securities, we also invest in equity and fixed income instruments and money market funds, including seed money for new investment strategies.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Compensation and Benefits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Employee compensation and benefits costs generally consist of salaries, incentive compensation, equity-based compensation expense and benefits.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Sales and marketing costs relate to our marketing efforts, including travel and entertainment, direct marketing and advertising costs.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Westwood Mutual Funds</w:t>
      </w:r>
    </w:p>
    <w:p>
      <w:pPr>
        <w:spacing w:after="0" w:line="11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Westwood Mutual Funds expenses relate to our marketing, distribution and administration of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684" w:right="2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Information Technology</w:t>
      </w:r>
    </w:p>
    <w:p>
      <w:pPr>
        <w:spacing w:after="0" w:line="119" w:lineRule="exact"/>
        <w:rPr>
          <w:sz w:val="20"/>
          <w:szCs w:val="20"/>
          <w:color w:val="auto"/>
        </w:rPr>
      </w:pPr>
    </w:p>
    <w:p>
      <w:pPr>
        <w:ind w:right="60" w:firstLine="554"/>
        <w:spacing w:after="0" w:line="282" w:lineRule="auto"/>
        <w:rPr>
          <w:sz w:val="20"/>
          <w:szCs w:val="20"/>
          <w:color w:val="auto"/>
        </w:rPr>
      </w:pPr>
      <w:r>
        <w:rPr>
          <w:rFonts w:ascii="Times New Roman" w:cs="Times New Roman" w:eastAsia="Times New Roman" w:hAnsi="Times New Roman"/>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Professional services expenses generally consist of costs associated with subadvisory fees, audit, tax, legal and other professional services.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generally consist of costs associated with the lease of our office space, amortization, depreciation, insurance, custody expense, Board of Directors fees, investor relations, licenses and fees, office supplies and other miscellaneous expenses.</w:t>
      </w:r>
    </w:p>
    <w:p>
      <w:pPr>
        <w:spacing w:after="0" w:line="18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240" w:top="578"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Assets Under Management</w:t>
      </w:r>
    </w:p>
    <w:p>
      <w:pPr>
        <w:spacing w:after="0" w:line="121" w:lineRule="exact"/>
        <w:rPr>
          <w:sz w:val="20"/>
          <w:szCs w:val="20"/>
          <w:color w:val="auto"/>
        </w:rPr>
      </w:pPr>
    </w:p>
    <w:p>
      <w:pPr>
        <w:ind w:right="20" w:firstLine="500"/>
        <w:spacing w:after="0" w:line="261" w:lineRule="auto"/>
        <w:rPr>
          <w:sz w:val="20"/>
          <w:szCs w:val="20"/>
          <w:color w:val="auto"/>
        </w:rPr>
      </w:pPr>
      <w:r>
        <w:rPr>
          <w:rFonts w:ascii="Times New Roman" w:cs="Times New Roman" w:eastAsia="Times New Roman" w:hAnsi="Times New Roman"/>
          <w:sz w:val="18"/>
          <w:szCs w:val="18"/>
          <w:color w:val="auto"/>
        </w:rPr>
        <w:t>Assets under management ("AUM") increased $1.0 billion to $22.1 billion at March 31, 2017 compared with $21.1 billion at March 31, 2016 as a result of market appreciation, partially offset by net outflows, over the last twelve months. The average of beginning and ending assets under management for the first quarter of 2017 was $21.7 billion compared to $20.9 billion for the first quarter of 2016. The increase in average assets under management is due to market appreciation over the last twelve months.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assets under management as of March 31, 2017 and 2016:</w:t>
      </w:r>
    </w:p>
    <w:p>
      <w:pPr>
        <w:spacing w:after="0" w:line="187" w:lineRule="exact"/>
        <w:rPr>
          <w:sz w:val="20"/>
          <w:szCs w:val="20"/>
          <w:color w:val="auto"/>
        </w:rPr>
      </w:pPr>
    </w:p>
    <w:tbl>
      <w:tblPr>
        <w:tblLayout w:type="fixed"/>
        <w:tblInd w:w="720" w:type="dxa"/>
        <w:tblCellMar>
          <w:top w:w="0" w:type="dxa"/>
          <w:left w:w="0" w:type="dxa"/>
          <w:bottom w:w="0" w:type="dxa"/>
          <w:right w:w="0" w:type="dxa"/>
        </w:tblCellMar>
      </w:tblPr>
      <w:tr>
        <w:trPr>
          <w:trHeight w:val="212"/>
        </w:trPr>
        <w:tc>
          <w:tcPr>
            <w:tcW w:w="5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r>
      <w:tr>
        <w:trPr>
          <w:trHeight w:val="270"/>
        </w:trPr>
        <w:tc>
          <w:tcPr>
            <w:tcW w:w="5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2017</w:t>
            </w:r>
          </w:p>
        </w:tc>
      </w:tr>
      <w:tr>
        <w:trPr>
          <w:trHeight w:val="270"/>
        </w:trPr>
        <w:tc>
          <w:tcPr>
            <w:tcW w:w="5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 March 31,</w:t>
            </w: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vs.</w:t>
            </w:r>
          </w:p>
        </w:tc>
      </w:tr>
      <w:tr>
        <w:trPr>
          <w:trHeight w:val="33"/>
        </w:trPr>
        <w:tc>
          <w:tcPr>
            <w:tcW w:w="5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1"/>
        </w:trPr>
        <w:tc>
          <w:tcPr>
            <w:tcW w:w="5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2016</w:t>
            </w:r>
          </w:p>
        </w:tc>
      </w:tr>
      <w:tr>
        <w:trPr>
          <w:trHeight w:val="33"/>
        </w:trPr>
        <w:tc>
          <w:tcPr>
            <w:tcW w:w="5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7"/>
        </w:trPr>
        <w:tc>
          <w:tcPr>
            <w:tcW w:w="5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jc w:val="right"/>
              <w:ind w:right="11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47"/>
        </w:trPr>
        <w:tc>
          <w:tcPr>
            <w:tcW w:w="5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80" w:type="dxa"/>
            <w:vAlign w:val="bottom"/>
          </w:tcPr>
          <w:p>
            <w:pPr>
              <w:spacing w:after="0"/>
              <w:rPr>
                <w:sz w:val="4"/>
                <w:szCs w:val="4"/>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Institutional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12,435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12,232</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Wealth</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5,675</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5,305</w:t>
            </w:r>
          </w:p>
        </w:tc>
        <w:tc>
          <w:tcPr>
            <w:tcW w:w="178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3,963</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3,598</w:t>
            </w:r>
          </w:p>
        </w:tc>
        <w:tc>
          <w:tcPr>
            <w:tcW w:w="178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10</w:t>
            </w:r>
          </w:p>
        </w:tc>
      </w:tr>
      <w:tr>
        <w:trPr>
          <w:trHeight w:val="297"/>
        </w:trPr>
        <w:tc>
          <w:tcPr>
            <w:tcW w:w="51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Assets Under Management</w:t>
            </w:r>
            <w:r>
              <w:rPr>
                <w:rFonts w:ascii="Times New Roman" w:cs="Times New Roman" w:eastAsia="Times New Roman" w:hAnsi="Times New Roman"/>
                <w:sz w:val="25"/>
                <w:szCs w:val="25"/>
                <w:b w:val="1"/>
                <w:bCs w:val="1"/>
                <w:color w:val="auto"/>
                <w:vertAlign w:val="superscript"/>
              </w:rPr>
              <w:t>(1)</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22,073</w:t>
            </w:r>
          </w:p>
        </w:tc>
        <w:tc>
          <w:tcPr>
            <w:tcW w:w="120" w:type="dxa"/>
            <w:vAlign w:val="bottom"/>
          </w:tcPr>
          <w:p>
            <w:pPr>
              <w:spacing w:after="0"/>
              <w:rPr>
                <w:sz w:val="24"/>
                <w:szCs w:val="24"/>
                <w:color w:val="auto"/>
              </w:rPr>
            </w:pPr>
          </w:p>
        </w:tc>
        <w:tc>
          <w:tcPr>
            <w:tcW w:w="5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21,135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-20955</wp:posOffset>
            </wp:positionV>
            <wp:extent cx="197231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72310"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________________</w:t>
      </w:r>
    </w:p>
    <w:p>
      <w:pPr>
        <w:spacing w:after="0" w:line="39" w:lineRule="exact"/>
        <w:rPr>
          <w:sz w:val="20"/>
          <w:szCs w:val="20"/>
          <w:color w:val="auto"/>
        </w:rPr>
      </w:pPr>
    </w:p>
    <w:p>
      <w:pPr>
        <w:ind w:left="820" w:right="540" w:hanging="812"/>
        <w:spacing w:after="0" w:line="261" w:lineRule="auto"/>
        <w:tabs>
          <w:tab w:leader="none" w:pos="8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AUM excludes $1.1 billion of assets under advisement ("AUA") as of March 31, 2017 related to our model portfolios, including approximately $723 million in a long-only convertibles fund for which we provide consulting advice but do not have direct discretionary investment authority. AUM excluded approximately $325 million of AUA as of March 31, 2016 related to model portfolios, for which we provided consulting advice but for which we did not have direct discretionary investment authority.</w:t>
      </w:r>
    </w:p>
    <w:p>
      <w:pPr>
        <w:spacing w:after="0" w:line="287" w:lineRule="exact"/>
        <w:rPr>
          <w:rFonts w:ascii="Times New Roman" w:cs="Times New Roman" w:eastAsia="Times New Roman" w:hAnsi="Times New Roman"/>
          <w:sz w:val="14"/>
          <w:szCs w:val="14"/>
          <w:color w:val="auto"/>
        </w:rPr>
      </w:pPr>
    </w:p>
    <w:p>
      <w:pPr>
        <w:ind w:left="1540" w:right="40" w:hanging="641"/>
        <w:spacing w:after="0" w:line="259"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Institutional </w:t>
      </w:r>
      <w:r>
        <w:rPr>
          <w:rFonts w:ascii="Times New Roman" w:cs="Times New Roman" w:eastAsia="Times New Roman" w:hAnsi="Times New Roman"/>
          <w:sz w:val="18"/>
          <w:szCs w:val="18"/>
          <w:color w:val="auto"/>
        </w:rPr>
        <w:t>includes separate accounts of corporate pension and profit sharing plans, public employee retirement funds, Taft Hartley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plans, endowments, foundations and individuals; subadvisory relationships where Westwood provides investment management services for funds offered by other financial institutions; pooled investment vehicles, including the UCITS Fund and collective investment trusts; and managed account relationships with brokerage firms and other registered investment advisors that offer Westwood products to their customers.</w:t>
      </w:r>
    </w:p>
    <w:p>
      <w:pPr>
        <w:spacing w:after="0" w:line="17" w:lineRule="exact"/>
        <w:rPr>
          <w:rFonts w:ascii="Times New Roman" w:cs="Times New Roman" w:eastAsia="Times New Roman" w:hAnsi="Times New Roman"/>
          <w:sz w:val="18"/>
          <w:szCs w:val="18"/>
          <w:color w:val="auto"/>
        </w:rPr>
      </w:pPr>
    </w:p>
    <w:p>
      <w:pPr>
        <w:ind w:left="1540" w:hanging="641"/>
        <w:spacing w:after="0" w:line="255"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Wealth </w:t>
      </w:r>
      <w:r>
        <w:rPr>
          <w:rFonts w:ascii="Times New Roman" w:cs="Times New Roman" w:eastAsia="Times New Roman" w:hAnsi="Times New Roman"/>
          <w:sz w:val="18"/>
          <w:szCs w:val="18"/>
          <w:color w:val="auto"/>
        </w:rPr>
        <w:t>includes assets for which Westwood Trust provides trust and custodial services and participation in common trust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it sponsors to institutions and high net worth individuals pursuant to trust or agency agreements and assets for which Westwood Advisors provides advisory services in ten limited liability companies to high net worth individuals. Investment subadvisory services are provided for the common trust funds by Westwood Management, Westwood International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upon an inter-generational transfer of wealth.</w:t>
      </w:r>
    </w:p>
    <w:p>
      <w:pPr>
        <w:spacing w:after="0" w:line="21" w:lineRule="exact"/>
        <w:rPr>
          <w:rFonts w:ascii="Times New Roman" w:cs="Times New Roman" w:eastAsia="Times New Roman" w:hAnsi="Times New Roman"/>
          <w:sz w:val="18"/>
          <w:szCs w:val="18"/>
          <w:color w:val="auto"/>
        </w:rPr>
      </w:pPr>
    </w:p>
    <w:p>
      <w:pPr>
        <w:jc w:val="both"/>
        <w:ind w:left="1540" w:right="400" w:hanging="641"/>
        <w:spacing w:after="0" w:line="268"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Mutual Funds </w:t>
      </w:r>
      <w:r>
        <w:rPr>
          <w:rFonts w:ascii="Times New Roman" w:cs="Times New Roman" w:eastAsia="Times New Roman" w:hAnsi="Times New Roman"/>
          <w:sz w:val="18"/>
          <w:szCs w:val="18"/>
          <w:color w:val="auto"/>
        </w:rPr>
        <w:t>include the Westwood Funds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a family of mutual funds for which Westwood Management serves as advisor.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funds are available to individual investors, as well as offered as part of our investment strategies for institutional and private wealth accounts.</w:t>
      </w: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684"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Roll-Forward of Assets Under Management</w:t>
      </w:r>
    </w:p>
    <w:p>
      <w:pPr>
        <w:spacing w:after="0" w:line="218" w:lineRule="exact"/>
        <w:rPr>
          <w:sz w:val="20"/>
          <w:szCs w:val="20"/>
          <w:color w:val="auto"/>
        </w:rPr>
      </w:pPr>
    </w:p>
    <w:tbl>
      <w:tblPr>
        <w:tblLayout w:type="fixed"/>
        <w:tblInd w:w="1200" w:type="dxa"/>
        <w:tblCellMar>
          <w:top w:w="0" w:type="dxa"/>
          <w:left w:w="0" w:type="dxa"/>
          <w:bottom w:w="0" w:type="dxa"/>
          <w:right w:w="0" w:type="dxa"/>
        </w:tblCellMar>
      </w:tblPr>
      <w:tr>
        <w:trPr>
          <w:trHeight w:val="226"/>
        </w:trPr>
        <w:tc>
          <w:tcPr>
            <w:tcW w:w="6040" w:type="dxa"/>
            <w:vAlign w:val="bottom"/>
          </w:tcPr>
          <w:p>
            <w:pPr>
              <w:ind w:left="16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Pr>
          <w:p>
            <w:pPr>
              <w:spacing w:after="0"/>
              <w:rPr>
                <w:sz w:val="19"/>
                <w:szCs w:val="19"/>
                <w:color w:val="auto"/>
              </w:rPr>
            </w:pPr>
          </w:p>
        </w:tc>
        <w:tc>
          <w:tcPr>
            <w:tcW w:w="276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Institutional</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11,911</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11,752</w:t>
            </w:r>
          </w:p>
        </w:tc>
      </w:tr>
      <w:tr>
        <w:trPr>
          <w:trHeight w:val="33"/>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Inflows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w:t>
            </w:r>
          </w:p>
        </w:tc>
      </w:tr>
      <w:tr>
        <w:trPr>
          <w:trHeight w:val="237"/>
        </w:trPr>
        <w:tc>
          <w:tcPr>
            <w:tcW w:w="6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Outflows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33"/>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flows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37"/>
        </w:trPr>
        <w:tc>
          <w:tcPr>
            <w:tcW w:w="6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Market appreciation</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33"/>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 assets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12,232</w:t>
            </w:r>
          </w:p>
        </w:tc>
      </w:tr>
      <w:tr>
        <w:trPr>
          <w:trHeight w:val="73"/>
        </w:trPr>
        <w:tc>
          <w:tcPr>
            <w:tcW w:w="60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Private Wealth</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w:t>
            </w:r>
          </w:p>
        </w:tc>
      </w:tr>
      <w:tr>
        <w:trPr>
          <w:trHeight w:val="33"/>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Inflows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37"/>
        </w:trPr>
        <w:tc>
          <w:tcPr>
            <w:tcW w:w="6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Outflows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flows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37"/>
        </w:trPr>
        <w:tc>
          <w:tcPr>
            <w:tcW w:w="6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Market appreciation</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33"/>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 assets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5,305</w:t>
            </w:r>
          </w:p>
        </w:tc>
      </w:tr>
      <w:tr>
        <w:trPr>
          <w:trHeight w:val="73"/>
        </w:trPr>
        <w:tc>
          <w:tcPr>
            <w:tcW w:w="60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Mutual Funds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3,617</w:t>
            </w:r>
          </w:p>
        </w:tc>
      </w:tr>
      <w:tr>
        <w:trPr>
          <w:trHeight w:val="33"/>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Inflows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r>
      <w:tr>
        <w:trPr>
          <w:trHeight w:val="237"/>
        </w:trPr>
        <w:tc>
          <w:tcPr>
            <w:tcW w:w="6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Outflows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33"/>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flows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37"/>
        </w:trPr>
        <w:tc>
          <w:tcPr>
            <w:tcW w:w="6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Market appreciation</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33"/>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 assets</w:t>
            </w: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3,598</w:t>
            </w:r>
          </w:p>
        </w:tc>
      </w:tr>
      <w:tr>
        <w:trPr>
          <w:trHeight w:val="73"/>
        </w:trPr>
        <w:tc>
          <w:tcPr>
            <w:tcW w:w="604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231"/>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of period assets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20,762</w:t>
            </w:r>
          </w:p>
        </w:tc>
      </w:tr>
      <w:tr>
        <w:trPr>
          <w:trHeight w:val="33"/>
        </w:trPr>
        <w:tc>
          <w:tcPr>
            <w:tcW w:w="6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Inflows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r>
      <w:tr>
        <w:trPr>
          <w:trHeight w:val="237"/>
        </w:trPr>
        <w:tc>
          <w:tcPr>
            <w:tcW w:w="6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Outflows</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33"/>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Net flows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37"/>
        </w:trPr>
        <w:tc>
          <w:tcPr>
            <w:tcW w:w="60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Market appreciation</w:t>
            </w: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33"/>
        </w:trPr>
        <w:tc>
          <w:tcPr>
            <w:tcW w:w="6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r>
      <w:tr>
        <w:trPr>
          <w:trHeight w:val="21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 of period assets</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22,073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21,135</w:t>
            </w:r>
          </w:p>
        </w:tc>
      </w:tr>
      <w:tr>
        <w:trPr>
          <w:trHeight w:val="33"/>
        </w:trPr>
        <w:tc>
          <w:tcPr>
            <w:tcW w:w="6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2017 and 2016</w:t>
      </w:r>
    </w:p>
    <w:p>
      <w:pPr>
        <w:spacing w:after="0" w:line="121" w:lineRule="exact"/>
        <w:rPr>
          <w:sz w:val="20"/>
          <w:szCs w:val="20"/>
          <w:color w:val="auto"/>
        </w:rPr>
      </w:pPr>
    </w:p>
    <w:p>
      <w:pPr>
        <w:ind w:right="80" w:firstLine="500"/>
        <w:spacing w:after="0" w:line="266" w:lineRule="auto"/>
        <w:rPr>
          <w:sz w:val="20"/>
          <w:szCs w:val="20"/>
          <w:color w:val="auto"/>
        </w:rPr>
      </w:pPr>
      <w:r>
        <w:rPr>
          <w:rFonts w:ascii="Times New Roman" w:cs="Times New Roman" w:eastAsia="Times New Roman" w:hAnsi="Times New Roman"/>
          <w:sz w:val="18"/>
          <w:szCs w:val="18"/>
          <w:color w:val="auto"/>
        </w:rPr>
        <w:t>The $0.8 billion increase in assets under management for the three months ended March 31, 2017 was due to market appreciation of $1.1 billion, partially offset by net outflows of $295 million. Net outflows were primarily related to our SMidCap strategies, Emerging Markets strategies, and LargeCap Value strategy, partially offset by inflows in our Market Neutral Income strategy.</w:t>
      </w:r>
    </w:p>
    <w:p>
      <w:pPr>
        <w:spacing w:after="0" w:line="122" w:lineRule="exact"/>
        <w:rPr>
          <w:sz w:val="20"/>
          <w:szCs w:val="20"/>
          <w:color w:val="auto"/>
        </w:rPr>
      </w:pPr>
    </w:p>
    <w:p>
      <w:pPr>
        <w:jc w:val="both"/>
        <w:ind w:firstLine="500"/>
        <w:spacing w:after="0" w:line="266" w:lineRule="auto"/>
        <w:rPr>
          <w:sz w:val="20"/>
          <w:szCs w:val="20"/>
          <w:color w:val="auto"/>
        </w:rPr>
      </w:pPr>
      <w:r>
        <w:rPr>
          <w:rFonts w:ascii="Times New Roman" w:cs="Times New Roman" w:eastAsia="Times New Roman" w:hAnsi="Times New Roman"/>
          <w:sz w:val="18"/>
          <w:szCs w:val="18"/>
          <w:color w:val="auto"/>
        </w:rPr>
        <w:t>The $0.4 billion increase in assets under management for the three months ended March 31, 2016 was due to market depreciation of $421 million and net outflows of $48 million. Net flows were primarily driven by outflows in our Income Opportunity, Market Neutral Income and LargeCap Value strategies, partially offset by inflows in our SmallCap Value and Emerging Markets strategies.</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20"/>
          </w:cols>
          <w:pgMar w:left="240" w:top="68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60" w:firstLine="500"/>
        <w:spacing w:after="0" w:line="266" w:lineRule="auto"/>
        <w:rPr>
          <w:sz w:val="20"/>
          <w:szCs w:val="20"/>
          <w:color w:val="auto"/>
        </w:rPr>
      </w:pPr>
      <w:r>
        <w:rPr>
          <w:rFonts w:ascii="Times New Roman" w:cs="Times New Roman" w:eastAsia="Times New Roman" w:hAnsi="Times New Roman"/>
          <w:sz w:val="18"/>
          <w:szCs w:val="18"/>
          <w:color w:val="auto"/>
        </w:rPr>
        <w:t>The following table (dollars in thousands) and discussion of our results of operations is based upon data derived from the condensed consolidated statements of comprehensive income contained in our condensed consolidated financial statements and should be read in conjunction with those statements, included elsewhere in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6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0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6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vs.</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March 31, 2016</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68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682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0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Advisory fees: asset-based</w:t>
            </w: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23,789</w:t>
            </w:r>
          </w:p>
        </w:tc>
        <w:tc>
          <w:tcPr>
            <w:tcW w:w="10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21,815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Advisory fees: performance-based</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Trust fees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7,795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7,465</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Other revenues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32,623</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29,129</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Employee compensation and benefits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16,494</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328</w:t>
            </w:r>
          </w:p>
        </w:tc>
        <w:tc>
          <w:tcPr>
            <w:tcW w:w="17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Westwood mutual funds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696</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Information technology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1,964</w:t>
            </w:r>
          </w:p>
        </w:tc>
        <w:tc>
          <w:tcPr>
            <w:tcW w:w="17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Professional services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1,646</w:t>
            </w:r>
          </w:p>
        </w:tc>
        <w:tc>
          <w:tcPr>
            <w:tcW w:w="17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82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2,355</w:t>
            </w:r>
          </w:p>
        </w:tc>
        <w:tc>
          <w:tcPr>
            <w:tcW w:w="17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8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expenses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24,853</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23,483</w:t>
            </w:r>
          </w:p>
        </w:tc>
        <w:tc>
          <w:tcPr>
            <w:tcW w:w="172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7,770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5,646</w:t>
            </w:r>
          </w:p>
        </w:tc>
        <w:tc>
          <w:tcPr>
            <w:tcW w:w="172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2,124</w:t>
            </w:r>
          </w:p>
        </w:tc>
        <w:tc>
          <w:tcPr>
            <w:tcW w:w="17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6,064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3,522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jc w:val="right"/>
              <w:ind w:right="4979"/>
              <w:spacing w:after="0"/>
              <w:rPr>
                <w:sz w:val="20"/>
                <w:szCs w:val="20"/>
                <w:color w:val="auto"/>
              </w:rPr>
            </w:pPr>
            <w:r>
              <w:rPr>
                <w:rFonts w:ascii="Times New Roman" w:cs="Times New Roman" w:eastAsia="Times New Roman" w:hAnsi="Times New Roman"/>
                <w:sz w:val="14"/>
                <w:szCs w:val="14"/>
                <w:color w:val="auto"/>
              </w:rPr>
              <w:t>_________________________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8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6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NM  Not meaningful</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2017 compared to three months ended March 31, 2016</w:t>
      </w:r>
    </w:p>
    <w:p>
      <w:pPr>
        <w:spacing w:after="0" w:line="119" w:lineRule="exact"/>
        <w:rPr>
          <w:sz w:val="20"/>
          <w:szCs w:val="20"/>
          <w:color w:val="auto"/>
        </w:rPr>
      </w:pPr>
    </w:p>
    <w:p>
      <w:pPr>
        <w:ind w:right="100" w:firstLine="500"/>
        <w:spacing w:after="0" w:line="267" w:lineRule="auto"/>
        <w:rPr>
          <w:sz w:val="20"/>
          <w:szCs w:val="20"/>
          <w:color w:val="auto"/>
        </w:rPr>
      </w:pPr>
      <w:r>
        <w:rPr>
          <w:rFonts w:ascii="Times New Roman" w:cs="Times New Roman" w:eastAsia="Times New Roman" w:hAnsi="Times New Roman"/>
          <w:sz w:val="18"/>
          <w:szCs w:val="18"/>
          <w:i w:val="1"/>
          <w:iCs w:val="1"/>
          <w:color w:val="auto"/>
        </w:rPr>
        <w:t>Total Revenues</w:t>
      </w:r>
      <w:r>
        <w:rPr>
          <w:rFonts w:ascii="Times New Roman" w:cs="Times New Roman" w:eastAsia="Times New Roman" w:hAnsi="Times New Roman"/>
          <w:sz w:val="18"/>
          <w:szCs w:val="18"/>
          <w:color w:val="auto"/>
        </w:rPr>
        <w:t>. Our Total revenues increased $3.5 million, or 12%, to $32.6 million for the three months ended March 31, 2017 compared with $29.1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three months ended March 31, 2016. Asset-based advisory fees increased $2.0 million, or 9%, and Trust fees increased $0.3 million, or 4%, primarily due to higher average assets under management due to asset appreciation. Performance-based advisory fees increased by $0.4 million.</w:t>
      </w:r>
    </w:p>
    <w:p>
      <w:pPr>
        <w:spacing w:after="0" w:line="120" w:lineRule="exact"/>
        <w:rPr>
          <w:sz w:val="20"/>
          <w:szCs w:val="20"/>
          <w:color w:val="auto"/>
        </w:rPr>
      </w:pPr>
    </w:p>
    <w:p>
      <w:pPr>
        <w:ind w:right="100" w:firstLine="500"/>
        <w:spacing w:after="0" w:line="267" w:lineRule="auto"/>
        <w:rPr>
          <w:sz w:val="20"/>
          <w:szCs w:val="20"/>
          <w:color w:val="auto"/>
        </w:rPr>
      </w:pPr>
      <w:r>
        <w:rPr>
          <w:rFonts w:ascii="Times New Roman" w:cs="Times New Roman" w:eastAsia="Times New Roman" w:hAnsi="Times New Roman"/>
          <w:sz w:val="18"/>
          <w:szCs w:val="18"/>
          <w:i w:val="1"/>
          <w:iCs w:val="1"/>
          <w:color w:val="auto"/>
        </w:rPr>
        <w:t>Employee Compensation and Benefits</w:t>
      </w:r>
      <w:r>
        <w:rPr>
          <w:rFonts w:ascii="Times New Roman" w:cs="Times New Roman" w:eastAsia="Times New Roman" w:hAnsi="Times New Roman"/>
          <w:sz w:val="18"/>
          <w:szCs w:val="18"/>
          <w:color w:val="auto"/>
        </w:rPr>
        <w:t>. Employee compensation and benefits costs increased $1.2 million or 7%, to $17.7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2017 compared with $16.5 million for the three months ended March 31, 2016. The increase is due to higher incentive compensation as a result of improved pre-tax income as compared to the prior year quarter, as well as merit and head count increases.</w:t>
      </w:r>
    </w:p>
    <w:p>
      <w:pPr>
        <w:spacing w:after="0" w:line="120" w:lineRule="exact"/>
        <w:rPr>
          <w:sz w:val="20"/>
          <w:szCs w:val="20"/>
          <w:color w:val="auto"/>
        </w:rPr>
      </w:pPr>
    </w:p>
    <w:p>
      <w:pPr>
        <w:ind w:right="40" w:firstLine="500"/>
        <w:spacing w:after="0" w:line="259"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The effective tax rate decreased to 22.0% for the three months ended March 31, 2017 from 37.6%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ended March 31, 2016. During the first quarter of 2017, we recorded a $1.0 million adjustment to income tax expense related to excess tax benefits as a result of the adoption of ASU 2016-09 </w:t>
      </w:r>
      <w:r>
        <w:rPr>
          <w:rFonts w:ascii="Times New Roman" w:cs="Times New Roman" w:eastAsia="Times New Roman" w:hAnsi="Times New Roman"/>
          <w:sz w:val="18"/>
          <w:szCs w:val="18"/>
          <w:i w:val="1"/>
          <w:iCs w:val="1"/>
          <w:color w:val="auto"/>
        </w:rPr>
        <w:t>Compensation-Stock Compensation: Improvements to Employee Share-Based Payment Accounting</w:t>
      </w:r>
      <w:r>
        <w:rPr>
          <w:rFonts w:ascii="Times New Roman" w:cs="Times New Roman" w:eastAsia="Times New Roman" w:hAnsi="Times New Roman"/>
          <w:sz w:val="18"/>
          <w:szCs w:val="18"/>
          <w:color w:val="auto"/>
        </w:rPr>
        <w:t>, which decreased our effective tax rate to 22.0%. Without the adjustment, our effective tax rate would have been 34.2%. Prior to adoption of ASU 2016-09, excess tax benefits were recorded through Additional paid-in capital, with no impact to the effective tax rate.</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495" w:right="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Supplemental Financial Information</w:t>
      </w:r>
    </w:p>
    <w:p>
      <w:pPr>
        <w:spacing w:after="0" w:line="175" w:lineRule="exact"/>
        <w:rPr>
          <w:sz w:val="20"/>
          <w:szCs w:val="20"/>
          <w:color w:val="auto"/>
        </w:rPr>
      </w:pPr>
    </w:p>
    <w:p>
      <w:pPr>
        <w:ind w:firstLine="500"/>
        <w:spacing w:after="0" w:line="256" w:lineRule="auto"/>
        <w:rPr>
          <w:sz w:val="20"/>
          <w:szCs w:val="20"/>
          <w:color w:val="auto"/>
        </w:rPr>
      </w:pPr>
      <w:r>
        <w:rPr>
          <w:rFonts w:ascii="Times New Roman" w:cs="Times New Roman" w:eastAsia="Times New Roman" w:hAnsi="Times New Roman"/>
          <w:sz w:val="18"/>
          <w:szCs w:val="18"/>
          <w:color w:val="auto"/>
        </w:rPr>
        <w:t>As supplemental information, we provide a non-U.S. generally accepted accounting principles (“non-GAAP”) performance measure that we refer to as Economic Earnings. We provide this measure in addition to, but not as a substitute for, net income reported on a U.S. generally accepted accounting principles (“GAAP”) basis. Our management and Board of Directors review Economic Earnings to evaluate our ongoing performance, allocate resources and review the dividend policy. We believe that this non-GAAP performance measure, while not a substitute for GAAP net income, is useful for management and investors when evaluating our underlying operating and financial performance and our available resources. We do not advocate that investors consider this non-GAAP measure without also considering financial information prepared in accordance with GAAP.</w:t>
      </w:r>
    </w:p>
    <w:p>
      <w:pPr>
        <w:spacing w:after="0" w:line="80" w:lineRule="exact"/>
        <w:rPr>
          <w:sz w:val="20"/>
          <w:szCs w:val="20"/>
          <w:color w:val="auto"/>
        </w:rPr>
      </w:pPr>
    </w:p>
    <w:p>
      <w:pPr>
        <w:ind w:right="40" w:firstLine="500"/>
        <w:spacing w:after="0" w:line="261" w:lineRule="auto"/>
        <w:rPr>
          <w:sz w:val="20"/>
          <w:szCs w:val="20"/>
          <w:color w:val="auto"/>
        </w:rPr>
      </w:pPr>
      <w:r>
        <w:rPr>
          <w:rFonts w:ascii="Times New Roman" w:cs="Times New Roman" w:eastAsia="Times New Roman" w:hAnsi="Times New Roman"/>
          <w:sz w:val="18"/>
          <w:szCs w:val="18"/>
          <w:color w:val="auto"/>
        </w:rPr>
        <w:t>In calculating Economic Earnings, we add back to net income the non-cash expense associated with equity-based compensation awards of restricted stock, amortization of intangible assets and deferred taxes related to the tax-basis amortization of goodwill. Although depreciation on property and equipment is a non-cash expense, we do not add it back when calculating Economic Earnings because depreciation charges represent a decline in the value of the related assets that will ultimately require replacement.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provide a reconciliation of Net income to Economic Earnings (in thousands, except per share and share amounts):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580" w:type="dxa"/>
            <w:vAlign w:val="bottom"/>
            <w:gridSpan w:val="2"/>
            <w:vMerge w:val="restart"/>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47"/>
        </w:trPr>
        <w:tc>
          <w:tcPr>
            <w:tcW w:w="71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2016</w:t>
            </w:r>
          </w:p>
        </w:tc>
        <w:tc>
          <w:tcPr>
            <w:tcW w:w="100" w:type="dxa"/>
            <w:vAlign w:val="bottom"/>
          </w:tcPr>
          <w:p>
            <w:pPr>
              <w:spacing w:after="0"/>
              <w:rPr>
                <w:sz w:val="20"/>
                <w:szCs w:val="20"/>
                <w:color w:val="auto"/>
              </w:rPr>
            </w:pPr>
          </w:p>
        </w:tc>
        <w:tc>
          <w:tcPr>
            <w:tcW w:w="148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33"/>
        </w:trPr>
        <w:tc>
          <w:tcPr>
            <w:tcW w:w="7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6,064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3,522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Stock-based compensation expense</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4,003</w:t>
            </w:r>
          </w:p>
        </w:tc>
        <w:tc>
          <w:tcPr>
            <w:tcW w:w="158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 Intangible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 Tax benefit from goodwill amortization</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78</w:t>
            </w:r>
          </w:p>
        </w:tc>
        <w:tc>
          <w:tcPr>
            <w:tcW w:w="1580" w:type="dxa"/>
            <w:vAlign w:val="bottom"/>
            <w:gridSpan w:val="2"/>
          </w:tcPr>
          <w:p>
            <w:pPr>
              <w:jc w:val="right"/>
              <w:ind w:right="134"/>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7"/>
        </w:trPr>
        <w:tc>
          <w:tcPr>
            <w:tcW w:w="7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Earnings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8,093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8,311,382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8,047,084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Economic 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firstLine="500"/>
        <w:spacing w:after="0" w:line="261" w:lineRule="auto"/>
        <w:rPr>
          <w:sz w:val="20"/>
          <w:szCs w:val="20"/>
          <w:color w:val="auto"/>
        </w:rPr>
      </w:pPr>
      <w:r>
        <w:rPr>
          <w:rFonts w:ascii="Times New Roman" w:cs="Times New Roman" w:eastAsia="Times New Roman" w:hAnsi="Times New Roman"/>
          <w:sz w:val="18"/>
          <w:szCs w:val="18"/>
          <w:color w:val="auto"/>
        </w:rPr>
        <w:t>We fund our operations and cash requirements with cash generated from operating activities. We may also use cash from operations to pay dividends to our stockholders. As of March 31, 2017 and December 31, 2016, we had no debt. The changes in net cash provided by operating activities generally reflect the changes in earnings plus the effects of non-cash items and changes in working capital. Changes in working capital, especially accounts receivable and accounts payable, are generally the result of timing differences between collection of fees billed and payment of operating expenses.</w:t>
      </w:r>
    </w:p>
    <w:p>
      <w:pPr>
        <w:spacing w:after="0" w:line="72" w:lineRule="exact"/>
        <w:rPr>
          <w:sz w:val="20"/>
          <w:szCs w:val="20"/>
          <w:color w:val="auto"/>
        </w:rPr>
      </w:pPr>
    </w:p>
    <w:p>
      <w:pPr>
        <w:ind w:right="80" w:firstLine="50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2017, cash flow provided by operating activities, principally our investment advisory business, was $9.9 million. Cash flow used in investing activities of $150,000 during the three months ended March 31, 2017 was related to purchases of fixed assets. Cash flow used in financing activities of $13.1 million for the three months ended March 31, 2017 was due to the payment of dividends, purchases of restricted stock returned for payment of taxes and purchases of treasury shares for our Canadian share award plan.</w:t>
      </w:r>
    </w:p>
    <w:p>
      <w:pPr>
        <w:spacing w:after="0" w:line="72" w:lineRule="exact"/>
        <w:rPr>
          <w:sz w:val="20"/>
          <w:szCs w:val="20"/>
          <w:color w:val="auto"/>
        </w:rPr>
      </w:pPr>
    </w:p>
    <w:p>
      <w:pPr>
        <w:ind w:right="180" w:firstLine="500"/>
        <w:spacing w:after="0" w:line="261" w:lineRule="auto"/>
        <w:rPr>
          <w:sz w:val="20"/>
          <w:szCs w:val="20"/>
          <w:color w:val="auto"/>
        </w:rPr>
      </w:pPr>
      <w:r>
        <w:rPr>
          <w:rFonts w:ascii="Times New Roman" w:cs="Times New Roman" w:eastAsia="Times New Roman" w:hAnsi="Times New Roman"/>
          <w:sz w:val="18"/>
          <w:szCs w:val="18"/>
          <w:color w:val="auto"/>
        </w:rPr>
        <w:t>We had cash and investments of $75.4 million as of March 31, 2017 and $90.2 million as of December 31, 2016. Cash and cash equivalents as of March 31, 2017 and December 31, 2016 includes approximately $22 million and $20 million, respectively, of undistributed income from Westwood International that we consider to be permanently invested in Canada. At March 31, 2017 and December 31, 2016, working capital aggregated $84.9 million and $86.3 million, 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30" w:right="239" w:bottom="1440" w:gutter="0" w:footer="0" w:header="0"/>
        </w:sectPr>
      </w:pPr>
    </w:p>
    <w:bookmarkStart w:id="25" w:name="page26"/>
    <w:bookmarkEnd w:id="25"/>
    <w:p>
      <w:pPr>
        <w:ind w:right="100" w:firstLine="500"/>
        <w:spacing w:after="0" w:line="266" w:lineRule="auto"/>
        <w:rPr>
          <w:sz w:val="20"/>
          <w:szCs w:val="20"/>
          <w:color w:val="auto"/>
        </w:rPr>
      </w:pPr>
      <w:r>
        <w:rPr>
          <w:rFonts w:ascii="Times New Roman" w:cs="Times New Roman" w:eastAsia="Times New Roman" w:hAnsi="Times New Roman"/>
          <w:sz w:val="18"/>
          <w:szCs w:val="18"/>
          <w:color w:val="auto"/>
        </w:rPr>
        <w:t>Westwood Trust must maintain cash and investments in an amount equal to the required minimum restricted capital of $4.0 million, as required by the Texas Finance Code. Restricted capital is included in Investments in the accompanying condensed consolidated balance sheets. At March 31, 2017, Westwood Trust had approximately $12.5 million in excess of its minimum capital requirement.</w:t>
      </w:r>
    </w:p>
    <w:p>
      <w:pPr>
        <w:spacing w:after="0" w:line="68" w:lineRule="exact"/>
        <w:rPr>
          <w:sz w:val="20"/>
          <w:szCs w:val="20"/>
          <w:color w:val="auto"/>
        </w:rPr>
      </w:pPr>
    </w:p>
    <w:p>
      <w:pPr>
        <w:ind w:right="220" w:firstLine="500"/>
        <w:spacing w:after="0" w:line="256" w:lineRule="auto"/>
        <w:rPr>
          <w:sz w:val="20"/>
          <w:szCs w:val="20"/>
          <w:color w:val="auto"/>
        </w:rPr>
      </w:pPr>
      <w:r>
        <w:rPr>
          <w:rFonts w:ascii="Times New Roman" w:cs="Times New Roman" w:eastAsia="Times New Roman" w:hAnsi="Times New Roman"/>
          <w:sz w:val="18"/>
          <w:szCs w:val="18"/>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2016, filed with the SEC. We believe that current cash and short-term investment balances and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jc w:val="both"/>
        <w:ind w:right="80" w:firstLine="500"/>
        <w:spacing w:after="0" w:line="266" w:lineRule="auto"/>
        <w:rPr>
          <w:sz w:val="20"/>
          <w:szCs w:val="20"/>
          <w:color w:val="auto"/>
        </w:rPr>
      </w:pPr>
      <w:r>
        <w:rPr>
          <w:rFonts w:ascii="Times New Roman" w:cs="Times New Roman" w:eastAsia="Times New Roman" w:hAnsi="Times New Roman"/>
          <w:sz w:val="18"/>
          <w:szCs w:val="18"/>
          <w:color w:val="auto"/>
        </w:rPr>
        <w:t>As of March 31, 2017, there have been no material changes outside the ordinary course of business to our contractual obligations since December 31, 2016. For information regarding our contractual obligations, refer to “Contractual Obligations” in Part II, Item 7. “Management’s Discussion and Analysis of Financial Condition and Results of Operations” in our Annual Report on Form 10-K for the fiscal year ended December 31, 2016.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and Significant Accounting Policies and Estimates</w:t>
      </w:r>
    </w:p>
    <w:p>
      <w:pPr>
        <w:spacing w:after="0" w:line="119" w:lineRule="exact"/>
        <w:rPr>
          <w:sz w:val="20"/>
          <w:szCs w:val="20"/>
          <w:color w:val="auto"/>
        </w:rPr>
      </w:pPr>
    </w:p>
    <w:p>
      <w:pPr>
        <w:ind w:right="400" w:firstLine="500"/>
        <w:spacing w:after="0" w:line="267" w:lineRule="auto"/>
        <w:rPr>
          <w:sz w:val="20"/>
          <w:szCs w:val="20"/>
          <w:color w:val="auto"/>
        </w:rPr>
      </w:pPr>
      <w:r>
        <w:rPr>
          <w:rFonts w:ascii="Times New Roman" w:cs="Times New Roman" w:eastAsia="Times New Roman" w:hAnsi="Times New Roman"/>
          <w:sz w:val="18"/>
          <w:szCs w:val="18"/>
          <w:color w:val="auto"/>
        </w:rPr>
        <w:t xml:space="preserve">Effective January 1, 2017, we adopted ASU 2016-09, </w:t>
      </w:r>
      <w:r>
        <w:rPr>
          <w:rFonts w:ascii="Times New Roman" w:cs="Times New Roman" w:eastAsia="Times New Roman" w:hAnsi="Times New Roman"/>
          <w:sz w:val="18"/>
          <w:szCs w:val="18"/>
          <w:i w:val="1"/>
          <w:iCs w:val="1"/>
          <w:color w:val="auto"/>
        </w:rPr>
        <w:t>Compensation-Stock Compensation: Improvements to 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w:t>
      </w:r>
      <w:r>
        <w:rPr>
          <w:rFonts w:ascii="Times New Roman" w:cs="Times New Roman" w:eastAsia="Times New Roman" w:hAnsi="Times New Roman"/>
          <w:sz w:val="18"/>
          <w:szCs w:val="18"/>
          <w:color w:val="auto"/>
        </w:rPr>
        <w:t>Refer to Note 2 "Summary of Accounting Policies" in our condensed consolidated financial statements included in Part I, Item 1.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of this Quarterly Report on Form 10-Q for a detailed description of the adoption of ASU 2016-09.</w:t>
      </w:r>
    </w:p>
    <w:p>
      <w:pPr>
        <w:spacing w:after="0" w:line="67" w:lineRule="exact"/>
        <w:rPr>
          <w:sz w:val="20"/>
          <w:szCs w:val="20"/>
          <w:color w:val="auto"/>
        </w:rPr>
      </w:pPr>
    </w:p>
    <w:p>
      <w:pPr>
        <w:ind w:firstLine="500"/>
        <w:spacing w:after="0" w:line="258" w:lineRule="auto"/>
        <w:rPr>
          <w:sz w:val="20"/>
          <w:szCs w:val="20"/>
          <w:color w:val="auto"/>
        </w:rPr>
      </w:pPr>
      <w:r>
        <w:rPr>
          <w:rFonts w:ascii="Times New Roman" w:cs="Times New Roman" w:eastAsia="Times New Roman" w:hAnsi="Times New Roman"/>
          <w:sz w:val="18"/>
          <w:szCs w:val="18"/>
          <w:color w:val="auto"/>
        </w:rPr>
        <w:t>Otherwise, there have been no significant changes in our critical or significant accounting policies and estimates since December 31, 2016. Information with respect to our critical accounting policies and estimates that we believe could have the most significant effect on our reported consolidated results and require difficult, subjective or complex judgment by management are described under “Critical Accounting Policies and Estimates” in Part II, Item 7. “Management’s Discussion and Analysis of Financial Condition and Results of Operations” in our Annual Report on Form 10-K for the fiscal year ended December 31, 2016.</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Developments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in our condensed consolidated financial statements included in Part I, Item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of this Quarterly Report on Form 10-Q for a description of recently issued accounting guidance.</w:t>
      </w:r>
    </w:p>
    <w:p>
      <w:pPr>
        <w:spacing w:after="0" w:line="311"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right="500" w:firstLine="500"/>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in our Quantitative and Qualitative Disclosures about Market Risk from those previously reported in our Annual Report on Form 10-K for the year ended December 31,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472" w:right="239" w:bottom="1440" w:gutter="0" w:footer="0" w:header="0"/>
        </w:sectPr>
      </w:pPr>
    </w:p>
    <w:bookmarkStart w:id="26" w:name="page27"/>
    <w:bookmarkEnd w:id="26"/>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20" w:firstLine="50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ind w:right="160" w:firstLine="500"/>
        <w:spacing w:after="0" w:line="282" w:lineRule="auto"/>
        <w:rPr>
          <w:sz w:val="20"/>
          <w:szCs w:val="20"/>
          <w:color w:val="auto"/>
        </w:rPr>
      </w:pPr>
      <w:r>
        <w:rPr>
          <w:rFonts w:ascii="Times New Roman" w:cs="Times New Roman" w:eastAsia="Times New Roman" w:hAnsi="Times New Roman"/>
          <w:sz w:val="18"/>
          <w:szCs w:val="18"/>
          <w:color w:val="auto"/>
        </w:rPr>
        <w:t>For the quarter ended March 31, 2017, there were no changes in our internal controls over financial reporting (as defined in Rule 13a-15(f) under the Exchange Act) that materially affected, or are reasonably likely to materially affect, our internal control over financial reporting.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60" w:firstLine="500"/>
        <w:spacing w:after="0" w:line="282" w:lineRule="auto"/>
        <w:rPr>
          <w:sz w:val="20"/>
          <w:szCs w:val="20"/>
          <w:color w:val="auto"/>
        </w:rPr>
      </w:pPr>
      <w:r>
        <w:rPr>
          <w:rFonts w:ascii="Times New Roman" w:cs="Times New Roman" w:eastAsia="Times New Roman" w:hAnsi="Times New Roman"/>
          <w:sz w:val="18"/>
          <w:szCs w:val="18"/>
          <w:color w:val="auto"/>
        </w:rPr>
        <w:t>See discussion of legal proceedings and procedures in Note 12 “Commitments and Contingencies” in our condensed consolidated financial statements included in Part I, Item 1. “Financial Statements” of this Quarterly Report on Form 10-Q.</w:t>
      </w:r>
    </w:p>
    <w:p>
      <w:pPr>
        <w:spacing w:after="0" w:line="266"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500"/>
        <w:spacing w:after="0" w:line="261" w:lineRule="auto"/>
        <w:rPr>
          <w:sz w:val="20"/>
          <w:szCs w:val="20"/>
          <w:color w:val="auto"/>
        </w:rPr>
      </w:pPr>
      <w:r>
        <w:rPr>
          <w:rFonts w:ascii="Times New Roman" w:cs="Times New Roman" w:eastAsia="Times New Roman" w:hAnsi="Times New Roman"/>
          <w:sz w:val="18"/>
          <w:szCs w:val="18"/>
          <w:color w:val="auto"/>
        </w:rPr>
        <w:t>We face a number of significant risks and uncertainties in our business, including those detailed under “Risk Factors” in our Annual Report on Form 10-K for the fiscal year ended December 31, 2016 and summarized in this report under “Management’s Discussion and Analysis of Financial Condition and Results of Operations.” These risks and uncertainties may affect our current position and future prospects and should be considered carefully in evaluating us, including making an investment in our common stock.</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630" w:right="279" w:bottom="1440" w:gutter="0" w:footer="0" w:header="0"/>
        </w:sectPr>
      </w:pPr>
    </w:p>
    <w:bookmarkStart w:id="27" w:name="page28"/>
    <w:bookmarkEnd w:id="27"/>
    <w:p>
      <w:pPr>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information with respect to the treasury shares we purchased during the three months ended March 31, 2017:</w:t>
      </w:r>
    </w:p>
    <w:p>
      <w:pPr>
        <w:spacing w:after="0" w:line="174"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Maximum number (or</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approximate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Total number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dollar value)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of shares that</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purchased as</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may yet be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part of publicly</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purchased</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announced</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under the</w:t>
            </w:r>
          </w:p>
        </w:tc>
      </w:tr>
      <w:tr>
        <w:trPr>
          <w:trHeight w:val="203"/>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price paid</w:t>
            </w: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plans or</w:t>
            </w: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plans or</w:t>
            </w:r>
          </w:p>
        </w:tc>
      </w:tr>
      <w:tr>
        <w:trPr>
          <w:trHeight w:val="212"/>
        </w:trPr>
        <w:tc>
          <w:tcPr>
            <w:tcW w:w="3940" w:type="dxa"/>
            <w:vAlign w:val="bottom"/>
            <w:gridSpan w:val="2"/>
          </w:tcPr>
          <w:p>
            <w:pPr>
              <w:ind w:left="17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540" w:type="dxa"/>
            <w:vAlign w:val="bottom"/>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8"/>
              </w:rPr>
              <w:t>programs</w:t>
            </w: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programs (1)</w:t>
            </w:r>
          </w:p>
        </w:tc>
      </w:tr>
      <w:tr>
        <w:trPr>
          <w:trHeight w:val="33"/>
        </w:trPr>
        <w:tc>
          <w:tcPr>
            <w:tcW w:w="3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4"/>
        </w:trPr>
        <w:tc>
          <w:tcPr>
            <w:tcW w:w="3940" w:type="dxa"/>
            <w:vAlign w:val="bottom"/>
            <w:gridSpan w:val="2"/>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 xml:space="preserve">Repurchase program </w:t>
            </w:r>
            <w:r>
              <w:rPr>
                <w:rFonts w:ascii="Times New Roman" w:cs="Times New Roman" w:eastAsia="Times New Roman" w:hAnsi="Times New Roman"/>
                <w:sz w:val="25"/>
                <w:szCs w:val="25"/>
                <w:color w:val="auto"/>
                <w:vertAlign w:val="superscript"/>
              </w:rPr>
              <w:t>(1)</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spacing w:after="0"/>
              <w:rPr>
                <w:sz w:val="22"/>
                <w:szCs w:val="22"/>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9,366,000</w:t>
            </w:r>
          </w:p>
        </w:tc>
      </w:tr>
      <w:tr>
        <w:trPr>
          <w:trHeight w:val="270"/>
        </w:trPr>
        <w:tc>
          <w:tcPr>
            <w:tcW w:w="394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Canadian Plan </w:t>
            </w:r>
            <w:r>
              <w:rPr>
                <w:rFonts w:ascii="Times New Roman" w:cs="Times New Roman" w:eastAsia="Times New Roman" w:hAnsi="Times New Roman"/>
                <w:sz w:val="25"/>
                <w:szCs w:val="25"/>
                <w:color w:val="auto"/>
                <w:vertAlign w:val="superscript"/>
              </w:rPr>
              <w:t>(2)</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March 1-31, 2017</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23,822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55.65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CDN $</w:t>
            </w: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4,296,000</w:t>
            </w:r>
          </w:p>
        </w:tc>
      </w:tr>
      <w:tr>
        <w:trPr>
          <w:trHeight w:val="270"/>
        </w:trPr>
        <w:tc>
          <w:tcPr>
            <w:tcW w:w="3940" w:type="dxa"/>
            <w:vAlign w:val="bottom"/>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Employee transactions </w:t>
            </w:r>
            <w:r>
              <w:rPr>
                <w:rFonts w:ascii="Times New Roman" w:cs="Times New Roman" w:eastAsia="Times New Roman" w:hAnsi="Times New Roman"/>
                <w:sz w:val="25"/>
                <w:szCs w:val="25"/>
                <w:color w:val="auto"/>
                <w:vertAlign w:val="superscript"/>
              </w:rPr>
              <w:t>(3)</w:t>
            </w: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60" w:type="dxa"/>
            <w:vAlign w:val="bottom"/>
          </w:tcPr>
          <w:p>
            <w:pPr>
              <w:spacing w:after="0"/>
              <w:rPr>
                <w:sz w:val="23"/>
                <w:szCs w:val="23"/>
                <w:color w:val="auto"/>
              </w:rPr>
            </w:pPr>
          </w:p>
        </w:tc>
      </w:tr>
      <w:tr>
        <w:trPr>
          <w:trHeight w:val="250"/>
        </w:trPr>
        <w:tc>
          <w:tcPr>
            <w:tcW w:w="394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February 1-28, 2017</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73,213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61.63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March 1-31, 2017</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12,344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54.77</w:t>
            </w: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left="900" w:hanging="892"/>
        <w:spacing w:after="0" w:line="261"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20, 2012, our Board of Directors authorized management to repurchase up to $10.0 million of our outstanding common stock on the open market or in privately negotiated transactions. In July 2016, Westwood's Board of Directors authorized an additional $5.0 million of repurchases under the share repurchase program. The share repurchase program has no expiration date and may be discontinued at any time by the Board of Directors.</w:t>
      </w:r>
    </w:p>
    <w:p>
      <w:pPr>
        <w:spacing w:after="0" w:line="17" w:lineRule="exact"/>
        <w:rPr>
          <w:rFonts w:ascii="Times New Roman" w:cs="Times New Roman" w:eastAsia="Times New Roman" w:hAnsi="Times New Roman"/>
          <w:sz w:val="18"/>
          <w:szCs w:val="18"/>
          <w:color w:val="auto"/>
        </w:rPr>
      </w:pPr>
    </w:p>
    <w:p>
      <w:pPr>
        <w:ind w:left="900" w:right="200" w:hanging="892"/>
        <w:spacing w:after="0" w:line="261"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18, 2013, our stockholders approved the Share Award Plan of Westwood Holdings Group, Inc. for Service Provided in Canada to its Subsidiaries (the “Canadian Plan”), which contemplates a trustee purchasing up to $10.0 million CDN of our outstanding common stock on the open market for the purpose of making share awards to our Canadian employees. The Canadian Plan has no expiration date and may be discontinued at any time by the Board of Directors.</w:t>
      </w:r>
    </w:p>
    <w:p>
      <w:pPr>
        <w:spacing w:after="0" w:line="17" w:lineRule="exact"/>
        <w:rPr>
          <w:rFonts w:ascii="Times New Roman" w:cs="Times New Roman" w:eastAsia="Times New Roman" w:hAnsi="Times New Roman"/>
          <w:sz w:val="18"/>
          <w:szCs w:val="18"/>
          <w:color w:val="auto"/>
        </w:rPr>
      </w:pPr>
    </w:p>
    <w:p>
      <w:pPr>
        <w:ind w:left="900" w:right="40" w:hanging="892"/>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84"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60"/>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Waiver of Certain Performance Shares Under the Performance Share Agreement, dated as of February 22, 2017, between the Company</w:t>
            </w:r>
          </w:p>
        </w:tc>
      </w:tr>
      <w:tr>
        <w:trPr>
          <w:trHeight w:val="234"/>
        </w:trPr>
        <w:tc>
          <w:tcPr>
            <w:tcW w:w="1160" w:type="dxa"/>
            <w:vAlign w:val="bottom"/>
          </w:tcPr>
          <w:p>
            <w:pPr>
              <w:spacing w:after="0"/>
              <w:rPr>
                <w:sz w:val="20"/>
                <w:szCs w:val="20"/>
                <w:color w:val="auto"/>
              </w:rPr>
            </w:pP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and Brian O. Casey (incorporated by reference from the Form 8-K filed with the SEC on February 28, 2017).</w:t>
            </w:r>
          </w:p>
        </w:tc>
      </w:tr>
      <w:tr>
        <w:trPr>
          <w:trHeight w:val="535"/>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Letter of Understanding Regarding Transition to Chairman Role, dated as of February 24, 2017, between the Company and Randall L.</w:t>
            </w:r>
          </w:p>
        </w:tc>
      </w:tr>
      <w:tr>
        <w:trPr>
          <w:trHeight w:val="234"/>
        </w:trPr>
        <w:tc>
          <w:tcPr>
            <w:tcW w:w="1160" w:type="dxa"/>
            <w:vAlign w:val="bottom"/>
          </w:tcPr>
          <w:p>
            <w:pPr>
              <w:spacing w:after="0"/>
              <w:rPr>
                <w:sz w:val="20"/>
                <w:szCs w:val="20"/>
                <w:color w:val="auto"/>
              </w:rPr>
            </w:pP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Root (incorporated by reference from the Form 8-K filed with the SEC on February 28, 2017).</w:t>
            </w:r>
          </w:p>
        </w:tc>
      </w:tr>
      <w:tr>
        <w:trPr>
          <w:trHeight w:val="535"/>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Employee Confidentiality and Non-Compete Agreement, dated as of February 24, 2017, between the Company and Randall L. Root</w:t>
            </w:r>
          </w:p>
        </w:tc>
      </w:tr>
      <w:tr>
        <w:trPr>
          <w:trHeight w:val="234"/>
        </w:trPr>
        <w:tc>
          <w:tcPr>
            <w:tcW w:w="1160" w:type="dxa"/>
            <w:vAlign w:val="bottom"/>
          </w:tcPr>
          <w:p>
            <w:pPr>
              <w:spacing w:after="0"/>
              <w:rPr>
                <w:sz w:val="20"/>
                <w:szCs w:val="20"/>
                <w:color w:val="auto"/>
              </w:rPr>
            </w:pP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(incorporated by reference from the Form 8-K filed with the SEC on February 28, 2017).</w:t>
            </w:r>
          </w:p>
        </w:tc>
      </w:tr>
      <w:tr>
        <w:trPr>
          <w:trHeight w:val="55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Performance Share Agreement (incorporated by reference from the Form 8-K filed with the SEC on March 10, 2017).</w:t>
            </w:r>
          </w:p>
        </w:tc>
      </w:tr>
      <w:tr>
        <w:trPr>
          <w:trHeight w:val="535"/>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10.5+</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One-Time Performance Share Agreement, dated as of March 9, 2017, between the Company and Mark R. Freeman (incorporated by</w:t>
            </w:r>
          </w:p>
        </w:tc>
      </w:tr>
      <w:tr>
        <w:trPr>
          <w:trHeight w:val="234"/>
        </w:trPr>
        <w:tc>
          <w:tcPr>
            <w:tcW w:w="1160" w:type="dxa"/>
            <w:vAlign w:val="bottom"/>
          </w:tcPr>
          <w:p>
            <w:pPr>
              <w:spacing w:after="0"/>
              <w:rPr>
                <w:sz w:val="20"/>
                <w:szCs w:val="20"/>
                <w:color w:val="auto"/>
              </w:rPr>
            </w:pP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reference from the Form 8-K filed with the SEC on March 10, 2017).</w:t>
            </w:r>
          </w:p>
        </w:tc>
      </w:tr>
      <w:tr>
        <w:trPr>
          <w:trHeight w:val="55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10.6+</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Form of Mutual Fund Share Incentive Agreement (incorporated by reference from the Form 8-K filed with the SEC on March 29, 2017).</w:t>
            </w:r>
          </w:p>
        </w:tc>
      </w:tr>
      <w:tr>
        <w:trPr>
          <w:trHeight w:val="55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Executive Officer Pursuant to Securities Exchange Act Rule 13a-14(a)</w:t>
            </w:r>
          </w:p>
        </w:tc>
      </w:tr>
      <w:tr>
        <w:trPr>
          <w:trHeight w:val="55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Financial Officer Pursuant to Securities Exchange Act Rule 13a-14(a)</w:t>
            </w:r>
          </w:p>
        </w:tc>
      </w:tr>
      <w:tr>
        <w:trPr>
          <w:trHeight w:val="535"/>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w:t>
            </w:r>
          </w:p>
        </w:tc>
      </w:tr>
      <w:tr>
        <w:trPr>
          <w:trHeight w:val="234"/>
        </w:trPr>
        <w:tc>
          <w:tcPr>
            <w:tcW w:w="1160" w:type="dxa"/>
            <w:vAlign w:val="bottom"/>
          </w:tcPr>
          <w:p>
            <w:pPr>
              <w:spacing w:after="0"/>
              <w:rPr>
                <w:sz w:val="20"/>
                <w:szCs w:val="20"/>
                <w:color w:val="auto"/>
              </w:rPr>
            </w:pP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 of 2002</w:t>
            </w:r>
          </w:p>
        </w:tc>
      </w:tr>
      <w:tr>
        <w:trPr>
          <w:trHeight w:val="535"/>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w:t>
            </w:r>
          </w:p>
        </w:tc>
      </w:tr>
      <w:tr>
        <w:trPr>
          <w:trHeight w:val="234"/>
        </w:trPr>
        <w:tc>
          <w:tcPr>
            <w:tcW w:w="1160" w:type="dxa"/>
            <w:vAlign w:val="bottom"/>
          </w:tcPr>
          <w:p>
            <w:pPr>
              <w:spacing w:after="0"/>
              <w:rPr>
                <w:sz w:val="20"/>
                <w:szCs w:val="20"/>
                <w:color w:val="auto"/>
              </w:rPr>
            </w:pP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Act of 2002</w:t>
            </w:r>
          </w:p>
        </w:tc>
      </w:tr>
      <w:tr>
        <w:trPr>
          <w:trHeight w:val="55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5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5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5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5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54"/>
        </w:trPr>
        <w:tc>
          <w:tcPr>
            <w:tcW w:w="1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2" w:lineRule="exact"/>
        <w:rPr>
          <w:sz w:val="20"/>
          <w:szCs w:val="20"/>
          <w:color w:val="auto"/>
        </w:rPr>
      </w:pPr>
    </w:p>
    <w:p>
      <w:pPr>
        <w:ind w:left="820" w:hanging="812"/>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0"/>
          <w:szCs w:val="20"/>
          <w:color w:val="auto"/>
        </w:rPr>
      </w:pPr>
    </w:p>
    <w:p>
      <w:pPr>
        <w:ind w:left="820" w:hanging="812"/>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5620" w:right="4880" w:hanging="5612"/>
        <w:spacing w:after="0" w:line="547" w:lineRule="auto"/>
        <w:tabs>
          <w:tab w:leader="none" w:pos="8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compensation plan, contract or arrangement. 27</w:t>
      </w:r>
    </w:p>
    <w:p>
      <w:pPr>
        <w:sectPr>
          <w:pgSz w:w="11900" w:h="16838" w:orient="portrait"/>
          <w:cols w:equalWidth="0" w:num="1">
            <w:col w:w="11380"/>
          </w:cols>
          <w:pgMar w:left="240" w:top="360" w:right="279" w:bottom="1440" w:gutter="0" w:footer="0" w:header="0"/>
        </w:sectPr>
      </w:pPr>
    </w:p>
    <w:bookmarkStart w:id="29" w:name="page30"/>
    <w:bookmarkEnd w:id="29"/>
    <w:p>
      <w:pPr>
        <w:jc w:val="center"/>
        <w:ind w:right="-6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April 26, 2017</w:t>
            </w:r>
          </w:p>
        </w:tc>
        <w:tc>
          <w:tcPr>
            <w:tcW w:w="660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WESTWOOD HOLDINGS GROUP, INC.</w:t>
            </w:r>
          </w:p>
        </w:tc>
      </w:tr>
      <w:tr>
        <w:trPr>
          <w:trHeight w:val="567"/>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Brian O. Casey</w:t>
            </w:r>
          </w:p>
        </w:tc>
      </w:tr>
      <w:tr>
        <w:trPr>
          <w:trHeight w:val="27"/>
        </w:trPr>
        <w:tc>
          <w:tcPr>
            <w:tcW w:w="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r>
      <w:tr>
        <w:trPr>
          <w:trHeight w:val="270"/>
        </w:trPr>
        <w:tc>
          <w:tcPr>
            <w:tcW w:w="6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40"/>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Tiffany B. Kice</w:t>
            </w:r>
          </w:p>
        </w:tc>
      </w:tr>
      <w:tr>
        <w:trPr>
          <w:trHeight w:val="27"/>
        </w:trPr>
        <w:tc>
          <w:tcPr>
            <w:tcW w:w="66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Tiffany B. Kice</w:t>
            </w:r>
          </w:p>
        </w:tc>
      </w:tr>
      <w:tr>
        <w:trPr>
          <w:trHeight w:val="270"/>
        </w:trPr>
        <w:tc>
          <w:tcPr>
            <w:tcW w:w="6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486"/>
        </w:trPr>
        <w:tc>
          <w:tcPr>
            <w:tcW w:w="6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c>
          <w:tcPr>
            <w:tcW w:w="4220" w:type="dxa"/>
            <w:vAlign w:val="bottom"/>
          </w:tcPr>
          <w:p>
            <w:pPr>
              <w:spacing w:after="0"/>
              <w:rPr>
                <w:sz w:val="24"/>
                <w:szCs w:val="24"/>
                <w:color w:val="auto"/>
              </w:rPr>
            </w:pPr>
          </w:p>
        </w:tc>
      </w:tr>
    </w:tbl>
    <w:p>
      <w:pPr>
        <w:sectPr>
          <w:pgSz w:w="11900" w:h="16838" w:orient="portrait"/>
          <w:cols w:equalWidth="0" w:num="1">
            <w:col w:w="10780"/>
          </w:cols>
          <w:pgMar w:left="240" w:top="364" w:right="8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O. Casey, certify that:</w:t>
      </w:r>
    </w:p>
    <w:p>
      <w:pPr>
        <w:spacing w:after="0" w:line="252" w:lineRule="exact"/>
        <w:rPr>
          <w:sz w:val="20"/>
          <w:szCs w:val="20"/>
          <w:color w:val="auto"/>
        </w:rPr>
      </w:pPr>
    </w:p>
    <w:p>
      <w:pPr>
        <w:ind w:left="1260" w:hanging="1225"/>
        <w:spacing w:after="0"/>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Westwood Holdings Group, Inc.;</w:t>
      </w:r>
    </w:p>
    <w:p>
      <w:pPr>
        <w:spacing w:after="0" w:line="279" w:lineRule="exact"/>
        <w:rPr>
          <w:rFonts w:ascii="Times New Roman" w:cs="Times New Roman" w:eastAsia="Times New Roman" w:hAnsi="Times New Roman"/>
          <w:sz w:val="18"/>
          <w:szCs w:val="18"/>
          <w:color w:val="auto"/>
        </w:rPr>
      </w:pPr>
    </w:p>
    <w:p>
      <w:pPr>
        <w:ind w:left="1260" w:right="480" w:hanging="1225"/>
        <w:spacing w:after="0" w:line="266"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1260" w:right="560" w:hanging="1225"/>
        <w:spacing w:after="0" w:line="266"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30" w:lineRule="exact"/>
        <w:rPr>
          <w:rFonts w:ascii="Times New Roman" w:cs="Times New Roman" w:eastAsia="Times New Roman" w:hAnsi="Times New Roman"/>
          <w:sz w:val="18"/>
          <w:szCs w:val="18"/>
          <w:color w:val="auto"/>
        </w:rPr>
      </w:pPr>
    </w:p>
    <w:p>
      <w:pPr>
        <w:ind w:left="1260" w:right="520" w:hanging="1225"/>
        <w:spacing w:after="0" w:line="266"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5" w:lineRule="exact"/>
        <w:rPr>
          <w:rFonts w:ascii="Times New Roman" w:cs="Times New Roman" w:eastAsia="Times New Roman" w:hAnsi="Times New Roman"/>
          <w:sz w:val="18"/>
          <w:szCs w:val="18"/>
          <w:color w:val="auto"/>
        </w:rPr>
      </w:pPr>
    </w:p>
    <w:p>
      <w:pPr>
        <w:ind w:left="980" w:right="160" w:firstLine="500"/>
        <w:spacing w:after="0" w:line="266" w:lineRule="auto"/>
        <w:tabs>
          <w:tab w:leader="none" w:pos="17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80" w:right="260" w:firstLine="500"/>
        <w:spacing w:after="0" w:line="313" w:lineRule="auto"/>
        <w:tabs>
          <w:tab w:leader="none" w:pos="1724"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0" w:firstLine="500"/>
        <w:spacing w:after="0" w:line="266" w:lineRule="auto"/>
        <w:tabs>
          <w:tab w:leader="none" w:pos="17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1260" w:right="600" w:hanging="1225"/>
        <w:spacing w:after="0" w:line="266"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980" w:right="200" w:firstLine="500"/>
        <w:spacing w:after="0" w:line="282" w:lineRule="auto"/>
        <w:tabs>
          <w:tab w:leader="none" w:pos="17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firstLine="500"/>
        <w:spacing w:after="0" w:line="282" w:lineRule="auto"/>
        <w:tabs>
          <w:tab w:leader="none" w:pos="17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26, 2017</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34290</wp:posOffset>
            </wp:positionV>
            <wp:extent cx="2143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Brian O. Casey</w:t>
      </w:r>
    </w:p>
    <w:p>
      <w:pPr>
        <w:spacing w:after="0" w:line="6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ectPr>
          <w:pgSz w:w="11900" w:h="16838" w:orient="portrait"/>
          <w:cols w:equalWidth="0" w:num="1">
            <w:col w:w="11420"/>
          </w:cols>
          <w:pgMar w:left="240" w:top="360"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Tiffany B. Kice, certify that:</w:t>
      </w:r>
    </w:p>
    <w:p>
      <w:pPr>
        <w:spacing w:after="0" w:line="252" w:lineRule="exact"/>
        <w:rPr>
          <w:sz w:val="20"/>
          <w:szCs w:val="20"/>
          <w:color w:val="auto"/>
        </w:rPr>
      </w:pPr>
    </w:p>
    <w:p>
      <w:pPr>
        <w:ind w:left="1300" w:hanging="1265"/>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Westwood Holdings Group, Inc.;</w:t>
      </w:r>
    </w:p>
    <w:p>
      <w:pPr>
        <w:spacing w:after="0" w:line="279" w:lineRule="exact"/>
        <w:rPr>
          <w:rFonts w:ascii="Times New Roman" w:cs="Times New Roman" w:eastAsia="Times New Roman" w:hAnsi="Times New Roman"/>
          <w:sz w:val="18"/>
          <w:szCs w:val="18"/>
          <w:color w:val="auto"/>
        </w:rPr>
      </w:pPr>
    </w:p>
    <w:p>
      <w:pPr>
        <w:ind w:left="1300" w:right="120" w:hanging="1265"/>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0" w:lineRule="exact"/>
        <w:rPr>
          <w:rFonts w:ascii="Times New Roman" w:cs="Times New Roman" w:eastAsia="Times New Roman" w:hAnsi="Times New Roman"/>
          <w:sz w:val="18"/>
          <w:szCs w:val="18"/>
          <w:color w:val="auto"/>
        </w:rPr>
      </w:pPr>
    </w:p>
    <w:p>
      <w:pPr>
        <w:ind w:left="1300" w:right="420" w:hanging="1265"/>
        <w:spacing w:after="0" w:line="313"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2" w:lineRule="exact"/>
        <w:rPr>
          <w:rFonts w:ascii="Times New Roman" w:cs="Times New Roman" w:eastAsia="Times New Roman" w:hAnsi="Times New Roman"/>
          <w:sz w:val="17"/>
          <w:szCs w:val="17"/>
          <w:color w:val="auto"/>
        </w:rPr>
      </w:pPr>
    </w:p>
    <w:p>
      <w:pPr>
        <w:ind w:left="1300" w:right="280" w:hanging="1265"/>
        <w:spacing w:after="0" w:line="276" w:lineRule="auto"/>
        <w:tabs>
          <w:tab w:leader="none" w:pos="13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25" w:lineRule="exact"/>
        <w:rPr>
          <w:rFonts w:ascii="Times New Roman" w:cs="Times New Roman" w:eastAsia="Times New Roman" w:hAnsi="Times New Roman"/>
          <w:sz w:val="17"/>
          <w:szCs w:val="17"/>
          <w:color w:val="auto"/>
        </w:rPr>
      </w:pPr>
    </w:p>
    <w:p>
      <w:pPr>
        <w:ind w:left="980" w:right="160" w:firstLine="500"/>
        <w:spacing w:after="0" w:line="266" w:lineRule="auto"/>
        <w:tabs>
          <w:tab w:leader="none" w:pos="17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980" w:right="260" w:firstLine="500"/>
        <w:spacing w:after="0" w:line="313" w:lineRule="auto"/>
        <w:tabs>
          <w:tab w:leader="none" w:pos="1724"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980" w:right="20" w:firstLine="500"/>
        <w:spacing w:after="0" w:line="266" w:lineRule="auto"/>
        <w:tabs>
          <w:tab w:leader="none" w:pos="17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1300" w:right="340" w:hanging="1265"/>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8"/>
          <w:szCs w:val="18"/>
          <w:color w:val="auto"/>
        </w:rPr>
      </w:pPr>
    </w:p>
    <w:p>
      <w:pPr>
        <w:ind w:left="980" w:right="200" w:firstLine="500"/>
        <w:spacing w:after="0" w:line="282" w:lineRule="auto"/>
        <w:tabs>
          <w:tab w:leader="none" w:pos="172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80" w:firstLine="500"/>
        <w:spacing w:after="0" w:line="282" w:lineRule="auto"/>
        <w:tabs>
          <w:tab w:leader="none" w:pos="173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26, 2017</w:t>
      </w:r>
    </w:p>
    <w:p>
      <w:pPr>
        <w:spacing w:after="0" w:line="200" w:lineRule="exact"/>
        <w:rPr>
          <w:sz w:val="20"/>
          <w:szCs w:val="20"/>
          <w:color w:val="auto"/>
        </w:rPr>
      </w:pPr>
    </w:p>
    <w:p>
      <w:pPr>
        <w:spacing w:after="0" w:line="22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34290</wp:posOffset>
            </wp:positionV>
            <wp:extent cx="25641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5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Tiffany B. Kice</w:t>
      </w:r>
    </w:p>
    <w:p>
      <w:pPr>
        <w:spacing w:after="0" w:line="63"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420"/>
          </w:cols>
          <w:pgMar w:left="240" w:top="360"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Westwood Holdings Group, Inc. (the “Company”) on Form 10-Q for the period ended March 31, 2017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68" w:lineRule="exact"/>
        <w:rPr>
          <w:sz w:val="20"/>
          <w:szCs w:val="20"/>
          <w:color w:val="auto"/>
        </w:rPr>
      </w:pPr>
    </w:p>
    <w:p>
      <w:pPr>
        <w:ind w:left="760" w:hanging="2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U.S.C.78m or 78o(d)); and</w:t>
      </w:r>
    </w:p>
    <w:p>
      <w:pPr>
        <w:spacing w:after="0" w:line="117" w:lineRule="exact"/>
        <w:rPr>
          <w:rFonts w:ascii="Times New Roman" w:cs="Times New Roman" w:eastAsia="Times New Roman" w:hAnsi="Times New Roman"/>
          <w:sz w:val="18"/>
          <w:szCs w:val="18"/>
          <w:color w:val="auto"/>
        </w:rPr>
      </w:pPr>
    </w:p>
    <w:p>
      <w:pPr>
        <w:ind w:left="760" w:hanging="2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2017</w:t>
      </w:r>
    </w:p>
    <w:p>
      <w:pPr>
        <w:spacing w:after="0" w:line="200" w:lineRule="exact"/>
        <w:rPr>
          <w:sz w:val="20"/>
          <w:szCs w:val="20"/>
          <w:color w:val="auto"/>
        </w:rPr>
      </w:pPr>
    </w:p>
    <w:p>
      <w:pPr>
        <w:spacing w:after="0" w:line="228"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34290</wp:posOffset>
            </wp:positionV>
            <wp:extent cx="24872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5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Brian O. Casey</w:t>
      </w:r>
    </w:p>
    <w:p>
      <w:pPr>
        <w:spacing w:after="0" w:line="63"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&amp; Chief Executive Officer</w:t>
      </w:r>
    </w:p>
    <w:p>
      <w:pPr>
        <w:spacing w:after="0" w:line="252" w:lineRule="exact"/>
        <w:rPr>
          <w:sz w:val="20"/>
          <w:szCs w:val="20"/>
          <w:color w:val="auto"/>
        </w:rPr>
      </w:pPr>
    </w:p>
    <w:p>
      <w:pPr>
        <w:jc w:val="both"/>
        <w:ind w:right="460" w:firstLine="5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420"/>
          </w:cols>
          <w:pgMar w:left="240" w:top="360"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Westwood Holdings Group, Inc. (the “Company”) on Form 10-Q for the period ended March 31, 2017 as filed with the Securities and Exchange Commission on the date hereof (the “Report”), I, Tiffany B. Kice, Chief Financial Officer of the Company, certify, pursuant to 18 U.S.C. § 1350, as adopted pursuant to § 906 of the Sarbanes-Oxley Act of 2002, that, to the best of my knowledge:</w:t>
      </w:r>
    </w:p>
    <w:p>
      <w:pPr>
        <w:spacing w:after="0" w:line="68" w:lineRule="exact"/>
        <w:rPr>
          <w:sz w:val="20"/>
          <w:szCs w:val="20"/>
          <w:color w:val="auto"/>
        </w:rPr>
      </w:pPr>
    </w:p>
    <w:p>
      <w:pPr>
        <w:ind w:left="760" w:hanging="2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(15U.S.C. 78m or 78o(d)); and</w:t>
      </w:r>
    </w:p>
    <w:p>
      <w:pPr>
        <w:spacing w:after="0" w:line="117" w:lineRule="exact"/>
        <w:rPr>
          <w:rFonts w:ascii="Times New Roman" w:cs="Times New Roman" w:eastAsia="Times New Roman" w:hAnsi="Times New Roman"/>
          <w:sz w:val="18"/>
          <w:szCs w:val="18"/>
          <w:color w:val="auto"/>
        </w:rPr>
      </w:pPr>
    </w:p>
    <w:p>
      <w:pPr>
        <w:ind w:left="760" w:hanging="2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26, 2017</w:t>
      </w:r>
    </w:p>
    <w:p>
      <w:pPr>
        <w:spacing w:after="0" w:line="200" w:lineRule="exact"/>
        <w:rPr>
          <w:sz w:val="20"/>
          <w:szCs w:val="20"/>
          <w:color w:val="auto"/>
        </w:rPr>
      </w:pPr>
    </w:p>
    <w:p>
      <w:pPr>
        <w:spacing w:after="0" w:line="22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/s/ Tiffany B. Kice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34290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Tiffany B. Kice</w:t>
      </w:r>
    </w:p>
    <w:p>
      <w:pPr>
        <w:spacing w:after="0" w:line="6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52" w:lineRule="exact"/>
        <w:rPr>
          <w:sz w:val="20"/>
          <w:szCs w:val="20"/>
          <w:color w:val="auto"/>
        </w:rPr>
      </w:pPr>
    </w:p>
    <w:p>
      <w:pPr>
        <w:jc w:val="both"/>
        <w:ind w:right="460" w:firstLine="50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1"/>
    </w:lvl>
    <w:lvl w:ilvl="1">
      <w:lvlJc w:val="left"/>
      <w:lvlText w:val="(%2)"/>
      <w:numFmt w:val="decimal"/>
      <w:start w:val="1"/>
    </w:lvl>
  </w:abstractNum>
  <w:abstractNum w:abstractNumId="4">
    <w:nsid w:val="1190CDE7"/>
    <w:multiLevelType w:val="hybridMultilevel"/>
    <w:lvl w:ilvl="0">
      <w:lvlJc w:val="left"/>
      <w:lvlText w:val="%1."/>
      <w:numFmt w:val="decimal"/>
      <w:start w:val="6"/>
    </w:lvl>
    <w:lvl w:ilvl="1">
      <w:lvlJc w:val="left"/>
      <w:lvlText w:val="%2"/>
      <w:numFmt w:val="decimal"/>
      <w:start w:val="1"/>
    </w:lvl>
  </w:abstractNum>
  <w:abstractNum w:abstractNumId="5">
    <w:nsid w:val="66EF438D"/>
    <w:multiLevelType w:val="hybridMultilevel"/>
    <w:lvl w:ilvl="0">
      <w:lvlJc w:val="left"/>
      <w:lvlText w:val="%1."/>
      <w:numFmt w:val="decimal"/>
      <w:start w:val="7"/>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1"/>
    </w:lvl>
    <w:lvl w:ilvl="1">
      <w:lvlJc w:val="left"/>
      <w:lvlText w:val="•"/>
      <w:numFmt w:val="bullet"/>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lvl w:ilvl="1">
      <w:lvlJc w:val="left"/>
      <w:lvlText w:val="(%2)"/>
      <w:numFmt w:val="lowerLetter"/>
      <w:start w:val="2"/>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2"/>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2019-12-29T07:32:34Z</dcterms:created>
  <dcterms:modified xsi:type="dcterms:W3CDTF">2019-12-29T07:32:34Z</dcterms:modified>
</cp:coreProperties>
</file>