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4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FORM 8-K</w:t>
      </w:r>
    </w:p>
    <w:p>
      <w:pPr>
        <w:spacing w:after="0" w:line="229"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CURRENT REPORT</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Pursuant to Section 13 or 15(d) of the</w:t>
      </w:r>
    </w:p>
    <w:p>
      <w:pPr>
        <w:jc w:val="center"/>
        <w:ind w:right="-339"/>
        <w:spacing w:after="0"/>
        <w:rPr>
          <w:sz w:val="20"/>
          <w:szCs w:val="20"/>
          <w:color w:val="auto"/>
        </w:rPr>
      </w:pPr>
      <w:r>
        <w:rPr>
          <w:rFonts w:ascii="Arial" w:cs="Arial" w:eastAsia="Arial" w:hAnsi="Arial"/>
          <w:sz w:val="20"/>
          <w:szCs w:val="20"/>
          <w:color w:val="auto"/>
        </w:rPr>
        <w:t>Securities Exchange Act of 1934</w:t>
      </w: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Date of Report (Date of earliest event reported): April 26, 2017</w:t>
      </w:r>
    </w:p>
    <w:p>
      <w:pPr>
        <w:spacing w:after="0" w:line="229"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WESTWOOD HOLDINGS GROUP, INC.</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(Exact name of registrant as specified in charter)</w:t>
      </w:r>
    </w:p>
    <w:p>
      <w:pPr>
        <w:spacing w:after="0" w:line="200" w:lineRule="exact"/>
        <w:rPr>
          <w:sz w:val="24"/>
          <w:szCs w:val="24"/>
          <w:color w:val="auto"/>
        </w:rPr>
      </w:pPr>
    </w:p>
    <w:p>
      <w:pPr>
        <w:spacing w:after="0" w:line="243" w:lineRule="exact"/>
        <w:rPr>
          <w:sz w:val="24"/>
          <w:szCs w:val="24"/>
          <w:color w:val="auto"/>
        </w:rPr>
      </w:pPr>
    </w:p>
    <w:p>
      <w:pPr>
        <w:ind w:left="500"/>
        <w:spacing w:after="0"/>
        <w:tabs>
          <w:tab w:leader="none" w:pos="1440" w:val="left"/>
          <w:tab w:leader="none" w:pos="2480" w:val="left"/>
        </w:tabs>
        <w:rPr>
          <w:sz w:val="20"/>
          <w:szCs w:val="20"/>
          <w:color w:val="auto"/>
        </w:rPr>
      </w:pPr>
      <w:r>
        <w:rPr>
          <w:rFonts w:ascii="Arial" w:cs="Arial" w:eastAsia="Arial" w:hAnsi="Arial"/>
          <w:sz w:val="20"/>
          <w:szCs w:val="20"/>
          <w:color w:val="auto"/>
        </w:rPr>
        <w:t>Delaware</w:t>
        <w:tab/>
        <w:t>001-31234</w:t>
      </w:r>
      <w:r>
        <w:rPr>
          <w:sz w:val="20"/>
          <w:szCs w:val="20"/>
          <w:color w:val="auto"/>
        </w:rPr>
        <w:tab/>
      </w:r>
      <w:r>
        <w:rPr>
          <w:rFonts w:ascii="Arial" w:cs="Arial" w:eastAsia="Arial" w:hAnsi="Arial"/>
          <w:sz w:val="16"/>
          <w:szCs w:val="16"/>
          <w:color w:val="auto"/>
        </w:rPr>
        <w:t>75-2969997</w:t>
      </w:r>
    </w:p>
    <w:p>
      <w:pPr>
        <w:spacing w:after="0" w:line="15" w:lineRule="exact"/>
        <w:rPr>
          <w:sz w:val="24"/>
          <w:szCs w:val="24"/>
          <w:color w:val="auto"/>
        </w:rPr>
      </w:pPr>
    </w:p>
    <w:p>
      <w:pPr>
        <w:spacing w:after="0"/>
        <w:tabs>
          <w:tab w:leader="none" w:pos="2260" w:val="left"/>
          <w:tab w:leader="none" w:pos="3540" w:val="left"/>
        </w:tabs>
        <w:rPr>
          <w:sz w:val="20"/>
          <w:szCs w:val="20"/>
          <w:color w:val="auto"/>
        </w:rPr>
      </w:pPr>
      <w:r>
        <w:rPr>
          <w:rFonts w:ascii="Arial" w:cs="Arial" w:eastAsia="Arial" w:hAnsi="Arial"/>
          <w:sz w:val="20"/>
          <w:szCs w:val="20"/>
          <w:color w:val="auto"/>
        </w:rPr>
        <w:t>(State or other jurisdiction</w:t>
        <w:tab/>
        <w:t>(Commission</w:t>
      </w:r>
      <w:r>
        <w:rPr>
          <w:sz w:val="20"/>
          <w:szCs w:val="20"/>
          <w:color w:val="auto"/>
        </w:rPr>
        <w:tab/>
      </w:r>
      <w:r>
        <w:rPr>
          <w:rFonts w:ascii="Arial" w:cs="Arial" w:eastAsia="Arial" w:hAnsi="Arial"/>
          <w:sz w:val="18"/>
          <w:szCs w:val="18"/>
          <w:color w:val="auto"/>
        </w:rPr>
        <w:t>(IRS Employer</w:t>
      </w:r>
    </w:p>
    <w:p>
      <w:pPr>
        <w:ind w:left="340"/>
        <w:spacing w:after="0"/>
        <w:tabs>
          <w:tab w:leader="none" w:pos="1900" w:val="left"/>
          <w:tab w:leader="none" w:pos="3180" w:val="left"/>
        </w:tabs>
        <w:rPr>
          <w:sz w:val="20"/>
          <w:szCs w:val="20"/>
          <w:color w:val="auto"/>
        </w:rPr>
      </w:pPr>
      <w:r>
        <w:rPr>
          <w:rFonts w:ascii="Arial" w:cs="Arial" w:eastAsia="Arial" w:hAnsi="Arial"/>
          <w:sz w:val="20"/>
          <w:szCs w:val="20"/>
          <w:color w:val="auto"/>
        </w:rPr>
        <w:t>of incorporation)</w:t>
        <w:tab/>
        <w:t>File Number)</w:t>
      </w:r>
      <w:r>
        <w:rPr>
          <w:sz w:val="20"/>
          <w:szCs w:val="20"/>
          <w:color w:val="auto"/>
        </w:rPr>
        <w:tab/>
      </w: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200 Crescent Court, Suite 1200</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Dallas, Texas 75201</w:t>
      </w:r>
    </w:p>
    <w:p>
      <w:pPr>
        <w:jc w:val="center"/>
        <w:ind w:right="-339"/>
        <w:spacing w:after="0"/>
        <w:rPr>
          <w:sz w:val="20"/>
          <w:szCs w:val="20"/>
          <w:color w:val="auto"/>
        </w:rPr>
      </w:pPr>
      <w:r>
        <w:rPr>
          <w:rFonts w:ascii="Arial" w:cs="Arial" w:eastAsia="Arial" w:hAnsi="Arial"/>
          <w:sz w:val="20"/>
          <w:szCs w:val="20"/>
          <w:color w:val="auto"/>
        </w:rPr>
        <w:t>(Address of principal executive offices)</w:t>
      </w: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(214) 756-6900</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(Registrant's telephone number, including area code)</w:t>
      </w:r>
    </w:p>
    <w:p>
      <w:pPr>
        <w:spacing w:after="0" w:line="200" w:lineRule="exact"/>
        <w:rPr>
          <w:sz w:val="24"/>
          <w:szCs w:val="24"/>
          <w:color w:val="auto"/>
        </w:rPr>
      </w:pPr>
    </w:p>
    <w:p>
      <w:pPr>
        <w:spacing w:after="0" w:line="283" w:lineRule="exact"/>
        <w:rPr>
          <w:sz w:val="24"/>
          <w:szCs w:val="24"/>
          <w:color w:val="auto"/>
        </w:rPr>
      </w:pPr>
    </w:p>
    <w:p>
      <w:pPr>
        <w:ind w:firstLine="324"/>
        <w:spacing w:after="0" w:line="289"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227"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Written communications pursuant to Rule 425 under the Securities Act (17 CFR 230.425)</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Soliciting material pursuant to Rule 14a-12 under the Exchange Act (17 CFR 240.14a-12)</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14d-2(b) under the Exchange Act (17 CFR 240.14d-2(b))</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13e-4(c) under the Exchange Act (17 CFR 240.13e-4(c))</w:t>
      </w:r>
    </w:p>
    <w:p>
      <w:pPr>
        <w:sectPr>
          <w:pgSz w:w="11900" w:h="16838" w:orient="portrait"/>
          <w:cols w:equalWidth="0" w:num="1">
            <w:col w:w="11100"/>
          </w:cols>
          <w:pgMar w:left="240" w:top="690" w:right="5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20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On April 26, 2017, Westwood Holdings Group, Inc. (“Westwood”) issued a press release entitled “Westwood Holdings Group, Inc. Reports First Quarter 2017 Results; Non-U.S. Clients Reach Record 20% of AUM”, a copy of which is furnished with this Current Report on Form 8-K as Exhibit 99.1.</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229"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$0.62 per common share, payable on July 3, 2017 to stockholders of record on June 9, 2017.</w:t>
      </w:r>
    </w:p>
    <w:p>
      <w:pPr>
        <w:spacing w:after="0" w:line="19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 The following exhibit is furnished with this report:</w:t>
      </w:r>
    </w:p>
    <w:p>
      <w:pPr>
        <w:sectPr>
          <w:pgSz w:w="11900" w:h="16838" w:orient="portrait"/>
          <w:cols w:equalWidth="0" w:num="1">
            <w:col w:w="11380"/>
          </w:cols>
          <w:pgMar w:left="240" w:top="582" w:right="2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0" w:lineRule="exact"/>
        <w:rPr>
          <w:sz w:val="20"/>
          <w:szCs w:val="20"/>
          <w:color w:val="auto"/>
        </w:rPr>
      </w:pPr>
    </w:p>
    <w:p>
      <w:pPr>
        <w:sectPr>
          <w:pgSz w:w="11900" w:h="16838" w:orient="portrait"/>
          <w:cols w:equalWidth="0" w:num="2">
            <w:col w:w="1560" w:space="720"/>
            <w:col w:w="9100"/>
          </w:cols>
          <w:pgMar w:left="240" w:top="582" w:right="279" w:bottom="1440" w:gutter="0" w:footer="0" w:header="0"/>
          <w:type w:val="continuous"/>
        </w:sectPr>
      </w:pPr>
    </w:p>
    <w:p>
      <w:pPr>
        <w:spacing w:after="0" w:line="5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8"/>
          <w:szCs w:val="18"/>
          <w:color w:val="auto"/>
        </w:rPr>
        <w:t>Press Release dated April 26, 2017, entitled “Westwood Holdings Group, Inc. Reports First Quarter 2017 Results; Non-U.S.</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Clients Reach Record 20% of AUM”.</w:t>
      </w:r>
    </w:p>
    <w:p>
      <w:pPr>
        <w:sectPr>
          <w:pgSz w:w="11900" w:h="16838" w:orient="portrait"/>
          <w:cols w:equalWidth="0" w:num="1">
            <w:col w:w="11380"/>
          </w:cols>
          <w:pgMar w:left="240" w:top="582"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April 26, 2017</w:t>
      </w: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WESTWOOD HOLDINGS GROUP, INC.</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186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Tiffany B. Kice</w:t>
      </w:r>
    </w:p>
    <w:p>
      <w:pPr>
        <w:ind w:left="45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58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EXHIBIT INDEX</w:t>
            </w:r>
          </w:p>
        </w:tc>
      </w:tr>
      <w:tr>
        <w:trPr>
          <w:trHeight w:val="439"/>
        </w:trPr>
        <w:tc>
          <w:tcPr>
            <w:tcW w:w="1480" w:type="dxa"/>
            <w:vAlign w:val="bottom"/>
          </w:tcPr>
          <w:p>
            <w:pPr>
              <w:spacing w:after="0"/>
              <w:rPr>
                <w:sz w:val="20"/>
                <w:szCs w:val="20"/>
                <w:color w:val="auto"/>
              </w:rPr>
            </w:pPr>
            <w:r>
              <w:rPr>
                <w:rFonts w:ascii="Arial" w:cs="Arial" w:eastAsia="Arial" w:hAnsi="Arial"/>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Arial" w:cs="Arial" w:eastAsia="Arial" w:hAnsi="Arial"/>
                <w:sz w:val="20"/>
                <w:szCs w:val="20"/>
                <w:color w:val="auto"/>
              </w:rPr>
              <w:t>Description</w:t>
            </w:r>
          </w:p>
        </w:tc>
        <w:tc>
          <w:tcPr>
            <w:tcW w:w="146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r>
      <w:tr>
        <w:trPr>
          <w:trHeight w:val="463"/>
        </w:trPr>
        <w:tc>
          <w:tcPr>
            <w:tcW w:w="1480" w:type="dxa"/>
            <w:vAlign w:val="bottom"/>
          </w:tcPr>
          <w:p>
            <w:pPr>
              <w:spacing w:after="0"/>
              <w:rPr>
                <w:sz w:val="20"/>
                <w:szCs w:val="20"/>
                <w:color w:val="auto"/>
              </w:rPr>
            </w:pPr>
            <w:r>
              <w:rPr>
                <w:rFonts w:ascii="Arial" w:cs="Arial" w:eastAsia="Arial" w:hAnsi="Arial"/>
                <w:sz w:val="20"/>
                <w:szCs w:val="20"/>
                <w:color w:val="auto"/>
              </w:rPr>
              <w:t>99.1</w:t>
            </w:r>
          </w:p>
        </w:tc>
        <w:tc>
          <w:tcPr>
            <w:tcW w:w="200" w:type="dxa"/>
            <w:vAlign w:val="bottom"/>
          </w:tcPr>
          <w:p>
            <w:pPr>
              <w:spacing w:after="0"/>
              <w:rPr>
                <w:sz w:val="24"/>
                <w:szCs w:val="24"/>
                <w:color w:val="auto"/>
              </w:rPr>
            </w:pPr>
          </w:p>
        </w:tc>
        <w:tc>
          <w:tcPr>
            <w:tcW w:w="9300" w:type="dxa"/>
            <w:vAlign w:val="bottom"/>
            <w:gridSpan w:val="4"/>
          </w:tcPr>
          <w:p>
            <w:pPr>
              <w:ind w:left="280"/>
              <w:spacing w:after="0"/>
              <w:rPr>
                <w:sz w:val="20"/>
                <w:szCs w:val="20"/>
                <w:color w:val="auto"/>
              </w:rPr>
            </w:pPr>
            <w:r>
              <w:rPr>
                <w:rFonts w:ascii="Arial" w:cs="Arial" w:eastAsia="Arial" w:hAnsi="Arial"/>
                <w:sz w:val="20"/>
                <w:szCs w:val="20"/>
                <w:color w:val="auto"/>
                <w:w w:val="89"/>
              </w:rPr>
              <w:t>Press Release dated April 26, 2017, entitled “Westwood Holdings Group, Inc. Reports First Quarter 2017 Results;</w:t>
            </w:r>
          </w:p>
        </w:tc>
      </w:tr>
      <w:tr>
        <w:trPr>
          <w:trHeight w:val="250"/>
        </w:trPr>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300" w:type="dxa"/>
            <w:vAlign w:val="bottom"/>
            <w:gridSpan w:val="4"/>
          </w:tcPr>
          <w:p>
            <w:pPr>
              <w:ind w:left="280"/>
              <w:spacing w:after="0"/>
              <w:rPr>
                <w:sz w:val="20"/>
                <w:szCs w:val="20"/>
                <w:color w:val="auto"/>
              </w:rPr>
            </w:pPr>
            <w:r>
              <w:rPr>
                <w:rFonts w:ascii="Arial" w:cs="Arial" w:eastAsia="Arial" w:hAnsi="Arial"/>
                <w:sz w:val="20"/>
                <w:szCs w:val="20"/>
                <w:color w:val="auto"/>
              </w:rPr>
              <w:t>Non-U.S. Clients Reach Record 20% of AUM”.</w:t>
            </w:r>
          </w:p>
        </w:tc>
      </w:tr>
    </w:tbl>
    <w:p>
      <w:pPr>
        <w:sectPr>
          <w:pgSz w:w="11900" w:h="16838" w:orient="portrait"/>
          <w:cols w:equalWidth="0" w:num="1">
            <w:col w:w="10980"/>
          </w:cols>
          <w:pgMar w:left="240" w:top="787" w:right="6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406400</wp:posOffset>
            </wp:positionV>
            <wp:extent cx="274447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004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First Quarter 2017 Results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Clients Reach Record 20% of AUM</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Dallas, TX, April 26, 2017 – Westwood Holdings Group, Inc. (NYSE: WHG) today reported first quarter 2017 revenues of $32.6 million compared to $29.1 million in the first quarter of 2016 and $31.1 million in the fourth quarter of 2016, primarily related to higher average assets under management ("AUM") due to market appreciation and performance-based fees of $0.4 million earned in the first quarter of 2017.</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AUM as of March 31, 2017 totaled $22.1 billion, up from $21.1 billion and $21.2 billion at March 31, 2016 and December 31, 2016, respectively. Assets under advisement ("AUA") totaled $1.1 billion compared to $325 million and $1.0 billion at March 31, 2016 and December 31, 2016, respectively.</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Compared to the first quarter of 2016, net income increased from $3.5 million to $6.1 million. The increase primarily related to higher revenues as noted above, partially offset by a $1.2 million increase in employee compensation and benefits related to higher compensation and additional headcount. Diluted earnings per share of $0.73 compared to $0.44 for the first quarter of 2016. Non-GAAP Economic Earnings for the quarter increased from $8.1 million, or $1.01 per share, in 2016's first quarter, to $10.6 million, or $1.28 per share, in the first quarter of 2017.</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First quarter net income totaled $6.1 million compared with $7.6 million in the fourth quarter of 2016. The decrease related primarily to seasonal incremental payroll tax and benefit plan matching expenses on cash bonuses paid during the first quarter and, to a lesser extent, provisions for higher incentive compensation and merit salary increases for 2017, partially offset by higher revenues as discussed above. Diluted earnings per share of $0.73 compared to $0.92 for the fourth quarter of 2016. Non-GAAP Economic Earnings for the quarter of $10.6 million, or $1.28 per share, compared to $12.0 million, or $1.45 per share, in the immediately preceding quarter.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Highlights from the first quarter 2017 include:</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Non-U.S. clients reached a record 20% of our AUM.</w:t>
      </w:r>
    </w:p>
    <w:p>
      <w:pPr>
        <w:spacing w:after="0" w:line="165" w:lineRule="exact"/>
        <w:rPr>
          <w:rFonts w:ascii="Arial" w:cs="Arial" w:eastAsia="Arial" w:hAnsi="Arial"/>
          <w:sz w:val="22"/>
          <w:szCs w:val="22"/>
          <w:color w:val="auto"/>
        </w:rPr>
      </w:pPr>
    </w:p>
    <w:p>
      <w:pPr>
        <w:ind w:left="660" w:right="1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Revenues of $32.6 million increased $3.5 million from the first quarter of 2016 and $1.5 million from the fourth quarter of 2016.</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Emerging Markets strategies outperformed their benchmarks with double-digit returns in the quarter.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New tax-efficient, high conviction Select Equity strategy is off to a solid start, outperforming its benchmark for the quarter.</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22"/>
          <w:szCs w:val="22"/>
          <w:color w:val="auto"/>
        </w:rPr>
        <w:t>Brian Casey, Westwood’s President &amp; CEO, commented, "Looking to the remainder of 2017, Westwood strategies are well– positioned in an environment where active management can deliver excess returns and specific outcomes for our clients. Our focus remains, as it has for more than 30 years, on controlling downside protection and absolute risk. We believe that our high active share equity strategies, which provide varying levels of volatility exposure and return profiles, will attract investors looking for differentiated results."</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Westwood’s Board of Directors declared a quarterly cash dividend of $0.62 per common share, payable on July 3, 2017 to stockholders of record on June 9, 2017. At quarter-end, Westwood had $75.4 million in cash and investments, stockholders’ equity of $144.8 million, and no debt.</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Economic Earnings and Economic Earnings per Share (" Economic EPS") are non-GAAP performance measures and are explained and reconciled with the most comparable GAAP numbers in the attached tables.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first quarter 2017 results and other business matters at 4:30 p.m. Eastern time today. To join the conference call, dial 877-303-6235 (domestic and Canada) or 631-291-4837 (international). The conference call can also be accessed via our Investor Relations page at westwoodgroup.com and will be available for replay through May 3, 2017 by dialing 855-859-2056 (domestic and Canada) or 404-537-3406 (international) and then entering the passcode 2165728.</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Westwood Holdings Group, Inc. provides investment management services to institutional investors, private wealth clients and financial intermediaries. With $22.1 billion in assets under management (as of March 31, 2017), our firm offers a range of investment strategies including U.S. equities, Master Limited Partnerships (MLPs), Multi-Asset, Global and Emerging Markets equities, and Global Convertible securities portfolios. Access to our strategies is available through separate accounts, commingled funds, the Westwood Funds® family of mutual funds, UCITS funds and other pooled vehicles. Westwood benefits from significant, broad-based employee ownership and trades on the New York Stock Exchange under the symbol “WHG.” Based in Dallas, Texas, Westwood also maintains offices in Toronto, Boston, Omaha and Houston.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www.westwoodgroup.com.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the Westwood Funds®, please visit www.westwoodfunds.com.</w:t>
      </w:r>
    </w:p>
    <w:p>
      <w:pPr>
        <w:sectPr>
          <w:pgSz w:w="11900" w:h="16838" w:orient="portrait"/>
          <w:cols w:equalWidth="0" w:num="1">
            <w:col w:w="11420"/>
          </w:cols>
          <w:pgMar w:left="240" w:top="63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includes investments in foreign companies; our ability to develop and market new investment strategies successfully; our relationships with current and potential customers; our ability to retain qualified personnel; our ability to maintain effective cyber security; our ability to maintain effective information systems; our ability to pursue and properly integrate acquired businesses;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Securities and Exchange Commission filings, including, but not limited to, its annual report on Form 10-K for the year ended December 31, 2016 and its quarterly report on Form 10-Q for the quarter ended March 31, 2017.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Tiffany B. Kice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380"/>
          </w:cols>
          <w:pgMar w:left="240" w:top="625" w:right="2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04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00" w:type="dxa"/>
        <w:tblCellMar>
          <w:top w:w="0" w:type="dxa"/>
          <w:left w:w="0" w:type="dxa"/>
          <w:bottom w:w="0" w:type="dxa"/>
          <w:right w:w="0" w:type="dxa"/>
        </w:tblCellMar>
      </w:tblPr>
      <w:tr>
        <w:trPr>
          <w:trHeight w:val="256"/>
        </w:trPr>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980" w:type="dxa"/>
            <w:vAlign w:val="bottom"/>
            <w:gridSpan w:val="4"/>
          </w:tcPr>
          <w:p>
            <w:pPr>
              <w:ind w:left="100"/>
              <w:spacing w:after="0"/>
              <w:rPr>
                <w:sz w:val="20"/>
                <w:szCs w:val="20"/>
                <w:color w:val="auto"/>
              </w:rPr>
            </w:pPr>
            <w:r>
              <w:rPr>
                <w:rFonts w:ascii="Arial" w:cs="Arial" w:eastAsia="Arial" w:hAnsi="Arial"/>
                <w:sz w:val="20"/>
                <w:szCs w:val="20"/>
                <w:b w:val="1"/>
                <w:bCs w:val="1"/>
                <w:color w:val="auto"/>
                <w:w w:val="94"/>
              </w:rPr>
              <w:t>Three Months Ended</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301"/>
              <w:spacing w:after="0" w:line="228" w:lineRule="exact"/>
              <w:rPr>
                <w:sz w:val="20"/>
                <w:szCs w:val="20"/>
                <w:color w:val="auto"/>
              </w:rPr>
            </w:pPr>
            <w:r>
              <w:rPr>
                <w:rFonts w:ascii="Arial" w:cs="Arial" w:eastAsia="Arial" w:hAnsi="Arial"/>
                <w:sz w:val="20"/>
                <w:szCs w:val="20"/>
                <w:b w:val="1"/>
                <w:bCs w:val="1"/>
                <w:color w:val="auto"/>
              </w:rPr>
              <w:t>March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ind w:left="80"/>
              <w:spacing w:after="0" w:line="228" w:lineRule="exact"/>
              <w:rPr>
                <w:sz w:val="20"/>
                <w:szCs w:val="20"/>
                <w:color w:val="auto"/>
              </w:rPr>
            </w:pPr>
            <w:r>
              <w:rPr>
                <w:rFonts w:ascii="Arial" w:cs="Arial" w:eastAsia="Arial" w:hAnsi="Arial"/>
                <w:sz w:val="20"/>
                <w:szCs w:val="20"/>
                <w:b w:val="1"/>
                <w:bCs w:val="1"/>
                <w:color w:val="auto"/>
              </w:rPr>
              <w:t>December 31,</w:t>
            </w:r>
          </w:p>
        </w:tc>
        <w:tc>
          <w:tcPr>
            <w:tcW w:w="240" w:type="dxa"/>
            <w:vAlign w:val="bottom"/>
          </w:tcPr>
          <w:p>
            <w:pPr>
              <w:spacing w:after="0"/>
              <w:rPr>
                <w:sz w:val="19"/>
                <w:szCs w:val="19"/>
                <w:color w:val="auto"/>
              </w:rPr>
            </w:pPr>
          </w:p>
        </w:tc>
        <w:tc>
          <w:tcPr>
            <w:tcW w:w="1400" w:type="dxa"/>
            <w:vAlign w:val="bottom"/>
          </w:tcPr>
          <w:p>
            <w:pPr>
              <w:jc w:val="right"/>
              <w:ind w:right="321"/>
              <w:spacing w:after="0" w:line="228" w:lineRule="exact"/>
              <w:rPr>
                <w:sz w:val="20"/>
                <w:szCs w:val="20"/>
                <w:color w:val="auto"/>
              </w:rPr>
            </w:pPr>
            <w:r>
              <w:rPr>
                <w:rFonts w:ascii="Arial" w:cs="Arial" w:eastAsia="Arial" w:hAnsi="Arial"/>
                <w:sz w:val="20"/>
                <w:szCs w:val="20"/>
                <w:b w:val="1"/>
                <w:bCs w:val="1"/>
                <w:color w:val="auto"/>
              </w:rPr>
              <w:t>March 31,</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ind w:right="521"/>
              <w:spacing w:after="0"/>
              <w:rPr>
                <w:sz w:val="20"/>
                <w:szCs w:val="20"/>
                <w:color w:val="auto"/>
              </w:rPr>
            </w:pPr>
            <w:r>
              <w:rPr>
                <w:rFonts w:ascii="Arial" w:cs="Arial" w:eastAsia="Arial" w:hAnsi="Arial"/>
                <w:sz w:val="20"/>
                <w:szCs w:val="20"/>
                <w:b w:val="1"/>
                <w:bCs w:val="1"/>
                <w:color w:val="auto"/>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jc w:val="right"/>
              <w:ind w:right="581"/>
              <w:spacing w:after="0"/>
              <w:rPr>
                <w:sz w:val="20"/>
                <w:szCs w:val="20"/>
                <w:color w:val="auto"/>
              </w:rPr>
            </w:pPr>
            <w:r>
              <w:rPr>
                <w:rFonts w:ascii="Arial" w:cs="Arial" w:eastAsia="Arial" w:hAnsi="Arial"/>
                <w:sz w:val="20"/>
                <w:szCs w:val="20"/>
                <w:b w:val="1"/>
                <w:bCs w:val="1"/>
                <w:color w:val="auto"/>
              </w:rPr>
              <w:t>2016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ind w:right="521"/>
              <w:spacing w:after="0"/>
              <w:rPr>
                <w:sz w:val="20"/>
                <w:szCs w:val="20"/>
                <w:color w:val="auto"/>
              </w:rPr>
            </w:pPr>
            <w:r>
              <w:rPr>
                <w:rFonts w:ascii="Arial" w:cs="Arial" w:eastAsia="Arial" w:hAnsi="Arial"/>
                <w:sz w:val="20"/>
                <w:szCs w:val="20"/>
                <w:b w:val="1"/>
                <w:bCs w:val="1"/>
                <w:color w:val="auto"/>
              </w:rPr>
              <w:t>2016</w:t>
            </w:r>
          </w:p>
        </w:tc>
        <w:tc>
          <w:tcPr>
            <w:tcW w:w="0" w:type="dxa"/>
            <w:vAlign w:val="bottom"/>
          </w:tcPr>
          <w:p>
            <w:pPr>
              <w:spacing w:after="0"/>
              <w:rPr>
                <w:sz w:val="1"/>
                <w:szCs w:val="1"/>
                <w:color w:val="auto"/>
              </w:rPr>
            </w:pPr>
          </w:p>
        </w:tc>
      </w:tr>
      <w:tr>
        <w:trPr>
          <w:trHeight w:val="23"/>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960" w:type="dxa"/>
            <w:vAlign w:val="bottom"/>
          </w:tcPr>
          <w:p>
            <w:pPr>
              <w:ind w:left="380"/>
              <w:spacing w:after="0"/>
              <w:rPr>
                <w:sz w:val="20"/>
                <w:szCs w:val="20"/>
                <w:color w:val="auto"/>
              </w:rPr>
            </w:pPr>
            <w:r>
              <w:rPr>
                <w:rFonts w:ascii="Arial" w:cs="Arial" w:eastAsia="Arial" w:hAnsi="Arial"/>
                <w:sz w:val="20"/>
                <w:szCs w:val="20"/>
                <w:color w:val="auto"/>
              </w:rPr>
              <w:t>Advisory fees:</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20"/>
                <w:szCs w:val="20"/>
                <w:color w:val="auto"/>
              </w:rPr>
              <w:t>Asset-based</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23,789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23,564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21,815</w:t>
            </w:r>
          </w:p>
        </w:tc>
        <w:tc>
          <w:tcPr>
            <w:tcW w:w="0" w:type="dxa"/>
            <w:vAlign w:val="bottom"/>
          </w:tcPr>
          <w:p>
            <w:pPr>
              <w:spacing w:after="0"/>
              <w:rPr>
                <w:sz w:val="1"/>
                <w:szCs w:val="1"/>
                <w:color w:val="auto"/>
              </w:rPr>
            </w:pPr>
          </w:p>
        </w:tc>
      </w:tr>
      <w:tr>
        <w:trPr>
          <w:trHeight w:val="261"/>
        </w:trPr>
        <w:tc>
          <w:tcPr>
            <w:tcW w:w="4960" w:type="dxa"/>
            <w:vAlign w:val="bottom"/>
          </w:tcPr>
          <w:p>
            <w:pPr>
              <w:ind w:left="700"/>
              <w:spacing w:after="0"/>
              <w:rPr>
                <w:sz w:val="20"/>
                <w:szCs w:val="20"/>
                <w:color w:val="auto"/>
              </w:rPr>
            </w:pPr>
            <w:r>
              <w:rPr>
                <w:rFonts w:ascii="Arial" w:cs="Arial" w:eastAsia="Arial" w:hAnsi="Arial"/>
                <w:sz w:val="20"/>
                <w:szCs w:val="20"/>
                <w:color w:val="auto"/>
              </w:rPr>
              <w:t>Performance-based</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Trust fees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7,795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7,515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7,465</w:t>
            </w:r>
          </w:p>
        </w:tc>
        <w:tc>
          <w:tcPr>
            <w:tcW w:w="0" w:type="dxa"/>
            <w:vAlign w:val="bottom"/>
          </w:tcPr>
          <w:p>
            <w:pPr>
              <w:spacing w:after="0"/>
              <w:rPr>
                <w:sz w:val="1"/>
                <w:szCs w:val="1"/>
                <w:color w:val="auto"/>
              </w:rPr>
            </w:pPr>
          </w:p>
        </w:tc>
      </w:tr>
      <w:tr>
        <w:trPr>
          <w:trHeight w:val="261"/>
        </w:trPr>
        <w:tc>
          <w:tcPr>
            <w:tcW w:w="4960" w:type="dxa"/>
            <w:vAlign w:val="bottom"/>
          </w:tcPr>
          <w:p>
            <w:pPr>
              <w:ind w:left="380"/>
              <w:spacing w:after="0"/>
              <w:rPr>
                <w:sz w:val="20"/>
                <w:szCs w:val="20"/>
                <w:color w:val="auto"/>
              </w:rPr>
            </w:pPr>
            <w:r>
              <w:rPr>
                <w:rFonts w:ascii="Arial" w:cs="Arial" w:eastAsia="Arial" w:hAnsi="Arial"/>
                <w:sz w:val="20"/>
                <w:szCs w:val="20"/>
                <w:color w:val="auto"/>
              </w:rPr>
              <w:t>Other, net</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3"/>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32,623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31,092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29,129</w:t>
            </w:r>
          </w:p>
        </w:tc>
        <w:tc>
          <w:tcPr>
            <w:tcW w:w="0" w:type="dxa"/>
            <w:vAlign w:val="bottom"/>
          </w:tcPr>
          <w:p>
            <w:pPr>
              <w:spacing w:after="0"/>
              <w:rPr>
                <w:sz w:val="1"/>
                <w:szCs w:val="1"/>
                <w:color w:val="auto"/>
              </w:rPr>
            </w:pPr>
          </w:p>
        </w:tc>
      </w:tr>
      <w:tr>
        <w:trPr>
          <w:trHeight w:val="284"/>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EXPENSES: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960" w:type="dxa"/>
            <w:vAlign w:val="bottom"/>
          </w:tcPr>
          <w:p>
            <w:pPr>
              <w:ind w:left="380"/>
              <w:spacing w:after="0"/>
              <w:rPr>
                <w:sz w:val="20"/>
                <w:szCs w:val="20"/>
                <w:color w:val="auto"/>
              </w:rPr>
            </w:pPr>
            <w:r>
              <w:rPr>
                <w:rFonts w:ascii="Arial" w:cs="Arial" w:eastAsia="Arial" w:hAnsi="Arial"/>
                <w:sz w:val="20"/>
                <w:szCs w:val="20"/>
                <w:color w:val="auto"/>
              </w:rPr>
              <w:t>Employee compensation and benefits</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17,717</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14,270</w:t>
            </w:r>
          </w:p>
        </w:tc>
        <w:tc>
          <w:tcPr>
            <w:tcW w:w="1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16,494</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Sales and marketing</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328</w:t>
            </w:r>
          </w:p>
        </w:tc>
        <w:tc>
          <w:tcPr>
            <w:tcW w:w="0" w:type="dxa"/>
            <w:vAlign w:val="bottom"/>
          </w:tcPr>
          <w:p>
            <w:pPr>
              <w:spacing w:after="0"/>
              <w:rPr>
                <w:sz w:val="1"/>
                <w:szCs w:val="1"/>
                <w:color w:val="auto"/>
              </w:rPr>
            </w:pPr>
          </w:p>
        </w:tc>
      </w:tr>
      <w:tr>
        <w:trPr>
          <w:trHeight w:val="261"/>
        </w:trPr>
        <w:tc>
          <w:tcPr>
            <w:tcW w:w="4960" w:type="dxa"/>
            <w:vAlign w:val="bottom"/>
          </w:tcPr>
          <w:p>
            <w:pPr>
              <w:ind w:left="380"/>
              <w:spacing w:after="0"/>
              <w:rPr>
                <w:sz w:val="20"/>
                <w:szCs w:val="20"/>
                <w:color w:val="auto"/>
              </w:rPr>
            </w:pPr>
            <w:r>
              <w:rPr>
                <w:rFonts w:ascii="Arial" w:cs="Arial" w:eastAsia="Arial" w:hAnsi="Arial"/>
                <w:sz w:val="20"/>
                <w:szCs w:val="20"/>
                <w:color w:val="auto"/>
              </w:rPr>
              <w:t>Westwood mutual funds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873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696</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Information technology</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1,964</w:t>
            </w:r>
          </w:p>
        </w:tc>
        <w:tc>
          <w:tcPr>
            <w:tcW w:w="0" w:type="dxa"/>
            <w:vAlign w:val="bottom"/>
          </w:tcPr>
          <w:p>
            <w:pPr>
              <w:spacing w:after="0"/>
              <w:rPr>
                <w:sz w:val="1"/>
                <w:szCs w:val="1"/>
                <w:color w:val="auto"/>
              </w:rPr>
            </w:pPr>
          </w:p>
        </w:tc>
      </w:tr>
      <w:tr>
        <w:trPr>
          <w:trHeight w:val="261"/>
        </w:trPr>
        <w:tc>
          <w:tcPr>
            <w:tcW w:w="4960" w:type="dxa"/>
            <w:vAlign w:val="bottom"/>
          </w:tcPr>
          <w:p>
            <w:pPr>
              <w:ind w:left="380"/>
              <w:spacing w:after="0"/>
              <w:rPr>
                <w:sz w:val="20"/>
                <w:szCs w:val="20"/>
                <w:color w:val="auto"/>
              </w:rPr>
            </w:pPr>
            <w:r>
              <w:rPr>
                <w:rFonts w:ascii="Arial" w:cs="Arial" w:eastAsia="Arial" w:hAnsi="Arial"/>
                <w:sz w:val="20"/>
                <w:szCs w:val="20"/>
                <w:color w:val="auto"/>
              </w:rPr>
              <w:t>Professional services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1,496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915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1,646</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General and administrative</w:t>
            </w:r>
          </w:p>
        </w:tc>
        <w:tc>
          <w:tcPr>
            <w:tcW w:w="2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2,544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2,043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2,355</w:t>
            </w:r>
          </w:p>
        </w:tc>
        <w:tc>
          <w:tcPr>
            <w:tcW w:w="0" w:type="dxa"/>
            <w:vAlign w:val="bottom"/>
          </w:tcPr>
          <w:p>
            <w:pPr>
              <w:spacing w:after="0"/>
              <w:rPr>
                <w:sz w:val="1"/>
                <w:szCs w:val="1"/>
                <w:color w:val="auto"/>
              </w:rPr>
            </w:pPr>
          </w:p>
        </w:tc>
      </w:tr>
      <w:tr>
        <w:trPr>
          <w:trHeight w:val="254"/>
        </w:trPr>
        <w:tc>
          <w:tcPr>
            <w:tcW w:w="4960" w:type="dxa"/>
            <w:vAlign w:val="bottom"/>
          </w:tcPr>
          <w:p>
            <w:pPr>
              <w:ind w:left="20"/>
              <w:spacing w:after="0"/>
              <w:rPr>
                <w:sz w:val="20"/>
                <w:szCs w:val="20"/>
                <w:color w:val="auto"/>
              </w:rPr>
            </w:pPr>
            <w:r>
              <w:rPr>
                <w:rFonts w:ascii="Arial" w:cs="Arial" w:eastAsia="Arial" w:hAnsi="Arial"/>
                <w:sz w:val="20"/>
                <w:szCs w:val="20"/>
                <w:b w:val="1"/>
                <w:bCs w:val="1"/>
                <w:color w:val="auto"/>
              </w:rPr>
              <w:t>Total expenses</w:t>
            </w:r>
          </w:p>
        </w:tc>
        <w:tc>
          <w:tcPr>
            <w:tcW w:w="2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24,853</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20,293</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23,483</w:t>
            </w:r>
          </w:p>
        </w:tc>
        <w:tc>
          <w:tcPr>
            <w:tcW w:w="0" w:type="dxa"/>
            <w:vAlign w:val="bottom"/>
          </w:tcPr>
          <w:p>
            <w:pPr>
              <w:spacing w:after="0"/>
              <w:rPr>
                <w:sz w:val="1"/>
                <w:szCs w:val="1"/>
                <w:color w:val="auto"/>
              </w:rPr>
            </w:pPr>
          </w:p>
        </w:tc>
      </w:tr>
      <w:tr>
        <w:trPr>
          <w:trHeight w:val="23"/>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Income before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7,770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10,799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5,646</w:t>
            </w:r>
          </w:p>
        </w:tc>
        <w:tc>
          <w:tcPr>
            <w:tcW w:w="0" w:type="dxa"/>
            <w:vAlign w:val="bottom"/>
          </w:tcPr>
          <w:p>
            <w:pPr>
              <w:spacing w:after="0"/>
              <w:rPr>
                <w:sz w:val="1"/>
                <w:szCs w:val="1"/>
                <w:color w:val="auto"/>
              </w:rPr>
            </w:pPr>
          </w:p>
        </w:tc>
      </w:tr>
      <w:tr>
        <w:trPr>
          <w:trHeight w:val="284"/>
        </w:trPr>
        <w:tc>
          <w:tcPr>
            <w:tcW w:w="4960" w:type="dxa"/>
            <w:vAlign w:val="bottom"/>
            <w:tcBorders>
              <w:bottom w:val="single" w:sz="8" w:color="CCEEFF"/>
            </w:tcBorders>
          </w:tcPr>
          <w:p>
            <w:pPr>
              <w:ind w:left="380"/>
              <w:spacing w:after="0" w:line="283" w:lineRule="exact"/>
              <w:rPr>
                <w:sz w:val="20"/>
                <w:szCs w:val="20"/>
                <w:color w:val="auto"/>
              </w:rPr>
            </w:pPr>
            <w:r>
              <w:rPr>
                <w:rFonts w:ascii="Arial" w:cs="Arial" w:eastAsia="Arial" w:hAnsi="Arial"/>
                <w:sz w:val="20"/>
                <w:szCs w:val="20"/>
                <w:color w:val="auto"/>
              </w:rPr>
              <w:t>Provision for income taxes</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3,222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2,124</w:t>
            </w:r>
          </w:p>
        </w:tc>
        <w:tc>
          <w:tcPr>
            <w:tcW w:w="0" w:type="dxa"/>
            <w:vAlign w:val="bottom"/>
          </w:tcPr>
          <w:p>
            <w:pPr>
              <w:spacing w:after="0"/>
              <w:rPr>
                <w:sz w:val="1"/>
                <w:szCs w:val="1"/>
                <w:color w:val="auto"/>
              </w:rPr>
            </w:pPr>
          </w:p>
        </w:tc>
      </w:tr>
      <w:tr>
        <w:trPr>
          <w:trHeight w:val="282"/>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income</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6,064</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7,577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3,522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20"/>
                <w:szCs w:val="20"/>
                <w:color w:val="auto"/>
              </w:rPr>
              <w:t>Other comprehensive income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20"/>
                <w:szCs w:val="20"/>
                <w:color w:val="auto"/>
              </w:rPr>
              <w:t>Foreign currency translation adjustments</w:t>
            </w:r>
          </w:p>
        </w:tc>
        <w:tc>
          <w:tcPr>
            <w:tcW w:w="2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1,303</w:t>
            </w:r>
          </w:p>
        </w:tc>
        <w:tc>
          <w:tcPr>
            <w:tcW w:w="0" w:type="dxa"/>
            <w:vAlign w:val="bottom"/>
          </w:tcPr>
          <w:p>
            <w:pPr>
              <w:spacing w:after="0"/>
              <w:rPr>
                <w:sz w:val="1"/>
                <w:szCs w:val="1"/>
                <w:color w:val="auto"/>
              </w:rPr>
            </w:pPr>
          </w:p>
        </w:tc>
      </w:tr>
      <w:tr>
        <w:trPr>
          <w:trHeight w:val="254"/>
        </w:trPr>
        <w:tc>
          <w:tcPr>
            <w:tcW w:w="4960" w:type="dxa"/>
            <w:vAlign w:val="bottom"/>
          </w:tcPr>
          <w:p>
            <w:pPr>
              <w:ind w:left="20"/>
              <w:spacing w:after="0"/>
              <w:rPr>
                <w:sz w:val="20"/>
                <w:szCs w:val="20"/>
                <w:color w:val="auto"/>
              </w:rPr>
            </w:pPr>
            <w:r>
              <w:rPr>
                <w:rFonts w:ascii="Arial" w:cs="Arial" w:eastAsia="Arial" w:hAnsi="Arial"/>
                <w:sz w:val="20"/>
                <w:szCs w:val="20"/>
                <w:color w:val="auto"/>
              </w:rPr>
              <w:t>Total comprehensive income</w:t>
            </w:r>
          </w:p>
        </w:tc>
        <w:tc>
          <w:tcPr>
            <w:tcW w:w="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6,271</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6,971</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4,825</w:t>
            </w:r>
          </w:p>
        </w:tc>
        <w:tc>
          <w:tcPr>
            <w:tcW w:w="0" w:type="dxa"/>
            <w:vAlign w:val="bottom"/>
          </w:tcPr>
          <w:p>
            <w:pPr>
              <w:spacing w:after="0"/>
              <w:rPr>
                <w:sz w:val="1"/>
                <w:szCs w:val="1"/>
                <w:color w:val="auto"/>
              </w:rPr>
            </w:pPr>
          </w:p>
        </w:tc>
      </w:tr>
      <w:tr>
        <w:trPr>
          <w:trHeight w:val="63"/>
        </w:trPr>
        <w:tc>
          <w:tcPr>
            <w:tcW w:w="49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960" w:type="dxa"/>
            <w:vAlign w:val="bottom"/>
          </w:tcPr>
          <w:p>
            <w:pPr>
              <w:ind w:left="20"/>
              <w:spacing w:after="0"/>
              <w:rPr>
                <w:sz w:val="20"/>
                <w:szCs w:val="20"/>
                <w:color w:val="auto"/>
              </w:rPr>
            </w:pPr>
            <w:r>
              <w:rPr>
                <w:rFonts w:ascii="Arial" w:cs="Arial" w:eastAsia="Arial" w:hAnsi="Arial"/>
                <w:sz w:val="20"/>
                <w:szCs w:val="20"/>
                <w:b w:val="1"/>
                <w:bCs w:val="1"/>
                <w:color w:val="auto"/>
              </w:rPr>
              <w:t>Earnings per share:</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Basic</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0.75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0.95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0.45</w:t>
            </w:r>
          </w:p>
        </w:tc>
        <w:tc>
          <w:tcPr>
            <w:tcW w:w="0" w:type="dxa"/>
            <w:vAlign w:val="bottom"/>
          </w:tcPr>
          <w:p>
            <w:pPr>
              <w:spacing w:after="0"/>
              <w:rPr>
                <w:sz w:val="1"/>
                <w:szCs w:val="1"/>
                <w:color w:val="auto"/>
              </w:rPr>
            </w:pPr>
          </w:p>
        </w:tc>
      </w:tr>
      <w:tr>
        <w:trPr>
          <w:trHeight w:val="261"/>
        </w:trPr>
        <w:tc>
          <w:tcPr>
            <w:tcW w:w="4960" w:type="dxa"/>
            <w:vAlign w:val="bottom"/>
          </w:tcPr>
          <w:p>
            <w:pPr>
              <w:ind w:left="380"/>
              <w:spacing w:after="0"/>
              <w:rPr>
                <w:sz w:val="20"/>
                <w:szCs w:val="20"/>
                <w:color w:val="auto"/>
              </w:rPr>
            </w:pPr>
            <w:r>
              <w:rPr>
                <w:rFonts w:ascii="Arial" w:cs="Arial" w:eastAsia="Arial" w:hAnsi="Arial"/>
                <w:sz w:val="20"/>
                <w:szCs w:val="20"/>
                <w:color w:val="auto"/>
              </w:rPr>
              <w:t>Diluted</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0.73</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0.92</w:t>
            </w:r>
          </w:p>
        </w:tc>
        <w:tc>
          <w:tcPr>
            <w:tcW w:w="1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0.44</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960" w:type="dxa"/>
            <w:vAlign w:val="bottom"/>
          </w:tcPr>
          <w:p>
            <w:pPr>
              <w:ind w:left="20"/>
              <w:spacing w:after="0"/>
              <w:rPr>
                <w:sz w:val="20"/>
                <w:szCs w:val="20"/>
                <w:color w:val="auto"/>
              </w:rPr>
            </w:pPr>
            <w:r>
              <w:rPr>
                <w:rFonts w:ascii="Arial" w:cs="Arial" w:eastAsia="Arial" w:hAnsi="Arial"/>
                <w:sz w:val="20"/>
                <w:szCs w:val="20"/>
                <w:b w:val="1"/>
                <w:bCs w:val="1"/>
                <w:color w:val="auto"/>
              </w:rPr>
              <w:t>Weighted average shares outstanding:</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20"/>
                <w:szCs w:val="20"/>
                <w:color w:val="auto"/>
              </w:rPr>
              <w:t>Basic</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8,065,825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7,988,558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7,862,449</w:t>
            </w:r>
          </w:p>
        </w:tc>
        <w:tc>
          <w:tcPr>
            <w:tcW w:w="0" w:type="dxa"/>
            <w:vAlign w:val="bottom"/>
          </w:tcPr>
          <w:p>
            <w:pPr>
              <w:spacing w:after="0"/>
              <w:rPr>
                <w:sz w:val="1"/>
                <w:szCs w:val="1"/>
                <w:color w:val="auto"/>
              </w:rPr>
            </w:pPr>
          </w:p>
        </w:tc>
      </w:tr>
      <w:tr>
        <w:trPr>
          <w:trHeight w:val="261"/>
        </w:trPr>
        <w:tc>
          <w:tcPr>
            <w:tcW w:w="4960" w:type="dxa"/>
            <w:vAlign w:val="bottom"/>
          </w:tcPr>
          <w:p>
            <w:pPr>
              <w:ind w:left="320"/>
              <w:spacing w:after="0"/>
              <w:rPr>
                <w:sz w:val="20"/>
                <w:szCs w:val="20"/>
                <w:color w:val="auto"/>
              </w:rPr>
            </w:pPr>
            <w:r>
              <w:rPr>
                <w:rFonts w:ascii="Arial" w:cs="Arial" w:eastAsia="Arial" w:hAnsi="Arial"/>
                <w:sz w:val="20"/>
                <w:szCs w:val="20"/>
                <w:color w:val="auto"/>
              </w:rPr>
              <w:t>Diluted</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8,311,382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8,261,274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8,047,084</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960" w:type="dxa"/>
            <w:vAlign w:val="bottom"/>
          </w:tcPr>
          <w:p>
            <w:pPr>
              <w:ind w:left="20"/>
              <w:spacing w:after="0"/>
              <w:rPr>
                <w:sz w:val="20"/>
                <w:szCs w:val="20"/>
                <w:color w:val="auto"/>
              </w:rPr>
            </w:pPr>
            <w:r>
              <w:rPr>
                <w:rFonts w:ascii="Arial" w:cs="Arial" w:eastAsia="Arial" w:hAnsi="Arial"/>
                <w:sz w:val="20"/>
                <w:szCs w:val="20"/>
                <w:color w:val="auto"/>
              </w:rPr>
              <w:t>Economic Earnings</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10,607</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12,014</w:t>
            </w:r>
          </w:p>
        </w:tc>
        <w:tc>
          <w:tcPr>
            <w:tcW w:w="1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8,093</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Economic EPS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1.28</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558"/>
        </w:trPr>
        <w:tc>
          <w:tcPr>
            <w:tcW w:w="4960" w:type="dxa"/>
            <w:vAlign w:val="bottom"/>
          </w:tcPr>
          <w:p>
            <w:pPr>
              <w:ind w:left="20"/>
              <w:spacing w:after="0"/>
              <w:rPr>
                <w:sz w:val="20"/>
                <w:szCs w:val="20"/>
                <w:color w:val="auto"/>
              </w:rPr>
            </w:pPr>
            <w:r>
              <w:rPr>
                <w:rFonts w:ascii="Arial" w:cs="Arial" w:eastAsia="Arial" w:hAnsi="Arial"/>
                <w:sz w:val="20"/>
                <w:szCs w:val="20"/>
                <w:b w:val="1"/>
                <w:bCs w:val="1"/>
                <w:color w:val="auto"/>
              </w:rPr>
              <w:t>Dividends declared per share</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0.62</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0.62</w:t>
            </w:r>
          </w:p>
        </w:tc>
        <w:tc>
          <w:tcPr>
            <w:tcW w:w="100" w:type="dxa"/>
            <w:vAlign w:val="bottom"/>
          </w:tcPr>
          <w:p>
            <w:pPr>
              <w:spacing w:after="0"/>
              <w:rPr>
                <w:sz w:val="24"/>
                <w:szCs w:val="24"/>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0.57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-165100</wp:posOffset>
            </wp:positionV>
            <wp:extent cx="649160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18034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_____________________</w:t>
      </w:r>
    </w:p>
    <w:p>
      <w:pPr>
        <w:spacing w:after="0" w:line="13" w:lineRule="exact"/>
        <w:rPr>
          <w:sz w:val="20"/>
          <w:szCs w:val="20"/>
          <w:color w:val="auto"/>
        </w:rPr>
      </w:pPr>
    </w:p>
    <w:p>
      <w:pPr>
        <w:ind w:left="820" w:hanging="326"/>
        <w:spacing w:after="0" w:line="255" w:lineRule="auto"/>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as adjusted tax rate for the first quarter of 22.0% included a $1.0 million discrete tax benefit associated with the adoption of new accounting guidance related to stock–based compensation awards that vested during the quarter.</w:t>
      </w:r>
    </w:p>
    <w:p>
      <w:pPr>
        <w:sectPr>
          <w:pgSz w:w="11900" w:h="16838" w:orient="portrait"/>
          <w:cols w:equalWidth="0" w:num="1">
            <w:col w:w="11000"/>
          </w:cols>
          <w:pgMar w:left="240" w:top="625" w:right="659" w:bottom="1440" w:gutter="0" w:footer="0" w:header="0"/>
        </w:sectPr>
      </w:pPr>
    </w:p>
    <w:bookmarkStart w:id="8" w:name="page9"/>
    <w:bookmarkEnd w:id="8"/>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 (in thousands, except par value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20"/>
                <w:szCs w:val="20"/>
                <w:b w:val="1"/>
                <w:bCs w:val="1"/>
                <w:color w:val="auto"/>
              </w:rPr>
              <w:t>March 31,</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6"/>
        </w:trPr>
        <w:tc>
          <w:tcPr>
            <w:tcW w:w="7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b w:val="1"/>
                <w:bCs w:val="1"/>
                <w:color w:val="auto"/>
              </w:rPr>
              <w:t>2017</w:t>
            </w:r>
          </w:p>
        </w:tc>
        <w:tc>
          <w:tcPr>
            <w:tcW w:w="10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20"/>
                <w:szCs w:val="20"/>
                <w:b w:val="1"/>
                <w:bCs w:val="1"/>
                <w:color w:val="auto"/>
                <w:w w:val="91"/>
              </w:rPr>
              <w:t>December 31, 2016</w:t>
            </w:r>
          </w:p>
        </w:tc>
      </w:tr>
      <w:tr>
        <w:trPr>
          <w:trHeight w:val="23"/>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1"/>
        </w:trPr>
        <w:tc>
          <w:tcPr>
            <w:tcW w:w="7880" w:type="dxa"/>
            <w:vAlign w:val="bottom"/>
          </w:tcPr>
          <w:p>
            <w:pPr>
              <w:ind w:left="40"/>
              <w:spacing w:after="0"/>
              <w:rPr>
                <w:sz w:val="20"/>
                <w:szCs w:val="20"/>
                <w:color w:val="auto"/>
              </w:rPr>
            </w:pPr>
            <w:r>
              <w:rPr>
                <w:rFonts w:ascii="Arial" w:cs="Arial" w:eastAsia="Arial" w:hAnsi="Arial"/>
                <w:sz w:val="20"/>
                <w:szCs w:val="20"/>
                <w:b w:val="1"/>
                <w:bCs w:val="1"/>
                <w:color w:val="auto"/>
              </w:rPr>
              <w:t>Current Assets:</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Cash and cash equivalents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30,626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33,679</w:t>
            </w:r>
          </w:p>
        </w:tc>
      </w:tr>
      <w:tr>
        <w:trPr>
          <w:trHeight w:val="261"/>
        </w:trPr>
        <w:tc>
          <w:tcPr>
            <w:tcW w:w="7880" w:type="dxa"/>
            <w:vAlign w:val="bottom"/>
          </w:tcPr>
          <w:p>
            <w:pPr>
              <w:ind w:left="380"/>
              <w:spacing w:after="0"/>
              <w:rPr>
                <w:sz w:val="20"/>
                <w:szCs w:val="20"/>
                <w:color w:val="auto"/>
              </w:rPr>
            </w:pPr>
            <w:r>
              <w:rPr>
                <w:rFonts w:ascii="Arial" w:cs="Arial" w:eastAsia="Arial" w:hAnsi="Arial"/>
                <w:sz w:val="20"/>
                <w:szCs w:val="20"/>
                <w:color w:val="auto"/>
              </w:rPr>
              <w:t>Accounts receivable</w:t>
            </w:r>
          </w:p>
        </w:tc>
        <w:tc>
          <w:tcPr>
            <w:tcW w:w="260" w:type="dxa"/>
            <w:vAlign w:val="bottom"/>
          </w:tcPr>
          <w:p>
            <w:pPr>
              <w:spacing w:after="0"/>
              <w:rPr>
                <w:sz w:val="22"/>
                <w:szCs w:val="22"/>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25,208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23,429</w:t>
            </w:r>
          </w:p>
        </w:tc>
      </w:tr>
      <w:tr>
        <w:trPr>
          <w:trHeight w:val="2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Investments, at fair value</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44,786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56,485</w:t>
            </w:r>
          </w:p>
        </w:tc>
      </w:tr>
      <w:tr>
        <w:trPr>
          <w:trHeight w:val="261"/>
        </w:trPr>
        <w:tc>
          <w:tcPr>
            <w:tcW w:w="7880" w:type="dxa"/>
            <w:vAlign w:val="bottom"/>
          </w:tcPr>
          <w:p>
            <w:pPr>
              <w:ind w:left="380"/>
              <w:spacing w:after="0"/>
              <w:rPr>
                <w:sz w:val="20"/>
                <w:szCs w:val="20"/>
                <w:color w:val="auto"/>
              </w:rPr>
            </w:pPr>
            <w:r>
              <w:rPr>
                <w:rFonts w:ascii="Arial" w:cs="Arial" w:eastAsia="Arial" w:hAnsi="Arial"/>
                <w:sz w:val="20"/>
                <w:szCs w:val="20"/>
                <w:color w:val="auto"/>
              </w:rPr>
              <w:t>Other current assets</w:t>
            </w:r>
          </w:p>
        </w:tc>
        <w:tc>
          <w:tcPr>
            <w:tcW w:w="260" w:type="dxa"/>
            <w:vAlign w:val="bottom"/>
          </w:tcPr>
          <w:p>
            <w:pPr>
              <w:spacing w:after="0"/>
              <w:rPr>
                <w:sz w:val="22"/>
                <w:szCs w:val="22"/>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2,386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2,364</w:t>
            </w:r>
          </w:p>
        </w:tc>
      </w:tr>
      <w:tr>
        <w:trPr>
          <w:trHeight w:val="23"/>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103,006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115,957</w:t>
            </w:r>
          </w:p>
        </w:tc>
      </w:tr>
      <w:tr>
        <w:trPr>
          <w:trHeight w:val="261"/>
        </w:trPr>
        <w:tc>
          <w:tcPr>
            <w:tcW w:w="7880" w:type="dxa"/>
            <w:vAlign w:val="bottom"/>
          </w:tcPr>
          <w:p>
            <w:pPr>
              <w:ind w:left="40"/>
              <w:spacing w:after="0"/>
              <w:rPr>
                <w:sz w:val="20"/>
                <w:szCs w:val="20"/>
                <w:color w:val="auto"/>
              </w:rPr>
            </w:pPr>
            <w:r>
              <w:rPr>
                <w:rFonts w:ascii="Arial" w:cs="Arial" w:eastAsia="Arial" w:hAnsi="Arial"/>
                <w:sz w:val="20"/>
                <w:szCs w:val="20"/>
                <w:color w:val="auto"/>
              </w:rPr>
              <w:t>Goodwill</w:t>
            </w:r>
          </w:p>
        </w:tc>
        <w:tc>
          <w:tcPr>
            <w:tcW w:w="260" w:type="dxa"/>
            <w:vAlign w:val="bottom"/>
          </w:tcPr>
          <w:p>
            <w:pPr>
              <w:spacing w:after="0"/>
              <w:rPr>
                <w:sz w:val="22"/>
                <w:szCs w:val="22"/>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27,144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27,144</w:t>
            </w:r>
          </w:p>
        </w:tc>
      </w:tr>
      <w:tr>
        <w:trPr>
          <w:trHeight w:val="2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Deferred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10,860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10,903</w:t>
            </w:r>
          </w:p>
        </w:tc>
      </w:tr>
      <w:tr>
        <w:trPr>
          <w:trHeight w:val="261"/>
        </w:trPr>
        <w:tc>
          <w:tcPr>
            <w:tcW w:w="7880" w:type="dxa"/>
            <w:vAlign w:val="bottom"/>
          </w:tcPr>
          <w:p>
            <w:pPr>
              <w:ind w:left="40"/>
              <w:spacing w:after="0"/>
              <w:rPr>
                <w:sz w:val="20"/>
                <w:szCs w:val="20"/>
                <w:color w:val="auto"/>
              </w:rPr>
            </w:pPr>
            <w:r>
              <w:rPr>
                <w:rFonts w:ascii="Arial" w:cs="Arial" w:eastAsia="Arial" w:hAnsi="Arial"/>
                <w:sz w:val="20"/>
                <w:szCs w:val="20"/>
                <w:color w:val="auto"/>
              </w:rPr>
              <w:t>Intangible assets, net</w:t>
            </w:r>
          </w:p>
        </w:tc>
        <w:tc>
          <w:tcPr>
            <w:tcW w:w="260" w:type="dxa"/>
            <w:vAlign w:val="bottom"/>
          </w:tcPr>
          <w:p>
            <w:pPr>
              <w:spacing w:after="0"/>
              <w:rPr>
                <w:sz w:val="22"/>
                <w:szCs w:val="22"/>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20,904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21,394</w:t>
            </w:r>
          </w:p>
        </w:tc>
      </w:tr>
      <w:tr>
        <w:trPr>
          <w:trHeight w:val="2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Property and equipment, net of accumulated depreciation of $4,834 and $4,590</w:t>
            </w:r>
          </w:p>
        </w:tc>
        <w:tc>
          <w:tcPr>
            <w:tcW w:w="2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4,190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4,280</w:t>
            </w:r>
          </w:p>
        </w:tc>
      </w:tr>
      <w:tr>
        <w:trPr>
          <w:trHeight w:val="254"/>
        </w:trPr>
        <w:tc>
          <w:tcPr>
            <w:tcW w:w="7880" w:type="dxa"/>
            <w:vAlign w:val="bottom"/>
          </w:tcPr>
          <w:p>
            <w:pPr>
              <w:ind w:left="720"/>
              <w:spacing w:after="0"/>
              <w:rPr>
                <w:sz w:val="20"/>
                <w:szCs w:val="20"/>
                <w:color w:val="auto"/>
              </w:rPr>
            </w:pPr>
            <w:r>
              <w:rPr>
                <w:rFonts w:ascii="Arial" w:cs="Arial" w:eastAsia="Arial" w:hAnsi="Arial"/>
                <w:sz w:val="20"/>
                <w:szCs w:val="20"/>
                <w:b w:val="1"/>
                <w:bCs w:val="1"/>
                <w:color w:val="auto"/>
              </w:rPr>
              <w:t>Total assets</w:t>
            </w:r>
          </w:p>
        </w:tc>
        <w:tc>
          <w:tcPr>
            <w:tcW w:w="2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166,104</w:t>
            </w:r>
          </w:p>
        </w:tc>
        <w:tc>
          <w:tcPr>
            <w:tcW w:w="100" w:type="dxa"/>
            <w:vAlign w:val="bottom"/>
          </w:tcPr>
          <w:p>
            <w:pPr>
              <w:spacing w:after="0"/>
              <w:rPr>
                <w:sz w:val="22"/>
                <w:szCs w:val="22"/>
                <w:color w:val="auto"/>
              </w:rPr>
            </w:pPr>
          </w:p>
        </w:tc>
        <w:tc>
          <w:tcPr>
            <w:tcW w:w="540" w:type="dxa"/>
            <w:vAlign w:val="bottom"/>
            <w:tcBorders>
              <w:top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179,678</w:t>
            </w:r>
          </w:p>
        </w:tc>
      </w:tr>
      <w:tr>
        <w:trPr>
          <w:trHeight w:val="63"/>
        </w:trPr>
        <w:tc>
          <w:tcPr>
            <w:tcW w:w="78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78"/>
        </w:trPr>
        <w:tc>
          <w:tcPr>
            <w:tcW w:w="7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1"/>
        </w:trPr>
        <w:tc>
          <w:tcPr>
            <w:tcW w:w="7880" w:type="dxa"/>
            <w:vAlign w:val="bottom"/>
          </w:tcPr>
          <w:p>
            <w:pPr>
              <w:ind w:left="40"/>
              <w:spacing w:after="0"/>
              <w:rPr>
                <w:sz w:val="20"/>
                <w:szCs w:val="20"/>
                <w:color w:val="auto"/>
              </w:rPr>
            </w:pPr>
            <w:r>
              <w:rPr>
                <w:rFonts w:ascii="Arial" w:cs="Arial" w:eastAsia="Arial" w:hAnsi="Arial"/>
                <w:sz w:val="20"/>
                <w:szCs w:val="20"/>
                <w:b w:val="1"/>
                <w:bCs w:val="1"/>
                <w:color w:val="auto"/>
              </w:rPr>
              <w:t>LIABILITIES AND STOCKHOLDERS’ EQUITY</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61"/>
        </w:trPr>
        <w:tc>
          <w:tcPr>
            <w:tcW w:w="7880" w:type="dxa"/>
            <w:vAlign w:val="bottom"/>
          </w:tcPr>
          <w:p>
            <w:pPr>
              <w:ind w:left="380"/>
              <w:spacing w:after="0"/>
              <w:rPr>
                <w:sz w:val="20"/>
                <w:szCs w:val="20"/>
                <w:color w:val="auto"/>
              </w:rPr>
            </w:pPr>
            <w:r>
              <w:rPr>
                <w:rFonts w:ascii="Arial" w:cs="Arial" w:eastAsia="Arial" w:hAnsi="Arial"/>
                <w:sz w:val="20"/>
                <w:szCs w:val="20"/>
                <w:color w:val="auto"/>
              </w:rPr>
              <w:t>Accounts payable and accrued liabilities</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2,482</w:t>
            </w:r>
          </w:p>
        </w:tc>
        <w:tc>
          <w:tcPr>
            <w:tcW w:w="100" w:type="dxa"/>
            <w:vAlign w:val="bottom"/>
          </w:tcPr>
          <w:p>
            <w:pPr>
              <w:spacing w:after="0"/>
              <w:rPr>
                <w:sz w:val="22"/>
                <w:szCs w:val="22"/>
                <w:color w:val="auto"/>
              </w:rPr>
            </w:pPr>
          </w:p>
        </w:tc>
        <w:tc>
          <w:tcPr>
            <w:tcW w:w="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2,641</w:t>
            </w:r>
          </w:p>
        </w:tc>
      </w:tr>
      <w:tr>
        <w:trPr>
          <w:trHeight w:val="2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Dividends payable</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6,328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6,679</w:t>
            </w:r>
          </w:p>
        </w:tc>
      </w:tr>
      <w:tr>
        <w:trPr>
          <w:trHeight w:val="261"/>
        </w:trPr>
        <w:tc>
          <w:tcPr>
            <w:tcW w:w="7880" w:type="dxa"/>
            <w:vAlign w:val="bottom"/>
          </w:tcPr>
          <w:p>
            <w:pPr>
              <w:ind w:left="380"/>
              <w:spacing w:after="0"/>
              <w:rPr>
                <w:sz w:val="20"/>
                <w:szCs w:val="20"/>
                <w:color w:val="auto"/>
              </w:rPr>
            </w:pPr>
            <w:r>
              <w:rPr>
                <w:rFonts w:ascii="Arial" w:cs="Arial" w:eastAsia="Arial" w:hAnsi="Arial"/>
                <w:sz w:val="20"/>
                <w:szCs w:val="20"/>
                <w:color w:val="auto"/>
              </w:rPr>
              <w:t>Compensation and benefits payable</w:t>
            </w:r>
          </w:p>
        </w:tc>
        <w:tc>
          <w:tcPr>
            <w:tcW w:w="260" w:type="dxa"/>
            <w:vAlign w:val="bottom"/>
          </w:tcPr>
          <w:p>
            <w:pPr>
              <w:spacing w:after="0"/>
              <w:rPr>
                <w:sz w:val="22"/>
                <w:szCs w:val="22"/>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5,260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17,200</w:t>
            </w:r>
          </w:p>
        </w:tc>
      </w:tr>
      <w:tr>
        <w:trPr>
          <w:trHeight w:val="2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Income taxes payable</w:t>
            </w:r>
          </w:p>
        </w:tc>
        <w:tc>
          <w:tcPr>
            <w:tcW w:w="2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4,007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3,148</w:t>
            </w:r>
          </w:p>
        </w:tc>
      </w:tr>
      <w:tr>
        <w:trPr>
          <w:trHeight w:val="254"/>
        </w:trPr>
        <w:tc>
          <w:tcPr>
            <w:tcW w:w="7880" w:type="dxa"/>
            <w:vAlign w:val="bottom"/>
          </w:tcPr>
          <w:p>
            <w:pPr>
              <w:ind w:left="600"/>
              <w:spacing w:after="0"/>
              <w:rPr>
                <w:sz w:val="20"/>
                <w:szCs w:val="20"/>
                <w:color w:val="auto"/>
              </w:rPr>
            </w:pPr>
            <w:r>
              <w:rPr>
                <w:rFonts w:ascii="Arial" w:cs="Arial" w:eastAsia="Arial" w:hAnsi="Arial"/>
                <w:sz w:val="20"/>
                <w:szCs w:val="20"/>
                <w:color w:val="auto"/>
              </w:rPr>
              <w:t>Total current liabilities</w:t>
            </w:r>
          </w:p>
        </w:tc>
        <w:tc>
          <w:tcPr>
            <w:tcW w:w="2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18,077</w:t>
            </w:r>
          </w:p>
        </w:tc>
        <w:tc>
          <w:tcPr>
            <w:tcW w:w="10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29,668</w:t>
            </w:r>
          </w:p>
        </w:tc>
      </w:tr>
      <w:tr>
        <w:trPr>
          <w:trHeight w:val="2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Accrued dividends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1,030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1,767</w:t>
            </w:r>
          </w:p>
        </w:tc>
      </w:tr>
      <w:tr>
        <w:trPr>
          <w:trHeight w:val="261"/>
        </w:trPr>
        <w:tc>
          <w:tcPr>
            <w:tcW w:w="7880" w:type="dxa"/>
            <w:vAlign w:val="bottom"/>
          </w:tcPr>
          <w:p>
            <w:pPr>
              <w:ind w:left="40"/>
              <w:spacing w:after="0"/>
              <w:rPr>
                <w:sz w:val="20"/>
                <w:szCs w:val="20"/>
                <w:color w:val="auto"/>
              </w:rPr>
            </w:pPr>
            <w:r>
              <w:rPr>
                <w:rFonts w:ascii="Arial" w:cs="Arial" w:eastAsia="Arial" w:hAnsi="Arial"/>
                <w:sz w:val="20"/>
                <w:szCs w:val="20"/>
                <w:color w:val="auto"/>
              </w:rPr>
              <w:t>Deferred rent</w:t>
            </w:r>
          </w:p>
        </w:tc>
        <w:tc>
          <w:tcPr>
            <w:tcW w:w="260" w:type="dxa"/>
            <w:vAlign w:val="bottom"/>
          </w:tcPr>
          <w:p>
            <w:pPr>
              <w:spacing w:after="0"/>
              <w:rPr>
                <w:sz w:val="22"/>
                <w:szCs w:val="22"/>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2,161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2,174</w:t>
            </w:r>
          </w:p>
        </w:tc>
      </w:tr>
      <w:tr>
        <w:trPr>
          <w:trHeight w:val="23"/>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21,268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33,609</w:t>
            </w:r>
          </w:p>
        </w:tc>
      </w:tr>
      <w:tr>
        <w:trPr>
          <w:trHeight w:val="284"/>
        </w:trPr>
        <w:tc>
          <w:tcPr>
            <w:tcW w:w="7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0"/>
        </w:trPr>
        <w:tc>
          <w:tcPr>
            <w:tcW w:w="7880" w:type="dxa"/>
            <w:vAlign w:val="bottom"/>
          </w:tcPr>
          <w:p>
            <w:pPr>
              <w:ind w:left="380"/>
              <w:spacing w:after="0"/>
              <w:rPr>
                <w:sz w:val="20"/>
                <w:szCs w:val="20"/>
                <w:color w:val="auto"/>
              </w:rPr>
            </w:pPr>
            <w:r>
              <w:rPr>
                <w:rFonts w:ascii="Arial" w:cs="Arial" w:eastAsia="Arial" w:hAnsi="Arial"/>
                <w:sz w:val="20"/>
                <w:szCs w:val="20"/>
                <w:color w:val="auto"/>
                <w:w w:val="98"/>
              </w:rPr>
              <w:t>Common stock, $0.01 par value, authorized 25,000,000 shares, issued 9,989,598 and</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7880" w:type="dxa"/>
            <w:vAlign w:val="bottom"/>
          </w:tcPr>
          <w:p>
            <w:pPr>
              <w:ind w:left="720"/>
              <w:spacing w:after="0"/>
              <w:rPr>
                <w:sz w:val="20"/>
                <w:szCs w:val="20"/>
                <w:color w:val="auto"/>
              </w:rPr>
            </w:pPr>
            <w:r>
              <w:rPr>
                <w:rFonts w:ascii="Arial" w:cs="Arial" w:eastAsia="Arial" w:hAnsi="Arial"/>
                <w:sz w:val="20"/>
                <w:szCs w:val="20"/>
                <w:color w:val="auto"/>
                <w:w w:val="96"/>
              </w:rPr>
              <w:t>outstanding 8,888,656 shares at March 31, 2017; issued 9,801,938 and outstanding</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0"/>
        </w:trPr>
        <w:tc>
          <w:tcPr>
            <w:tcW w:w="7880" w:type="dxa"/>
            <w:vAlign w:val="bottom"/>
          </w:tcPr>
          <w:p>
            <w:pPr>
              <w:ind w:left="720"/>
              <w:spacing w:after="0"/>
              <w:rPr>
                <w:sz w:val="20"/>
                <w:szCs w:val="20"/>
                <w:color w:val="auto"/>
              </w:rPr>
            </w:pPr>
            <w:r>
              <w:rPr>
                <w:rFonts w:ascii="Arial" w:cs="Arial" w:eastAsia="Arial" w:hAnsi="Arial"/>
                <w:sz w:val="20"/>
                <w:szCs w:val="20"/>
                <w:color w:val="auto"/>
              </w:rPr>
              <w:t>8,810,375 shares at December 31, 2016</w:t>
            </w:r>
          </w:p>
        </w:tc>
        <w:tc>
          <w:tcPr>
            <w:tcW w:w="26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100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98</w:t>
            </w:r>
          </w:p>
        </w:tc>
      </w:tr>
      <w:tr>
        <w:trPr>
          <w:trHeight w:val="2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Additional paid-in capital</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167,928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162,730</w:t>
            </w:r>
          </w:p>
        </w:tc>
      </w:tr>
      <w:tr>
        <w:trPr>
          <w:trHeight w:val="240"/>
        </w:trPr>
        <w:tc>
          <w:tcPr>
            <w:tcW w:w="7880" w:type="dxa"/>
            <w:vAlign w:val="bottom"/>
          </w:tcPr>
          <w:p>
            <w:pPr>
              <w:ind w:left="380"/>
              <w:spacing w:after="0"/>
              <w:rPr>
                <w:sz w:val="20"/>
                <w:szCs w:val="20"/>
                <w:color w:val="auto"/>
              </w:rPr>
            </w:pPr>
            <w:r>
              <w:rPr>
                <w:rFonts w:ascii="Arial" w:cs="Arial" w:eastAsia="Arial" w:hAnsi="Arial"/>
                <w:sz w:val="20"/>
                <w:szCs w:val="20"/>
                <w:color w:val="auto"/>
                <w:w w:val="88"/>
              </w:rPr>
              <w:t>Treasury stock, at cost - 1,100,942 shares at March 31, 2017; 991,563 shares at December 31,</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0"/>
        </w:trPr>
        <w:tc>
          <w:tcPr>
            <w:tcW w:w="7880" w:type="dxa"/>
            <w:vAlign w:val="bottom"/>
          </w:tcPr>
          <w:p>
            <w:pPr>
              <w:ind w:left="720"/>
              <w:spacing w:after="0"/>
              <w:rPr>
                <w:sz w:val="20"/>
                <w:szCs w:val="20"/>
                <w:color w:val="auto"/>
              </w:rPr>
            </w:pPr>
            <w:r>
              <w:rPr>
                <w:rFonts w:ascii="Arial" w:cs="Arial" w:eastAsia="Arial" w:hAnsi="Arial"/>
                <w:sz w:val="20"/>
                <w:szCs w:val="20"/>
                <w:color w:val="auto"/>
              </w:rPr>
              <w:t>2016</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(50,868)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(44,353)</w:t>
            </w:r>
          </w:p>
        </w:tc>
      </w:tr>
      <w:tr>
        <w:trPr>
          <w:trHeight w:val="2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Accumulated other comprehensive loss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(4,080)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(4,287)</w:t>
            </w:r>
          </w:p>
        </w:tc>
      </w:tr>
      <w:tr>
        <w:trPr>
          <w:trHeight w:val="261"/>
        </w:trPr>
        <w:tc>
          <w:tcPr>
            <w:tcW w:w="7880" w:type="dxa"/>
            <w:vAlign w:val="bottom"/>
          </w:tcPr>
          <w:p>
            <w:pPr>
              <w:ind w:left="380"/>
              <w:spacing w:after="0"/>
              <w:rPr>
                <w:sz w:val="20"/>
                <w:szCs w:val="20"/>
                <w:color w:val="auto"/>
              </w:rPr>
            </w:pPr>
            <w:r>
              <w:rPr>
                <w:rFonts w:ascii="Arial" w:cs="Arial" w:eastAsia="Arial" w:hAnsi="Arial"/>
                <w:sz w:val="20"/>
                <w:szCs w:val="20"/>
                <w:color w:val="auto"/>
              </w:rPr>
              <w:t>Retained earnings</w:t>
            </w:r>
          </w:p>
        </w:tc>
        <w:tc>
          <w:tcPr>
            <w:tcW w:w="260" w:type="dxa"/>
            <w:vAlign w:val="bottom"/>
          </w:tcPr>
          <w:p>
            <w:pPr>
              <w:spacing w:after="0"/>
              <w:rPr>
                <w:sz w:val="22"/>
                <w:szCs w:val="22"/>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31,756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31,881</w:t>
            </w:r>
          </w:p>
        </w:tc>
      </w:tr>
      <w:tr>
        <w:trPr>
          <w:trHeight w:val="23"/>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b w:val="1"/>
                <w:bCs w:val="1"/>
                <w:color w:val="auto"/>
              </w:rPr>
              <w:t>Total stockholders’ equity</w:t>
            </w:r>
          </w:p>
        </w:tc>
        <w:tc>
          <w:tcPr>
            <w:tcW w:w="2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144,836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146,069</w:t>
            </w:r>
          </w:p>
        </w:tc>
      </w:tr>
      <w:tr>
        <w:trPr>
          <w:trHeight w:val="272"/>
        </w:trPr>
        <w:tc>
          <w:tcPr>
            <w:tcW w:w="7880" w:type="dxa"/>
            <w:vAlign w:val="bottom"/>
          </w:tcPr>
          <w:p>
            <w:pPr>
              <w:ind w:left="720"/>
              <w:spacing w:after="0"/>
              <w:rPr>
                <w:sz w:val="20"/>
                <w:szCs w:val="20"/>
                <w:color w:val="auto"/>
              </w:rPr>
            </w:pPr>
            <w:r>
              <w:rPr>
                <w:rFonts w:ascii="Arial" w:cs="Arial" w:eastAsia="Arial" w:hAnsi="Arial"/>
                <w:sz w:val="20"/>
                <w:szCs w:val="20"/>
                <w:b w:val="1"/>
                <w:bCs w:val="1"/>
                <w:color w:val="auto"/>
              </w:rPr>
              <w:t>Total liabilities and stockholders’ equity</w:t>
            </w: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166,104</w:t>
            </w:r>
          </w:p>
        </w:tc>
        <w:tc>
          <w:tcPr>
            <w:tcW w:w="100" w:type="dxa"/>
            <w:vAlign w:val="bottom"/>
          </w:tcPr>
          <w:p>
            <w:pPr>
              <w:spacing w:after="0"/>
              <w:rPr>
                <w:sz w:val="23"/>
                <w:szCs w:val="23"/>
                <w:color w:val="auto"/>
              </w:rPr>
            </w:pPr>
          </w:p>
        </w:tc>
        <w:tc>
          <w:tcPr>
            <w:tcW w:w="5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179,678</w:t>
            </w:r>
          </w:p>
        </w:tc>
      </w:tr>
      <w:tr>
        <w:trPr>
          <w:trHeight w:val="20"/>
        </w:trPr>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25"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92"/>
        </w:trPr>
        <w:tc>
          <w:tcPr>
            <w:tcW w:w="72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2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60"/>
              <w:spacing w:after="0"/>
              <w:rPr>
                <w:sz w:val="20"/>
                <w:szCs w:val="20"/>
                <w:color w:val="auto"/>
              </w:rPr>
            </w:pPr>
            <w:r>
              <w:rPr>
                <w:rFonts w:ascii="Arial" w:cs="Arial" w:eastAsia="Arial" w:hAnsi="Arial"/>
                <w:sz w:val="15"/>
                <w:szCs w:val="15"/>
                <w:color w:val="auto"/>
              </w:rPr>
              <w:t>Net income</w:t>
            </w: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6,064</w:t>
            </w:r>
          </w:p>
        </w:tc>
        <w:tc>
          <w:tcPr>
            <w:tcW w:w="100" w:type="dxa"/>
            <w:vAlign w:val="bottom"/>
          </w:tcPr>
          <w:p>
            <w:pPr>
              <w:spacing w:after="0"/>
              <w:rPr>
                <w:sz w:val="18"/>
                <w:szCs w:val="18"/>
                <w:color w:val="auto"/>
              </w:rPr>
            </w:pP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3,522</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Depreciation</w:t>
            </w:r>
          </w:p>
        </w:tc>
        <w:tc>
          <w:tcPr>
            <w:tcW w:w="3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240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Unrealized gains on trading investments</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Stock based compensation expense</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3,897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4,003</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Deferred income taxes</w:t>
            </w:r>
          </w:p>
        </w:tc>
        <w:tc>
          <w:tcPr>
            <w:tcW w:w="3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Excess tax benefits from stock based compensation</w:t>
            </w:r>
          </w:p>
        </w:tc>
        <w:tc>
          <w:tcPr>
            <w:tcW w:w="36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2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Other non-cash, net</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Changes in operating assets and liabilities: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Net sales of investments - trading securities</w:t>
            </w:r>
          </w:p>
        </w:tc>
        <w:tc>
          <w:tcPr>
            <w:tcW w:w="3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12,002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27,813</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receivable</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(5,675)</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Other current assets</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 and accrued liabilities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Compensation and benefits payable</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(11,394)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(15,749)</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Income taxes payable</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1,666</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Other liabilities</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58"/>
        </w:trPr>
        <w:tc>
          <w:tcPr>
            <w:tcW w:w="7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9,941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17,225</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200" w:type="dxa"/>
            <w:vAlign w:val="bottom"/>
          </w:tcPr>
          <w:p>
            <w:pPr>
              <w:ind w:left="720"/>
              <w:spacing w:after="0"/>
              <w:rPr>
                <w:sz w:val="20"/>
                <w:szCs w:val="20"/>
                <w:color w:val="auto"/>
              </w:rPr>
            </w:pPr>
            <w:r>
              <w:rPr>
                <w:rFonts w:ascii="Arial" w:cs="Arial" w:eastAsia="Arial" w:hAnsi="Arial"/>
                <w:sz w:val="15"/>
                <w:szCs w:val="15"/>
                <w:color w:val="auto"/>
              </w:rPr>
              <w:t>Net cash used in investing activities</w:t>
            </w:r>
          </w:p>
        </w:tc>
        <w:tc>
          <w:tcPr>
            <w:tcW w:w="3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(378)</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Purchases of treasury stock</w:t>
            </w:r>
          </w:p>
        </w:tc>
        <w:tc>
          <w:tcPr>
            <w:tcW w:w="360" w:type="dxa"/>
            <w:vAlign w:val="bottom"/>
          </w:tcPr>
          <w:p>
            <w:pPr>
              <w:spacing w:after="0"/>
              <w:rPr>
                <w:sz w:val="18"/>
                <w:szCs w:val="18"/>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(4,411)</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 of treasury stock under employee stock plans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(614)</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Restricted stock returned for payment of taxes</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(5,189)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(3,696)</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Excess tax benefits from stock based compensation</w:t>
            </w:r>
          </w:p>
        </w:tc>
        <w:tc>
          <w:tcPr>
            <w:tcW w:w="36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2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80"/>
              <w:spacing w:after="0"/>
              <w:rPr>
                <w:sz w:val="20"/>
                <w:szCs w:val="20"/>
                <w:color w:val="auto"/>
              </w:rPr>
            </w:pPr>
            <w:r>
              <w:rPr>
                <w:rFonts w:ascii="Arial" w:cs="Arial" w:eastAsia="Arial" w:hAnsi="Arial"/>
                <w:sz w:val="15"/>
                <w:szCs w:val="15"/>
                <w:color w:val="auto"/>
              </w:rPr>
              <w:t>Cash dividends</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(6,564)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(5,724)</w:t>
            </w:r>
          </w:p>
        </w:tc>
        <w:tc>
          <w:tcPr>
            <w:tcW w:w="0" w:type="dxa"/>
            <w:vAlign w:val="bottom"/>
          </w:tcPr>
          <w:p>
            <w:pPr>
              <w:spacing w:after="0"/>
              <w:rPr>
                <w:sz w:val="1"/>
                <w:szCs w:val="1"/>
                <w:color w:val="auto"/>
              </w:rPr>
            </w:pPr>
          </w:p>
        </w:tc>
      </w:tr>
      <w:tr>
        <w:trPr>
          <w:trHeight w:val="58"/>
        </w:trPr>
        <w:tc>
          <w:tcPr>
            <w:tcW w:w="7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Net cash used in financing activities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(13,079)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(14,280)</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40"/>
              <w:spacing w:after="0"/>
              <w:rPr>
                <w:sz w:val="20"/>
                <w:szCs w:val="20"/>
                <w:color w:val="auto"/>
              </w:rPr>
            </w:pPr>
            <w:r>
              <w:rPr>
                <w:rFonts w:ascii="Arial" w:cs="Arial" w:eastAsia="Arial" w:hAnsi="Arial"/>
                <w:sz w:val="15"/>
                <w:szCs w:val="15"/>
                <w:color w:val="auto"/>
              </w:rPr>
              <w:t>Effect of currency rate changes on cash</w:t>
            </w:r>
          </w:p>
        </w:tc>
        <w:tc>
          <w:tcPr>
            <w:tcW w:w="3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1,118</w:t>
            </w:r>
          </w:p>
        </w:tc>
        <w:tc>
          <w:tcPr>
            <w:tcW w:w="0" w:type="dxa"/>
            <w:vAlign w:val="bottom"/>
          </w:tcPr>
          <w:p>
            <w:pPr>
              <w:spacing w:after="0"/>
              <w:rPr>
                <w:sz w:val="1"/>
                <w:szCs w:val="1"/>
                <w:color w:val="auto"/>
              </w:rPr>
            </w:pPr>
          </w:p>
        </w:tc>
      </w:tr>
      <w:tr>
        <w:trPr>
          <w:trHeight w:val="58"/>
        </w:trPr>
        <w:tc>
          <w:tcPr>
            <w:tcW w:w="7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CHANGE IN CASH AND CASH EQUIVALENTS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(3,053)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3,685</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36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33,679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22,740</w:t>
            </w:r>
          </w:p>
        </w:tc>
        <w:tc>
          <w:tcPr>
            <w:tcW w:w="0" w:type="dxa"/>
            <w:vAlign w:val="bottom"/>
          </w:tcPr>
          <w:p>
            <w:pPr>
              <w:spacing w:after="0"/>
              <w:rPr>
                <w:sz w:val="1"/>
                <w:szCs w:val="1"/>
                <w:color w:val="auto"/>
              </w:rPr>
            </w:pPr>
          </w:p>
        </w:tc>
      </w:tr>
      <w:tr>
        <w:trPr>
          <w:trHeight w:val="58"/>
        </w:trPr>
        <w:tc>
          <w:tcPr>
            <w:tcW w:w="7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30,626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26,425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Supplemental cash flow information: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40"/>
              <w:spacing w:after="0"/>
              <w:rPr>
                <w:sz w:val="20"/>
                <w:szCs w:val="20"/>
                <w:color w:val="auto"/>
              </w:rPr>
            </w:pPr>
            <w:r>
              <w:rPr>
                <w:rFonts w:ascii="Arial" w:cs="Arial" w:eastAsia="Arial" w:hAnsi="Arial"/>
                <w:sz w:val="15"/>
                <w:szCs w:val="15"/>
                <w:color w:val="auto"/>
              </w:rPr>
              <w:t>Cash paid during the period for income taxes</w:t>
            </w: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828</w:t>
            </w:r>
          </w:p>
        </w:tc>
        <w:tc>
          <w:tcPr>
            <w:tcW w:w="100" w:type="dxa"/>
            <w:vAlign w:val="bottom"/>
          </w:tcPr>
          <w:p>
            <w:pPr>
              <w:spacing w:after="0"/>
              <w:rPr>
                <w:sz w:val="18"/>
                <w:szCs w:val="18"/>
                <w:color w:val="auto"/>
              </w:rPr>
            </w:pP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541</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Accrued dividends</w:t>
            </w: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7,358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6,714</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200" w:type="dxa"/>
            <w:vAlign w:val="bottom"/>
          </w:tcPr>
          <w:p>
            <w:pPr>
              <w:ind w:left="340"/>
              <w:spacing w:after="0"/>
              <w:rPr>
                <w:sz w:val="20"/>
                <w:szCs w:val="20"/>
                <w:color w:val="auto"/>
              </w:rPr>
            </w:pPr>
            <w:r>
              <w:rPr>
                <w:rFonts w:ascii="Arial" w:cs="Arial" w:eastAsia="Arial" w:hAnsi="Arial"/>
                <w:sz w:val="15"/>
                <w:szCs w:val="15"/>
                <w:color w:val="auto"/>
              </w:rPr>
              <w:t>Accrued purchase of property and equipment</w:t>
            </w: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832</w:t>
            </w:r>
          </w:p>
        </w:tc>
        <w:tc>
          <w:tcPr>
            <w:tcW w:w="0" w:type="dxa"/>
            <w:vAlign w:val="bottom"/>
          </w:tcPr>
          <w:p>
            <w:pPr>
              <w:spacing w:after="0"/>
              <w:rPr>
                <w:sz w:val="1"/>
                <w:szCs w:val="1"/>
                <w:color w:val="auto"/>
              </w:rPr>
            </w:pPr>
          </w:p>
        </w:tc>
      </w:tr>
      <w:tr>
        <w:trPr>
          <w:trHeight w:val="58"/>
        </w:trPr>
        <w:tc>
          <w:tcPr>
            <w:tcW w:w="72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Tenant allowance included in Property and equipment</w:t>
            </w: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1,128</w:t>
            </w:r>
          </w:p>
        </w:tc>
        <w:tc>
          <w:tcPr>
            <w:tcW w:w="0" w:type="dxa"/>
            <w:vAlign w:val="bottom"/>
          </w:tcPr>
          <w:p>
            <w:pPr>
              <w:spacing w:after="0"/>
              <w:rPr>
                <w:sz w:val="1"/>
                <w:szCs w:val="1"/>
                <w:color w:val="auto"/>
              </w:rPr>
            </w:pPr>
          </w:p>
        </w:tc>
      </w:tr>
      <w:tr>
        <w:trPr>
          <w:trHeight w:val="62"/>
        </w:trPr>
        <w:tc>
          <w:tcPr>
            <w:tcW w:w="720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320" w:type="dxa"/>
            <w:vAlign w:val="bottom"/>
            <w:gridSpan w:val="2"/>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240" w:top="625" w:right="1219" w:bottom="1440" w:gutter="0" w:footer="0" w:header="0"/>
        </w:sectPr>
      </w:pPr>
    </w:p>
    <w:bookmarkStart w:id="10" w:name="page11"/>
    <w:bookmarkEnd w:id="10"/>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 (in thousands, except per share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gridSpan w:val="4"/>
          </w:tcPr>
          <w:p>
            <w:pPr>
              <w:ind w:left="20"/>
              <w:spacing w:after="0"/>
              <w:rPr>
                <w:sz w:val="20"/>
                <w:szCs w:val="20"/>
                <w:color w:val="auto"/>
              </w:rPr>
            </w:pPr>
            <w:r>
              <w:rPr>
                <w:rFonts w:ascii="Arial" w:cs="Arial" w:eastAsia="Arial" w:hAnsi="Arial"/>
                <w:sz w:val="20"/>
                <w:szCs w:val="20"/>
                <w:b w:val="1"/>
                <w:bCs w:val="1"/>
                <w:color w:val="auto"/>
                <w:w w:val="90"/>
              </w:rPr>
              <w:t>Three Months Ended</w:t>
            </w: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
        </w:trPr>
        <w:tc>
          <w:tcPr>
            <w:tcW w:w="6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7"/>
        </w:trPr>
        <w:tc>
          <w:tcPr>
            <w:tcW w:w="6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ind w:left="120"/>
              <w:spacing w:after="0" w:line="228" w:lineRule="exact"/>
              <w:rPr>
                <w:sz w:val="20"/>
                <w:szCs w:val="20"/>
                <w:color w:val="auto"/>
              </w:rPr>
            </w:pPr>
            <w:r>
              <w:rPr>
                <w:rFonts w:ascii="Arial" w:cs="Arial" w:eastAsia="Arial" w:hAnsi="Arial"/>
                <w:sz w:val="20"/>
                <w:szCs w:val="20"/>
                <w:b w:val="1"/>
                <w:bCs w:val="1"/>
                <w:color w:val="auto"/>
              </w:rPr>
              <w:t>March 31,</w:t>
            </w:r>
          </w:p>
        </w:tc>
        <w:tc>
          <w:tcPr>
            <w:tcW w:w="200" w:type="dxa"/>
            <w:vAlign w:val="bottom"/>
          </w:tcPr>
          <w:p>
            <w:pPr>
              <w:spacing w:after="0"/>
              <w:rPr>
                <w:sz w:val="19"/>
                <w:szCs w:val="19"/>
                <w:color w:val="auto"/>
              </w:rPr>
            </w:pPr>
          </w:p>
        </w:tc>
        <w:tc>
          <w:tcPr>
            <w:tcW w:w="1640" w:type="dxa"/>
            <w:vAlign w:val="bottom"/>
            <w:gridSpan w:val="3"/>
          </w:tcPr>
          <w:p>
            <w:pPr>
              <w:ind w:left="60"/>
              <w:spacing w:after="0" w:line="228" w:lineRule="exact"/>
              <w:rPr>
                <w:sz w:val="20"/>
                <w:szCs w:val="20"/>
                <w:color w:val="auto"/>
              </w:rPr>
            </w:pPr>
            <w:r>
              <w:rPr>
                <w:rFonts w:ascii="Arial" w:cs="Arial" w:eastAsia="Arial" w:hAnsi="Arial"/>
                <w:sz w:val="20"/>
                <w:szCs w:val="20"/>
                <w:b w:val="1"/>
                <w:bCs w:val="1"/>
                <w:color w:val="auto"/>
              </w:rPr>
              <w:t>December 31,</w:t>
            </w:r>
          </w:p>
        </w:tc>
        <w:tc>
          <w:tcPr>
            <w:tcW w:w="240" w:type="dxa"/>
            <w:vAlign w:val="bottom"/>
          </w:tcPr>
          <w:p>
            <w:pPr>
              <w:spacing w:after="0"/>
              <w:rPr>
                <w:sz w:val="19"/>
                <w:szCs w:val="19"/>
                <w:color w:val="auto"/>
              </w:rPr>
            </w:pPr>
          </w:p>
        </w:tc>
        <w:tc>
          <w:tcPr>
            <w:tcW w:w="1460" w:type="dxa"/>
            <w:vAlign w:val="bottom"/>
          </w:tcPr>
          <w:p>
            <w:pPr>
              <w:jc w:val="right"/>
              <w:ind w:right="341"/>
              <w:spacing w:after="0" w:line="228" w:lineRule="exact"/>
              <w:rPr>
                <w:sz w:val="20"/>
                <w:szCs w:val="20"/>
                <w:color w:val="auto"/>
              </w:rPr>
            </w:pPr>
            <w:r>
              <w:rPr>
                <w:rFonts w:ascii="Arial" w:cs="Arial" w:eastAsia="Arial" w:hAnsi="Arial"/>
                <w:sz w:val="20"/>
                <w:szCs w:val="20"/>
                <w:b w:val="1"/>
                <w:bCs w:val="1"/>
                <w:color w:val="auto"/>
              </w:rPr>
              <w:t>March 31,</w:t>
            </w:r>
          </w:p>
        </w:tc>
      </w:tr>
      <w:tr>
        <w:trPr>
          <w:trHeight w:val="256"/>
        </w:trPr>
        <w:tc>
          <w:tcPr>
            <w:tcW w:w="6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521"/>
              <w:spacing w:after="0"/>
              <w:rPr>
                <w:sz w:val="20"/>
                <w:szCs w:val="20"/>
                <w:color w:val="auto"/>
              </w:rPr>
            </w:pPr>
            <w:r>
              <w:rPr>
                <w:rFonts w:ascii="Arial" w:cs="Arial" w:eastAsia="Arial" w:hAnsi="Arial"/>
                <w:sz w:val="20"/>
                <w:szCs w:val="20"/>
                <w:b w:val="1"/>
                <w:bCs w:val="1"/>
                <w:color w:val="auto"/>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561"/>
              <w:spacing w:after="0"/>
              <w:rPr>
                <w:sz w:val="20"/>
                <w:szCs w:val="20"/>
                <w:color w:val="auto"/>
              </w:rPr>
            </w:pPr>
            <w:r>
              <w:rPr>
                <w:rFonts w:ascii="Arial" w:cs="Arial" w:eastAsia="Arial" w:hAnsi="Arial"/>
                <w:sz w:val="20"/>
                <w:szCs w:val="20"/>
                <w:b w:val="1"/>
                <w:bCs w:val="1"/>
                <w:color w:val="auto"/>
              </w:rPr>
              <w:t>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561"/>
              <w:spacing w:after="0"/>
              <w:rPr>
                <w:sz w:val="20"/>
                <w:szCs w:val="20"/>
                <w:color w:val="auto"/>
              </w:rPr>
            </w:pPr>
            <w:r>
              <w:rPr>
                <w:rFonts w:ascii="Arial" w:cs="Arial" w:eastAsia="Arial" w:hAnsi="Arial"/>
                <w:sz w:val="20"/>
                <w:szCs w:val="20"/>
                <w:b w:val="1"/>
                <w:bCs w:val="1"/>
                <w:color w:val="auto"/>
              </w:rPr>
              <w:t>2016</w:t>
            </w:r>
          </w:p>
        </w:tc>
      </w:tr>
      <w:tr>
        <w:trPr>
          <w:trHeight w:val="23"/>
        </w:trPr>
        <w:tc>
          <w:tcPr>
            <w:tcW w:w="6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Net Income</w:t>
            </w: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6,064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7,577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3,522</w:t>
            </w:r>
          </w:p>
        </w:tc>
      </w:tr>
      <w:tr>
        <w:trPr>
          <w:trHeight w:val="261"/>
        </w:trPr>
        <w:tc>
          <w:tcPr>
            <w:tcW w:w="6160" w:type="dxa"/>
            <w:vAlign w:val="bottom"/>
          </w:tcPr>
          <w:p>
            <w:pPr>
              <w:ind w:left="380"/>
              <w:spacing w:after="0"/>
              <w:rPr>
                <w:sz w:val="20"/>
                <w:szCs w:val="20"/>
                <w:color w:val="auto"/>
              </w:rPr>
            </w:pPr>
            <w:r>
              <w:rPr>
                <w:rFonts w:ascii="Arial" w:cs="Arial" w:eastAsia="Arial" w:hAnsi="Arial"/>
                <w:sz w:val="20"/>
                <w:szCs w:val="20"/>
                <w:color w:val="auto"/>
              </w:rPr>
              <w:t>Add: Stock based compensation expense</w:t>
            </w:r>
          </w:p>
        </w:tc>
        <w:tc>
          <w:tcPr>
            <w:tcW w:w="240" w:type="dxa"/>
            <w:vAlign w:val="bottom"/>
          </w:tcPr>
          <w:p>
            <w:pPr>
              <w:spacing w:after="0"/>
              <w:rPr>
                <w:sz w:val="22"/>
                <w:szCs w:val="22"/>
                <w:color w:val="auto"/>
              </w:rPr>
            </w:pP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3,897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3,790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4,003</w:t>
            </w:r>
          </w:p>
        </w:tc>
      </w:tr>
      <w:tr>
        <w:trPr>
          <w:trHeight w:val="2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4"/>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Add: Intangible amortization</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490</w:t>
            </w:r>
          </w:p>
        </w:tc>
      </w:tr>
      <w:tr>
        <w:trPr>
          <w:trHeight w:val="261"/>
        </w:trPr>
        <w:tc>
          <w:tcPr>
            <w:tcW w:w="6160" w:type="dxa"/>
            <w:vAlign w:val="bottom"/>
          </w:tcPr>
          <w:p>
            <w:pPr>
              <w:ind w:left="380"/>
              <w:spacing w:after="0"/>
              <w:rPr>
                <w:sz w:val="20"/>
                <w:szCs w:val="20"/>
                <w:color w:val="auto"/>
              </w:rPr>
            </w:pPr>
            <w:r>
              <w:rPr>
                <w:rFonts w:ascii="Arial" w:cs="Arial" w:eastAsia="Arial" w:hAnsi="Arial"/>
                <w:sz w:val="20"/>
                <w:szCs w:val="20"/>
                <w:color w:val="auto"/>
              </w:rPr>
              <w:t>Add: Tax benefit from goodwill amortization</w:t>
            </w:r>
          </w:p>
        </w:tc>
        <w:tc>
          <w:tcPr>
            <w:tcW w:w="240" w:type="dxa"/>
            <w:vAlign w:val="bottom"/>
          </w:tcPr>
          <w:p>
            <w:pPr>
              <w:spacing w:after="0"/>
              <w:rPr>
                <w:sz w:val="22"/>
                <w:szCs w:val="22"/>
                <w:color w:val="auto"/>
              </w:rPr>
            </w:pP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156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157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78</w:t>
            </w:r>
          </w:p>
        </w:tc>
      </w:tr>
      <w:tr>
        <w:trPr>
          <w:trHeight w:val="23"/>
        </w:trPr>
        <w:tc>
          <w:tcPr>
            <w:tcW w:w="6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2"/>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Economic Earnings</w:t>
            </w: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10,607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12,014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8,093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Diluted weighted average shares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8,311,382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8,261,274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8,047,084</w:t>
            </w:r>
          </w:p>
        </w:tc>
      </w:tr>
      <w:tr>
        <w:trPr>
          <w:trHeight w:val="261"/>
        </w:trPr>
        <w:tc>
          <w:tcPr>
            <w:tcW w:w="6160" w:type="dxa"/>
            <w:vAlign w:val="bottom"/>
          </w:tcPr>
          <w:p>
            <w:pPr>
              <w:ind w:left="40"/>
              <w:spacing w:after="0"/>
              <w:rPr>
                <w:sz w:val="20"/>
                <w:szCs w:val="20"/>
                <w:color w:val="auto"/>
              </w:rPr>
            </w:pPr>
            <w:r>
              <w:rPr>
                <w:rFonts w:ascii="Arial" w:cs="Arial" w:eastAsia="Arial" w:hAnsi="Arial"/>
                <w:sz w:val="20"/>
                <w:szCs w:val="20"/>
                <w:b w:val="1"/>
                <w:bCs w:val="1"/>
                <w:color w:val="auto"/>
              </w:rPr>
              <w:t>Economic EPS</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1.28</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1.45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1.01</w:t>
            </w:r>
          </w:p>
        </w:tc>
      </w:tr>
    </w:tbl>
    <w:p>
      <w:pPr>
        <w:spacing w:after="0" w:line="200" w:lineRule="exact"/>
        <w:rPr>
          <w:sz w:val="20"/>
          <w:szCs w:val="20"/>
          <w:color w:val="auto"/>
        </w:rPr>
      </w:pPr>
    </w:p>
    <w:p>
      <w:pPr>
        <w:spacing w:after="0" w:line="32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2019-12-06T17:46:52Z</dcterms:created>
  <dcterms:modified xsi:type="dcterms:W3CDTF">2019-12-06T17:46:52Z</dcterms:modified>
</cp:coreProperties>
</file>