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34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34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>CASEY BRIAN O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WESTWOOD HOLDINGS GROUP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WHG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 CRESCENT COURT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11/26/2025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SUITE 1200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81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CEO</w:t>
      </w:r>
    </w:p>
    <w:p>
      <w:pPr>
        <w:spacing w:after="0" w:line="46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DALLAS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TX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75201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11/26/2025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3"/>
              <w:spacing w:after="0" w:line="2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40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505,516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11/28/2025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3"/>
              <w:spacing w:after="0" w:line="2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99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505,417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1. The reported sale was executed pursuant to Rule 144 under the Securities Act of 1933.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Jonathan R. Nahhat, by POA from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180465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046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Brian O. Casey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525145" cy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4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12/01/2025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80" w:space="340"/>
            <w:col w:w="2200"/>
          </w:cols>
          <w:pgMar w:left="440" w:top="202" w:right="4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171437" TargetMode="External"/><Relationship Id="rId14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2025-12-01T17:02:48Z</dcterms:created>
  <dcterms:modified xsi:type="dcterms:W3CDTF">2025-12-01T17:02:48Z</dcterms:modified>
</cp:coreProperties>
</file>