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Pursuant to Section 13 or 15(d) of</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April 24, 2019</w:t>
      </w:r>
    </w:p>
    <w:p>
      <w:pPr>
        <w:spacing w:after="0" w:line="200" w:lineRule="exact"/>
        <w:rPr>
          <w:sz w:val="24"/>
          <w:szCs w:val="24"/>
          <w:color w:val="auto"/>
        </w:rPr>
      </w:pP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WESTWOOD HOLDINGS GROUP, INC.</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74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75-2969997</w:t>
      </w:r>
    </w:p>
    <w:p>
      <w:pPr>
        <w:spacing w:after="0" w:line="95" w:lineRule="exact"/>
        <w:rPr>
          <w:sz w:val="24"/>
          <w:szCs w:val="24"/>
          <w:color w:val="auto"/>
        </w:rPr>
      </w:pPr>
    </w:p>
    <w:p>
      <w:pPr>
        <w:sectPr>
          <w:pgSz w:w="11900" w:h="16838" w:orient="portrait"/>
          <w:cols w:equalWidth="0" w:num="3">
            <w:col w:w="4720" w:space="720"/>
            <w:col w:w="2820" w:space="720"/>
            <w:col w:w="2400"/>
          </w:cols>
          <w:pgMar w:left="240" w:top="747" w:right="279" w:bottom="1440" w:gutter="0" w:footer="0" w:header="0"/>
          <w:type w:val="continuous"/>
        </w:sectPr>
      </w:pPr>
    </w:p>
    <w:p>
      <w:pPr>
        <w:jc w:val="center"/>
        <w:ind w:right="440"/>
        <w:spacing w:after="0"/>
        <w:rPr>
          <w:sz w:val="20"/>
          <w:szCs w:val="20"/>
          <w:color w:val="auto"/>
        </w:rPr>
      </w:pPr>
      <w:r>
        <w:rPr>
          <w:rFonts w:ascii="Arial" w:cs="Arial" w:eastAsia="Arial" w:hAnsi="Arial"/>
          <w:sz w:val="14"/>
          <w:szCs w:val="14"/>
          <w:color w:val="auto"/>
        </w:rPr>
        <w:t>(State or Other Jurisdiction</w:t>
      </w:r>
    </w:p>
    <w:p>
      <w:pPr>
        <w:spacing w:after="0" w:line="45"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6"/>
          <w:szCs w:val="16"/>
          <w:color w:val="auto"/>
        </w:rPr>
        <w:t>(I.R.S. Employer</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Identification Number)</w:t>
      </w:r>
    </w:p>
    <w:p>
      <w:pPr>
        <w:spacing w:after="0" w:line="179" w:lineRule="exact"/>
        <w:rPr>
          <w:sz w:val="24"/>
          <w:szCs w:val="24"/>
          <w:color w:val="auto"/>
        </w:rPr>
      </w:pPr>
    </w:p>
    <w:p>
      <w:pPr>
        <w:sectPr>
          <w:pgSz w:w="11900" w:h="16838" w:orient="portrait"/>
          <w:cols w:equalWidth="0" w:num="3">
            <w:col w:w="4680" w:space="720"/>
            <w:col w:w="2540" w:space="720"/>
            <w:col w:w="2720"/>
          </w:cols>
          <w:pgMar w:left="240" w:top="747"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200 Crescent Court, Suite 1200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(214) 756-6900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380"/>
          </w:cols>
          <w:pgMar w:left="240" w:top="747"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38"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80"/>
          </w:cols>
          <w:pgMar w:left="240" w:top="747" w:right="279" w:bottom="1440" w:gutter="0" w:footer="0" w:header="0"/>
          <w:type w:val="continuous"/>
        </w:sectPr>
      </w:pPr>
    </w:p>
    <w:bookmarkStart w:id="1" w:name="page2"/>
    <w:bookmarkEnd w:id="1"/>
    <w:p>
      <w:pPr>
        <w:ind w:left="1300" w:right="1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previously announced and as further described under Item 5.07, on April 24, 2019, Westwood Holdings Group, Inc. (the “Company”) held its annual meeting of stockholders in Dallas, Texas (the “Annual Meeting”).</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stockholders approved the Sixth Amended and Restated Westwood Holdings Group, Inc. Stock Incentive Plan (the “Incentive Plan”). The material revisions of the Incentive Plan included:</w:t>
      </w:r>
    </w:p>
    <w:p>
      <w:pPr>
        <w:spacing w:after="0" w:line="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Incentive Plan by 200,000 shares;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Allow stock appreciation rights, restricted stock units and other stock-based awards to be awarded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Plan was included as Appendix A to the Definitive Proxy Statement filed with the SEC on March 19, 2019.</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stockholders approved an amendment to each of the Company's Amended and Restated Certificate of Incorporation, as amended, and Amended and Restated Bylaws, as amended, to allow any director or the entire Board of Directors to be removed, with or without cause, by a simple majority vote. The amendments were included as Appendices B and C to the Definitive Proxy Statement filed with the SEC on March 19, 2019.</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the Annual Meeting, the following Proposals 1, 2, 3, 4 and 5 were approved by the Company’s stockholders. No other business was brought before the Annual Meeting. The Proposals are described in detail in the Company’s definitive proxy statement filed with the SEC on March 19, 2019. The voting results for the Annual Meeting are set forth below.</w:t>
      </w:r>
    </w:p>
    <w:p>
      <w:pPr>
        <w:spacing w:after="0" w:line="141" w:lineRule="exact"/>
        <w:rPr>
          <w:sz w:val="20"/>
          <w:szCs w:val="20"/>
          <w:color w:val="auto"/>
        </w:rPr>
      </w:pPr>
    </w:p>
    <w:p>
      <w:pPr>
        <w:ind w:left="540" w:right="1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Nominee</w:t>
            </w:r>
          </w:p>
        </w:tc>
        <w:tc>
          <w:tcPr>
            <w:tcW w:w="1820" w:type="dxa"/>
            <w:vAlign w:val="bottom"/>
            <w:gridSpan w:val="2"/>
          </w:tcPr>
          <w:p>
            <w:pPr>
              <w:ind w:left="740"/>
              <w:spacing w:after="0"/>
              <w:rPr>
                <w:sz w:val="20"/>
                <w:szCs w:val="20"/>
                <w:color w:val="auto"/>
              </w:rPr>
            </w:pPr>
            <w:r>
              <w:rPr>
                <w:rFonts w:ascii="Arial" w:cs="Arial" w:eastAsia="Arial" w:hAnsi="Arial"/>
                <w:sz w:val="14"/>
                <w:szCs w:val="14"/>
                <w:b w:val="1"/>
                <w:bCs w:val="1"/>
                <w:color w:val="auto"/>
              </w:rPr>
              <w:t>For</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Withheld</w:t>
            </w:r>
          </w:p>
        </w:tc>
        <w:tc>
          <w:tcPr>
            <w:tcW w:w="1720" w:type="dxa"/>
            <w:vAlign w:val="bottom"/>
          </w:tcPr>
          <w:p>
            <w:pPr>
              <w:jc w:val="right"/>
              <w:ind w:right="253"/>
              <w:spacing w:after="0"/>
              <w:rPr>
                <w:sz w:val="20"/>
                <w:szCs w:val="20"/>
                <w:color w:val="auto"/>
              </w:rPr>
            </w:pPr>
            <w:r>
              <w:rPr>
                <w:rFonts w:ascii="Arial" w:cs="Arial" w:eastAsia="Arial" w:hAnsi="Arial"/>
                <w:sz w:val="14"/>
                <w:szCs w:val="14"/>
                <w:b w:val="1"/>
                <w:bCs w:val="1"/>
                <w:color w:val="auto"/>
              </w:rPr>
              <w:t>Broker Non-Vote</w:t>
            </w:r>
          </w:p>
        </w:tc>
      </w:tr>
      <w:tr>
        <w:trPr>
          <w:trHeight w:val="250"/>
        </w:trPr>
        <w:tc>
          <w:tcPr>
            <w:tcW w:w="2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1,621,484</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Richard M. Frank</w:t>
            </w:r>
          </w:p>
        </w:tc>
        <w:tc>
          <w:tcPr>
            <w:tcW w:w="1700" w:type="dxa"/>
            <w:vAlign w:val="bottom"/>
          </w:tcPr>
          <w:p>
            <w:pPr>
              <w:jc w:val="right"/>
              <w:spacing w:after="0"/>
              <w:rPr>
                <w:sz w:val="20"/>
                <w:szCs w:val="20"/>
                <w:color w:val="auto"/>
              </w:rPr>
            </w:pPr>
            <w:r>
              <w:rPr>
                <w:rFonts w:ascii="Arial" w:cs="Arial" w:eastAsia="Arial" w:hAnsi="Arial"/>
                <w:sz w:val="18"/>
                <w:szCs w:val="18"/>
                <w:color w:val="auto"/>
              </w:rPr>
              <w:t>6,415,500</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118,796</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1,621,484</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Susan M. Byrne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6,354,946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179,350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1,621,484</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Ellen H. Masterson</w:t>
            </w:r>
          </w:p>
        </w:tc>
        <w:tc>
          <w:tcPr>
            <w:tcW w:w="1700" w:type="dxa"/>
            <w:vAlign w:val="bottom"/>
          </w:tcPr>
          <w:p>
            <w:pPr>
              <w:jc w:val="right"/>
              <w:spacing w:after="0"/>
              <w:rPr>
                <w:sz w:val="20"/>
                <w:szCs w:val="20"/>
                <w:color w:val="auto"/>
              </w:rPr>
            </w:pPr>
            <w:r>
              <w:rPr>
                <w:rFonts w:ascii="Arial" w:cs="Arial" w:eastAsia="Arial" w:hAnsi="Arial"/>
                <w:sz w:val="18"/>
                <w:szCs w:val="18"/>
                <w:color w:val="auto"/>
              </w:rPr>
              <w:t>6,450,356</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83,940</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1,621,484</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Geoffrey R. Norman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6,425,190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109,106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1,621,484</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Raymond E. Wooldridge</w:t>
            </w:r>
          </w:p>
        </w:tc>
        <w:tc>
          <w:tcPr>
            <w:tcW w:w="1700" w:type="dxa"/>
            <w:vAlign w:val="bottom"/>
          </w:tcPr>
          <w:p>
            <w:pPr>
              <w:jc w:val="right"/>
              <w:spacing w:after="0"/>
              <w:rPr>
                <w:sz w:val="20"/>
                <w:szCs w:val="20"/>
                <w:color w:val="auto"/>
              </w:rPr>
            </w:pPr>
            <w:r>
              <w:rPr>
                <w:rFonts w:ascii="Arial" w:cs="Arial" w:eastAsia="Arial" w:hAnsi="Arial"/>
                <w:sz w:val="18"/>
                <w:szCs w:val="18"/>
                <w:color w:val="auto"/>
              </w:rPr>
              <w:t>6,223,095</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311,201</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1,621,484</w:t>
            </w:r>
          </w:p>
        </w:tc>
      </w:tr>
    </w:tbl>
    <w:p>
      <w:pPr>
        <w:spacing w:after="0" w:line="350" w:lineRule="exact"/>
        <w:rPr>
          <w:sz w:val="20"/>
          <w:szCs w:val="20"/>
          <w:color w:val="auto"/>
        </w:rPr>
      </w:pPr>
    </w:p>
    <w:p>
      <w:pPr>
        <w:ind w:left="540" w:right="3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stockholders ratified Deloitte &amp; Touche LLP as the Company’s independent auditors for the year ending December 31, 2019. The voting results for this Proposal 2 were as follows:</w:t>
      </w:r>
    </w:p>
    <w:p>
      <w:pPr>
        <w:spacing w:after="0" w:line="176"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2140" w:type="dxa"/>
            <w:vAlign w:val="bottom"/>
            <w:gridSpan w:val="2"/>
          </w:tcPr>
          <w:p>
            <w:pPr>
              <w:ind w:left="900"/>
              <w:spacing w:after="0"/>
              <w:rPr>
                <w:sz w:val="20"/>
                <w:szCs w:val="20"/>
                <w:color w:val="auto"/>
              </w:rPr>
            </w:pPr>
            <w:r>
              <w:rPr>
                <w:rFonts w:ascii="Arial" w:cs="Arial" w:eastAsia="Arial" w:hAnsi="Arial"/>
                <w:sz w:val="14"/>
                <w:szCs w:val="14"/>
                <w:b w:val="1"/>
                <w:bCs w:val="1"/>
                <w:color w:val="auto"/>
              </w:rPr>
              <w:t>For</w:t>
            </w:r>
          </w:p>
        </w:tc>
        <w:tc>
          <w:tcPr>
            <w:tcW w:w="2040" w:type="dxa"/>
            <w:vAlign w:val="bottom"/>
            <w:gridSpan w:val="2"/>
          </w:tcPr>
          <w:p>
            <w:pPr>
              <w:ind w:left="740"/>
              <w:spacing w:after="0"/>
              <w:rPr>
                <w:sz w:val="20"/>
                <w:szCs w:val="20"/>
                <w:color w:val="auto"/>
              </w:rPr>
            </w:pPr>
            <w:r>
              <w:rPr>
                <w:rFonts w:ascii="Arial" w:cs="Arial" w:eastAsia="Arial" w:hAnsi="Arial"/>
                <w:sz w:val="14"/>
                <w:szCs w:val="14"/>
                <w:b w:val="1"/>
                <w:bCs w:val="1"/>
                <w:color w:val="auto"/>
              </w:rPr>
              <w:t>Against</w:t>
            </w:r>
          </w:p>
        </w:tc>
        <w:tc>
          <w:tcPr>
            <w:tcW w:w="1940" w:type="dxa"/>
            <w:vAlign w:val="bottom"/>
          </w:tcPr>
          <w:p>
            <w:pPr>
              <w:jc w:val="right"/>
              <w:ind w:right="659"/>
              <w:spacing w:after="0"/>
              <w:rPr>
                <w:sz w:val="20"/>
                <w:szCs w:val="20"/>
                <w:color w:val="auto"/>
              </w:rPr>
            </w:pPr>
            <w:r>
              <w:rPr>
                <w:rFonts w:ascii="Arial" w:cs="Arial" w:eastAsia="Arial" w:hAnsi="Arial"/>
                <w:sz w:val="14"/>
                <w:szCs w:val="14"/>
                <w:b w:val="1"/>
                <w:bCs w:val="1"/>
                <w:color w:val="auto"/>
              </w:rPr>
              <w:t>Abstain</w:t>
            </w:r>
          </w:p>
        </w:tc>
      </w:tr>
      <w:tr>
        <w:trPr>
          <w:trHeight w:val="243"/>
        </w:trPr>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8,029,627</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118,356</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r>
      <w:tr>
        <w:trPr>
          <w:trHeight w:val="27"/>
        </w:trPr>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540" w:right="6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stockholders approved the Sixth Amended and Restated Westwood Holdings Group, Inc. Stock Incentive Plan. The voting results for this Proposal 3 were as follows:</w:t>
      </w:r>
    </w:p>
    <w:p>
      <w:pPr>
        <w:spacing w:after="0" w:line="176" w:lineRule="exact"/>
        <w:rPr>
          <w:sz w:val="20"/>
          <w:szCs w:val="20"/>
          <w:color w:val="auto"/>
        </w:rPr>
      </w:pPr>
    </w:p>
    <w:tbl>
      <w:tblPr>
        <w:tblLayout w:type="fixed"/>
        <w:tblInd w:w="2080"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60" w:type="dxa"/>
            <w:vAlign w:val="bottom"/>
          </w:tcPr>
          <w:p>
            <w:pPr>
              <w:jc w:val="right"/>
              <w:ind w:right="23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5,678,793</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849,177</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1,621,484</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hanging="249"/>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Proposal 4</w:t>
      </w:r>
      <w:r>
        <w:rPr>
          <w:rFonts w:ascii="Arial" w:cs="Arial" w:eastAsia="Arial" w:hAnsi="Arial"/>
          <w:sz w:val="16"/>
          <w:szCs w:val="16"/>
          <w:color w:val="auto"/>
        </w:rPr>
        <w:t>: The stockholders approved, on a non-binding, advisory basis, the Company's executive compensation. The voting results for this Proposal</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4 were as follows:</w:t>
      </w:r>
    </w:p>
    <w:p>
      <w:pPr>
        <w:spacing w:after="0" w:line="216" w:lineRule="exact"/>
        <w:rPr>
          <w:sz w:val="20"/>
          <w:szCs w:val="20"/>
          <w:color w:val="auto"/>
        </w:rPr>
      </w:pPr>
    </w:p>
    <w:tbl>
      <w:tblPr>
        <w:tblLayout w:type="fixed"/>
        <w:tblInd w:w="2080"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60" w:type="dxa"/>
            <w:vAlign w:val="bottom"/>
          </w:tcPr>
          <w:p>
            <w:pPr>
              <w:jc w:val="right"/>
              <w:ind w:right="23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4,181,825</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2,323,080</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29,391</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1,621,484</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ectPr>
          <w:pgSz w:w="11900" w:h="16838" w:orient="portrait"/>
          <w:cols w:equalWidth="0" w:num="1">
            <w:col w:w="11380"/>
          </w:cols>
          <w:pgMar w:left="240" w:top="742" w:right="279" w:bottom="1440" w:gutter="0" w:footer="0" w:header="0"/>
        </w:sectPr>
      </w:pPr>
    </w:p>
    <w:bookmarkStart w:id="2" w:name="page3"/>
    <w:bookmarkEnd w:id="2"/>
    <w:p>
      <w:pPr>
        <w:ind w:left="329" w:hanging="329"/>
        <w:spacing w:after="0" w:line="277"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Proposal 5</w:t>
      </w:r>
      <w:r>
        <w:rPr>
          <w:rFonts w:ascii="Arial" w:cs="Arial" w:eastAsia="Arial" w:hAnsi="Arial"/>
          <w:sz w:val="18"/>
          <w:szCs w:val="18"/>
          <w:color w:val="auto"/>
        </w:rPr>
        <w:t>: The stockholders approved an amendment to each of the Company's Amended and Restated Certificate of Incorporation, as amended, and the Amended and Restated Bylaws, as amended. The voting results for this Proposal 5 were as follows:</w:t>
      </w:r>
    </w:p>
    <w:p>
      <w:pPr>
        <w:spacing w:after="0" w:line="176" w:lineRule="exact"/>
        <w:rPr>
          <w:sz w:val="20"/>
          <w:szCs w:val="20"/>
          <w:color w:val="auto"/>
        </w:rPr>
      </w:pPr>
    </w:p>
    <w:tbl>
      <w:tblPr>
        <w:tblLayout w:type="fixed"/>
        <w:tblInd w:w="1829"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60" w:type="dxa"/>
            <w:vAlign w:val="bottom"/>
          </w:tcPr>
          <w:p>
            <w:pPr>
              <w:jc w:val="right"/>
              <w:ind w:right="23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6,489,742</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1,621,484</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ectPr>
          <w:pgSz w:w="11900" w:h="16838" w:orient="portrait"/>
          <w:cols w:equalWidth="0" w:num="1">
            <w:col w:w="11049"/>
          </w:cols>
          <w:pgMar w:left="491" w:top="1017" w:right="359" w:bottom="1440" w:gutter="0" w:footer="0" w:header="0"/>
        </w:sectPr>
      </w:pPr>
    </w:p>
    <w:bookmarkStart w:id="3" w:name="page4"/>
    <w:bookmarkEnd w:id="3"/>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WESTWOOD HOLDINGS GROUP, INC.</w:t>
      </w:r>
    </w:p>
    <w:p>
      <w:pPr>
        <w:spacing w:after="0" w:line="387" w:lineRule="exact"/>
        <w:rPr>
          <w:sz w:val="20"/>
          <w:szCs w:val="20"/>
          <w:color w:val="auto"/>
        </w:rPr>
      </w:pPr>
    </w:p>
    <w:p>
      <w:pPr>
        <w:ind w:left="40"/>
        <w:spacing w:after="0"/>
        <w:tabs>
          <w:tab w:leader="none" w:pos="6800" w:val="left"/>
        </w:tabs>
        <w:rPr>
          <w:sz w:val="20"/>
          <w:szCs w:val="20"/>
          <w:color w:val="auto"/>
        </w:rPr>
      </w:pPr>
      <w:r>
        <w:rPr>
          <w:rFonts w:ascii="Arial" w:cs="Arial" w:eastAsia="Arial" w:hAnsi="Arial"/>
          <w:sz w:val="18"/>
          <w:szCs w:val="18"/>
          <w:color w:val="auto"/>
        </w:rPr>
        <w:t>Date: April 24, 2019</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31750</wp:posOffset>
            </wp:positionV>
            <wp:extent cx="2632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720"/>
      </w:cols>
      <w:pgMar w:left="240" w:top="58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2019-12-03T05:38:17Z</dcterms:created>
  <dcterms:modified xsi:type="dcterms:W3CDTF">2019-12-03T05:38:17Z</dcterms:modified>
</cp:coreProperties>
</file>