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27"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-234315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-268605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5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9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8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95" w:lineRule="exact"/>
        <w:rPr>
          <w:sz w:val="24"/>
          <w:szCs w:val="24"/>
          <w:color w:val="auto"/>
        </w:rPr>
      </w:pPr>
    </w:p>
    <w:p>
      <w:pPr>
        <w:ind w:left="3300"/>
        <w:spacing w:after="0"/>
        <w:tabs>
          <w:tab w:leader="none" w:pos="566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3143250</wp:posOffset>
            </wp:positionH>
            <wp:positionV relativeFrom="paragraph">
              <wp:posOffset>-4445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6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Commission file number 1-31234</w:t>
      </w:r>
    </w:p>
    <w:p>
      <w:pPr>
        <w:spacing w:after="0" w:line="7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6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1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27" w:lineRule="exact"/>
        <w:rPr>
          <w:sz w:val="24"/>
          <w:szCs w:val="24"/>
          <w:color w:val="auto"/>
        </w:rPr>
      </w:pPr>
    </w:p>
    <w:p>
      <w:pPr>
        <w:ind w:left="172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75-2969997</w:t>
      </w:r>
    </w:p>
    <w:p>
      <w:pPr>
        <w:spacing w:after="0" w:line="34" w:lineRule="exact"/>
        <w:rPr>
          <w:sz w:val="24"/>
          <w:szCs w:val="24"/>
          <w:color w:val="auto"/>
        </w:rPr>
      </w:pPr>
    </w:p>
    <w:p>
      <w:pPr>
        <w:ind w:left="1280"/>
        <w:spacing w:after="0"/>
        <w:tabs>
          <w:tab w:leader="none" w:pos="7440" w:val="left"/>
        </w:tabs>
        <w:rPr>
          <w:sz w:val="20"/>
          <w:szCs w:val="20"/>
          <w:color w:val="auto"/>
        </w:rPr>
      </w:pPr>
      <w:r>
        <w:rPr>
          <w:rFonts w:ascii="Times New Roman" w:cs="Times New Roman" w:eastAsia="Times New Roman" w:hAnsi="Times New Roman"/>
          <w:sz w:val="13"/>
          <w:szCs w:val="13"/>
          <w:color w:val="auto"/>
        </w:rPr>
        <w:t>(State or other jurisdiction of</w:t>
      </w:r>
      <w:r>
        <w:rPr>
          <w:sz w:val="20"/>
          <w:szCs w:val="20"/>
          <w:color w:val="auto"/>
        </w:rPr>
        <w:tab/>
      </w:r>
      <w:r>
        <w:rPr>
          <w:rFonts w:ascii="Times New Roman" w:cs="Times New Roman" w:eastAsia="Times New Roman" w:hAnsi="Times New Roman"/>
          <w:sz w:val="12"/>
          <w:szCs w:val="12"/>
          <w:color w:val="auto"/>
        </w:rPr>
        <w:t>(I.R.S. Employer</w:t>
      </w:r>
    </w:p>
    <w:p>
      <w:pPr>
        <w:jc w:val="right"/>
        <w:ind w:right="2140"/>
        <w:spacing w:after="0"/>
        <w:tabs>
          <w:tab w:leader="none" w:pos="920" w:val="left"/>
        </w:tabs>
        <w:rPr>
          <w:sz w:val="20"/>
          <w:szCs w:val="20"/>
          <w:color w:val="auto"/>
        </w:rPr>
      </w:pPr>
      <w:r>
        <w:rPr>
          <w:rFonts w:ascii="Times New Roman" w:cs="Times New Roman" w:eastAsia="Times New Roman" w:hAnsi="Times New Roman"/>
          <w:sz w:val="13"/>
          <w:szCs w:val="13"/>
          <w:color w:val="auto"/>
        </w:rPr>
        <w:t>incorporation or organization)</w:t>
      </w:r>
      <w:r>
        <w:rPr>
          <w:sz w:val="20"/>
          <w:szCs w:val="20"/>
          <w:color w:val="auto"/>
        </w:rPr>
        <w:tab/>
      </w:r>
      <w:r>
        <w:rPr>
          <w:rFonts w:ascii="Times New Roman" w:cs="Times New Roman" w:eastAsia="Times New Roman" w:hAnsi="Times New Roman"/>
          <w:sz w:val="12"/>
          <w:szCs w:val="12"/>
          <w:color w:val="auto"/>
        </w:rPr>
        <w:t>Identification No.)</w:t>
      </w:r>
    </w:p>
    <w:p>
      <w:pPr>
        <w:spacing w:after="0" w:line="19" w:lineRule="exact"/>
        <w:rPr>
          <w:sz w:val="24"/>
          <w:szCs w:val="24"/>
          <w:color w:val="auto"/>
        </w:rPr>
      </w:pPr>
    </w:p>
    <w:p>
      <w:pPr>
        <w:sectPr>
          <w:pgSz w:w="11900" w:h="16838" w:orient="portrait"/>
          <w:cols w:equalWidth="0" w:num="2">
            <w:col w:w="560" w:space="120"/>
            <w:col w:w="10500"/>
          </w:cols>
          <w:pgMar w:left="320" w:top="1256" w:right="399" w:bottom="1440" w:gutter="0" w:footer="0" w:header="0"/>
        </w:sect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5840" w:type="dxa"/>
            <w:vAlign w:val="bottom"/>
            <w:gridSpan w:val="5"/>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200 Crescent Court, Suite 1200</w:t>
            </w: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03"/>
        </w:trPr>
        <w:tc>
          <w:tcPr>
            <w:tcW w:w="1660" w:type="dxa"/>
            <w:vAlign w:val="bottom"/>
          </w:tcPr>
          <w:p>
            <w:pPr>
              <w:spacing w:after="0"/>
              <w:rPr>
                <w:sz w:val="17"/>
                <w:szCs w:val="17"/>
                <w:color w:val="auto"/>
              </w:rPr>
            </w:pPr>
          </w:p>
        </w:tc>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Dallas, Texas</w:t>
            </w: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20" w:type="dxa"/>
            <w:vAlign w:val="bottom"/>
            <w:gridSpan w:val="2"/>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rPr>
              <w:t>75201</w:t>
            </w:r>
          </w:p>
        </w:tc>
      </w:tr>
      <w:tr>
        <w:trPr>
          <w:trHeight w:val="183"/>
        </w:trPr>
        <w:tc>
          <w:tcPr>
            <w:tcW w:w="1660" w:type="dxa"/>
            <w:vAlign w:val="bottom"/>
          </w:tcPr>
          <w:p>
            <w:pPr>
              <w:spacing w:after="0"/>
              <w:rPr>
                <w:sz w:val="15"/>
                <w:szCs w:val="15"/>
                <w:color w:val="auto"/>
              </w:rPr>
            </w:pPr>
          </w:p>
        </w:tc>
        <w:tc>
          <w:tcPr>
            <w:tcW w:w="5840" w:type="dxa"/>
            <w:vAlign w:val="bottom"/>
            <w:gridSpan w:val="5"/>
          </w:tcPr>
          <w:p>
            <w:pPr>
              <w:jc w:val="center"/>
              <w:ind w:right="376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40" w:type="dxa"/>
            <w:vAlign w:val="bottom"/>
          </w:tcPr>
          <w:p>
            <w:pPr>
              <w:spacing w:after="0"/>
              <w:rPr>
                <w:sz w:val="15"/>
                <w:szCs w:val="15"/>
                <w:color w:val="auto"/>
              </w:rPr>
            </w:pPr>
          </w:p>
        </w:tc>
        <w:tc>
          <w:tcPr>
            <w:tcW w:w="2580" w:type="dxa"/>
            <w:vAlign w:val="bottom"/>
          </w:tcPr>
          <w:p>
            <w:pPr>
              <w:jc w:val="center"/>
              <w:ind w:right="873"/>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371"/>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0" w:type="dxa"/>
            <w:vAlign w:val="bottom"/>
            <w:gridSpan w:val="5"/>
          </w:tcPr>
          <w:p>
            <w:pPr>
              <w:jc w:val="center"/>
              <w:ind w:right="251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756-6900</w:t>
            </w:r>
          </w:p>
        </w:tc>
      </w:tr>
      <w:tr>
        <w:trPr>
          <w:trHeight w:val="243"/>
        </w:trPr>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580" w:type="dxa"/>
            <w:vAlign w:val="bottom"/>
            <w:gridSpan w:val="6"/>
          </w:tcPr>
          <w:p>
            <w:pPr>
              <w:jc w:val="center"/>
              <w:ind w:right="173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85"/>
        </w:trPr>
        <w:tc>
          <w:tcPr>
            <w:tcW w:w="1660" w:type="dxa"/>
            <w:vAlign w:val="bottom"/>
          </w:tcPr>
          <w:p>
            <w:pPr>
              <w:spacing w:after="0"/>
              <w:rPr>
                <w:sz w:val="16"/>
                <w:szCs w:val="16"/>
                <w:color w:val="auto"/>
              </w:rPr>
            </w:pPr>
          </w:p>
        </w:tc>
        <w:tc>
          <w:tcPr>
            <w:tcW w:w="1860" w:type="dxa"/>
            <w:vAlign w:val="bottom"/>
            <w:gridSpan w:val="2"/>
          </w:tcPr>
          <w:p>
            <w:pPr>
              <w:jc w:val="center"/>
              <w:ind w:right="708"/>
              <w:spacing w:after="0"/>
              <w:rPr>
                <w:sz w:val="20"/>
                <w:szCs w:val="20"/>
                <w:color w:val="auto"/>
              </w:rPr>
            </w:pPr>
            <w:r>
              <w:rPr>
                <w:rFonts w:ascii="Times New Roman" w:cs="Times New Roman" w:eastAsia="Times New Roman" w:hAnsi="Times New Roman"/>
                <w:sz w:val="14"/>
                <w:szCs w:val="14"/>
                <w:color w:val="auto"/>
              </w:rPr>
              <w:t>Title of each class:</w:t>
            </w:r>
          </w:p>
        </w:tc>
        <w:tc>
          <w:tcPr>
            <w:tcW w:w="1620" w:type="dxa"/>
            <w:vAlign w:val="bottom"/>
          </w:tcPr>
          <w:p>
            <w:pPr>
              <w:spacing w:after="0"/>
              <w:rPr>
                <w:sz w:val="16"/>
                <w:szCs w:val="16"/>
                <w:color w:val="auto"/>
              </w:rPr>
            </w:pPr>
          </w:p>
        </w:tc>
        <w:tc>
          <w:tcPr>
            <w:tcW w:w="236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rPr>
              <w:t>Trading Symbol:</w:t>
            </w:r>
          </w:p>
        </w:tc>
        <w:tc>
          <w:tcPr>
            <w:tcW w:w="282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13"/>
        </w:trPr>
        <w:tc>
          <w:tcPr>
            <w:tcW w:w="352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1620" w:type="dxa"/>
            <w:vAlign w:val="bottom"/>
          </w:tcPr>
          <w:p>
            <w:pPr>
              <w:spacing w:after="0"/>
              <w:rPr>
                <w:sz w:val="18"/>
                <w:szCs w:val="18"/>
                <w:color w:val="auto"/>
              </w:rPr>
            </w:pPr>
          </w:p>
        </w:tc>
        <w:tc>
          <w:tcPr>
            <w:tcW w:w="236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WHG</w:t>
            </w:r>
          </w:p>
        </w:tc>
        <w:tc>
          <w:tcPr>
            <w:tcW w:w="24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336"/>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580" w:type="dxa"/>
            <w:vAlign w:val="bottom"/>
            <w:gridSpan w:val="6"/>
          </w:tcPr>
          <w:p>
            <w:pPr>
              <w:jc w:val="center"/>
              <w:ind w:right="173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171"/>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6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2"/>
        </w:trPr>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w:t>
            </w:r>
          </w:p>
        </w:tc>
        <w:tc>
          <w:tcPr>
            <w:tcW w:w="2580" w:type="dxa"/>
            <w:vAlign w:val="bottom"/>
          </w:tcPr>
          <w:p>
            <w:pPr>
              <w:spacing w:after="0"/>
              <w:rPr>
                <w:sz w:val="12"/>
                <w:szCs w:val="12"/>
                <w:color w:val="auto"/>
              </w:rPr>
            </w:pPr>
          </w:p>
        </w:tc>
      </w:tr>
      <w:tr>
        <w:trPr>
          <w:trHeight w:val="263"/>
        </w:trPr>
        <w:tc>
          <w:tcPr>
            <w:tcW w:w="750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2820" w:type="dxa"/>
            <w:vAlign w:val="bottom"/>
            <w:gridSpan w:val="2"/>
          </w:tcPr>
          <w:p>
            <w:pPr>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75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r>
          </w:p>
        </w:tc>
        <w:tc>
          <w:tcPr>
            <w:tcW w:w="282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33"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61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months (or for such shorter period that the registrant was required to submit and post such files).  Yes </w:t>
            </w:r>
            <w:r>
              <w:rPr>
                <w:rFonts w:ascii="MS PGothic" w:cs="MS PGothic" w:eastAsia="MS PGothic" w:hAnsi="MS PGothic"/>
                <w:sz w:val="14"/>
                <w:szCs w:val="14"/>
                <w:color w:val="auto"/>
              </w:rPr>
              <w:t>☒</w:t>
            </w:r>
          </w:p>
        </w:tc>
        <w:tc>
          <w:tcPr>
            <w:tcW w:w="448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180" w:type="dxa"/>
            <w:vAlign w:val="bottom"/>
          </w:tcPr>
          <w:p>
            <w:pPr>
              <w:spacing w:after="0"/>
              <w:rPr>
                <w:sz w:val="21"/>
                <w:szCs w:val="21"/>
                <w:color w:val="auto"/>
              </w:rPr>
            </w:pPr>
          </w:p>
        </w:tc>
      </w:tr>
      <w:tr>
        <w:trPr>
          <w:trHeight w:val="178"/>
        </w:trPr>
        <w:tc>
          <w:tcPr>
            <w:tcW w:w="10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w:t>
            </w:r>
          </w:p>
        </w:tc>
        <w:tc>
          <w:tcPr>
            <w:tcW w:w="180" w:type="dxa"/>
            <w:vAlign w:val="bottom"/>
          </w:tcPr>
          <w:p>
            <w:pPr>
              <w:spacing w:after="0"/>
              <w:rPr>
                <w:sz w:val="15"/>
                <w:szCs w:val="15"/>
                <w:color w:val="auto"/>
              </w:rPr>
            </w:pPr>
          </w:p>
        </w:tc>
      </w:tr>
      <w:tr>
        <w:trPr>
          <w:trHeight w:val="188"/>
        </w:trPr>
        <w:tc>
          <w:tcPr>
            <w:tcW w:w="10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180" w:type="dxa"/>
            <w:vAlign w:val="bottom"/>
          </w:tcPr>
          <w:p>
            <w:pPr>
              <w:spacing w:after="0"/>
              <w:rPr>
                <w:sz w:val="16"/>
                <w:szCs w:val="16"/>
                <w:color w:val="auto"/>
              </w:rPr>
            </w:pPr>
          </w:p>
        </w:tc>
      </w:tr>
      <w:tr>
        <w:trPr>
          <w:trHeight w:val="251"/>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Accelerated filer</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44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7" w:lineRule="exact"/>
        <w:rPr>
          <w:sz w:val="24"/>
          <w:szCs w:val="24"/>
          <w:color w:val="auto"/>
        </w:rPr>
      </w:pPr>
    </w:p>
    <w:p>
      <w:pPr>
        <w:ind w:right="5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p>
    <w:p>
      <w:pPr>
        <w:spacing w:after="0" w:line="47"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right="2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4"/>
          <w:szCs w:val="14"/>
          <w:color w:val="auto"/>
        </w:rPr>
        <w:t>The aggregate market value on June 30, 2023 of the voting and non-voting common equity held by non-affiliates of the registrant was $101,997,608. For purposes of this calculation, the registrant has assumed that stockholders that are not officers or directors of the registrant are not affiliates of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par value $0.01 per share, outstanding as of March 1, 2024: 9,062,458.</w:t>
      </w:r>
    </w:p>
    <w:p>
      <w:pPr>
        <w:spacing w:after="0" w:line="9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ind w:right="80"/>
        <w:spacing w:after="0" w:line="302" w:lineRule="auto"/>
        <w:rPr>
          <w:sz w:val="20"/>
          <w:szCs w:val="20"/>
          <w:color w:val="auto"/>
        </w:rPr>
      </w:pPr>
      <w:r>
        <w:rPr>
          <w:rFonts w:ascii="Times New Roman" w:cs="Times New Roman" w:eastAsia="Times New Roman" w:hAnsi="Times New Roman"/>
          <w:sz w:val="14"/>
          <w:szCs w:val="14"/>
          <w:color w:val="auto"/>
        </w:rPr>
        <w:t>Selected portions of the registrant’s definitive Proxy Statement for the 2024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256"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60" w:type="dxa"/>
            <w:vAlign w:val="bottom"/>
            <w:gridSpan w:val="11"/>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WESTWOOD HOLDINGS GROUP,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6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PART I:</w:t>
            </w:r>
          </w:p>
        </w:tc>
        <w:tc>
          <w:tcPr>
            <w:tcW w:w="180" w:type="dxa"/>
            <w:vAlign w:val="bottom"/>
            <w:gridSpan w:val="3"/>
            <w:vMerge w:val="restart"/>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0" w:type="dxa"/>
            <w:vAlign w:val="bottom"/>
            <w:tcBorders>
              <w:bottom w:val="single" w:sz="8" w:color="0000FF"/>
            </w:tcBorders>
            <w:gridSpan w:val="2"/>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1.</w:t>
            </w:r>
          </w:p>
        </w:tc>
        <w:tc>
          <w:tcPr>
            <w:tcW w:w="6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w w:val="96"/>
              </w:rPr>
              <w:t>Business</w:t>
            </w:r>
          </w:p>
        </w:tc>
        <w:tc>
          <w:tcPr>
            <w:tcW w:w="8580" w:type="dxa"/>
            <w:vAlign w:val="bottom"/>
            <w:gridSpan w:val="21"/>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94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1A. 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24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1B. Unresolved Staff Comments</w:t>
            </w:r>
          </w:p>
        </w:tc>
        <w:tc>
          <w:tcPr>
            <w:tcW w:w="6960" w:type="dxa"/>
            <w:vAlign w:val="bottom"/>
            <w:gridSpan w:val="11"/>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4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1C. Cybersecurity</w:t>
            </w:r>
          </w:p>
        </w:tc>
        <w:tc>
          <w:tcPr>
            <w:tcW w:w="8020" w:type="dxa"/>
            <w:vAlign w:val="bottom"/>
            <w:gridSpan w:val="17"/>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2.</w:t>
            </w:r>
          </w:p>
        </w:tc>
        <w:tc>
          <w:tcPr>
            <w:tcW w:w="82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w w:val="97"/>
              </w:rPr>
              <w:t>Properties</w:t>
            </w:r>
          </w:p>
        </w:tc>
        <w:tc>
          <w:tcPr>
            <w:tcW w:w="8440" w:type="dxa"/>
            <w:vAlign w:val="bottom"/>
            <w:gridSpan w:val="19"/>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3.</w:t>
            </w:r>
          </w:p>
        </w:tc>
        <w:tc>
          <w:tcPr>
            <w:tcW w:w="14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7840" w:type="dxa"/>
            <w:vAlign w:val="bottom"/>
            <w:gridSpan w:val="16"/>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18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400" w:type="dxa"/>
            <w:vAlign w:val="bottom"/>
            <w:gridSpan w:val="14"/>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318"/>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870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Market for Registrant’s Common Equity, Related Stockholder Matters and Issuer Purchases of Equity Securities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6.</w:t>
            </w:r>
          </w:p>
        </w:tc>
        <w:tc>
          <w:tcPr>
            <w:tcW w:w="92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92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496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7A. Quantitative and Qualitative Disclosures about Market Risk</w:t>
            </w:r>
          </w:p>
        </w:tc>
        <w:tc>
          <w:tcPr>
            <w:tcW w:w="2060" w:type="dxa"/>
            <w:vAlign w:val="bottom"/>
            <w:tcBorders>
              <w:top w:val="single" w:sz="8" w:color="0000FF"/>
            </w:tcBorders>
            <w:gridSpan w:val="3"/>
          </w:tcPr>
          <w:p>
            <w:pPr>
              <w:spacing w:after="0"/>
              <w:rPr>
                <w:sz w:val="18"/>
                <w:szCs w:val="18"/>
                <w:color w:val="auto"/>
              </w:rPr>
            </w:pPr>
          </w:p>
        </w:tc>
        <w:tc>
          <w:tcPr>
            <w:tcW w:w="242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8.</w:t>
            </w:r>
          </w:p>
        </w:tc>
        <w:tc>
          <w:tcPr>
            <w:tcW w:w="92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Financial Statements and Supplementary Data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7"/>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9.</w:t>
            </w:r>
          </w:p>
        </w:tc>
        <w:tc>
          <w:tcPr>
            <w:tcW w:w="92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 Financial Disclosure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224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9A. Controls and Procedures</w:t>
            </w:r>
          </w:p>
        </w:tc>
        <w:tc>
          <w:tcPr>
            <w:tcW w:w="4800" w:type="dxa"/>
            <w:vAlign w:val="bottom"/>
            <w:tcBorders>
              <w:top w:val="single" w:sz="8" w:color="0000FF"/>
            </w:tcBorders>
            <w:gridSpan w:val="9"/>
          </w:tcPr>
          <w:p>
            <w:pPr>
              <w:spacing w:after="0"/>
              <w:rPr>
                <w:sz w:val="18"/>
                <w:szCs w:val="18"/>
                <w:color w:val="auto"/>
              </w:rPr>
            </w:pPr>
          </w:p>
        </w:tc>
        <w:tc>
          <w:tcPr>
            <w:tcW w:w="240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94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9B. 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94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9C. Disclosure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46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10. Directors, Executive Officers and Corporate Governance</w:t>
            </w:r>
          </w:p>
        </w:tc>
        <w:tc>
          <w:tcPr>
            <w:tcW w:w="4780" w:type="dxa"/>
            <w:vAlign w:val="bottom"/>
            <w:gridSpan w:val="8"/>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94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11. Executive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80" w:type="dxa"/>
            <w:vAlign w:val="bottom"/>
            <w:gridSpan w:val="10"/>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94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12. Security Ownership of Certain Beneficial Owners and Management and Related Stockholder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top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8080" w:type="dxa"/>
            <w:vAlign w:val="bottom"/>
            <w:tcBorders>
              <w:top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13. Certain Relationships and Related Transactions, and Director Independence</w:t>
            </w:r>
          </w:p>
        </w:tc>
        <w:tc>
          <w:tcPr>
            <w:tcW w:w="13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3360" w:type="dxa"/>
            <w:vAlign w:val="bottom"/>
            <w:tcBorders>
              <w:top w:val="single" w:sz="8" w:color="0000FF"/>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14. Principal Accounting Fees and Services</w:t>
            </w:r>
          </w:p>
        </w:tc>
        <w:tc>
          <w:tcPr>
            <w:tcW w:w="2780" w:type="dxa"/>
            <w:vAlign w:val="bottom"/>
            <w:tcBorders>
              <w:top w:val="single" w:sz="8" w:color="0000FF"/>
            </w:tcBorders>
            <w:gridSpan w:val="5"/>
          </w:tcPr>
          <w:p>
            <w:pPr>
              <w:spacing w:after="0"/>
              <w:rPr>
                <w:sz w:val="18"/>
                <w:szCs w:val="18"/>
                <w:color w:val="auto"/>
              </w:rPr>
            </w:pPr>
          </w:p>
        </w:tc>
        <w:tc>
          <w:tcPr>
            <w:tcW w:w="330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10"/>
        </w:trPr>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0000FF"/>
                <w:w w:val="98"/>
              </w:rPr>
              <w:t>PART IV:</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94"/>
              </w:rPr>
              <w:t>Item</w:t>
            </w:r>
          </w:p>
        </w:tc>
        <w:tc>
          <w:tcPr>
            <w:tcW w:w="94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0000FF"/>
              </w:rPr>
              <w:t>15. Exhibits, Financial Statement Schedules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9"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Westwood Advisors, L.L.C. and Salient Advisors, L.P. (each of which is a registered investment adviser ("RIA") registered with the Securities and Exchange Commission and referred to hereinafter together as “Westwood Management”) and Westwood Trust ("Westwood Wealth Management"). Westwood Management, founded in 1983,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 Our revenues are generally derived from fees based on a percentage of assets under management ("AUM") and assets under advisement ("AUA"). Westwood Management and Westwood Trust collectively had AUM of approximately $15.5 billion and AUA of approximately $1.1 billion at December 31, 2023. We were incorporated under the laws of the State of Delaware on December 12, 2001. Our common stock is listed on the New York Stock Exchange under the ticker symbol “WHG.” We are a holding company whose principal assets consist of the capital stock and ownership interests of our operating subsidiaries, primarily Westwood Management, Westwood Trust and Broadmark Asset Management, LLC ("Broadmark").</w:t>
      </w:r>
    </w:p>
    <w:p>
      <w:pPr>
        <w:spacing w:after="0" w:line="8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success of our business is dependent on client, institutional investment consultant and intermediary relationships. In addition to investment performance, we believe that client service is of paramount importance in the asset management business. Accordingly, a major business focus for us is to build strong relationships with clients to enhance our ability to anticipate their needs and satisfy their investment objectives. Our team approach is designed to deliver efficient, responsive service to our clients.</w:t>
      </w:r>
    </w:p>
    <w:p>
      <w:pPr>
        <w:spacing w:after="0" w:line="72" w:lineRule="exact"/>
        <w:rPr>
          <w:sz w:val="20"/>
          <w:szCs w:val="20"/>
          <w:color w:val="auto"/>
        </w:rPr>
      </w:pPr>
    </w:p>
    <w:p>
      <w:pPr>
        <w:ind w:right="80" w:firstLine="486"/>
        <w:spacing w:after="0" w:line="281" w:lineRule="auto"/>
        <w:rPr>
          <w:sz w:val="20"/>
          <w:szCs w:val="20"/>
          <w:color w:val="auto"/>
        </w:rPr>
      </w:pPr>
      <w:r>
        <w:rPr>
          <w:rFonts w:ascii="Times New Roman" w:cs="Times New Roman" w:eastAsia="Times New Roman" w:hAnsi="Times New Roman"/>
          <w:sz w:val="17"/>
          <w:szCs w:val="17"/>
          <w:color w:val="auto"/>
        </w:rPr>
        <w:t>Our operating structure is capable of supporting a larger business and thus we believe we are poised to accommodate growth by acquisition, product innovation and internal growth within our client base. We have developed investment strategies that we expect to be attractive in our target institutional, wealth management and intermediary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5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During 2022 we acquired the asset management business of Salient Partners, L.P. (the "Salient Acquisition"). As part of the Salient Acquisition we also acquired Salient Capital, L.P. ("SCLP"), Salient Advisors, L.P. ("Salient Advisors") and an approximately 48% interest in Broadmark. Broadmark is a San Francisco-based RIA managing and/or sub-advising mutual funds, retail and institutional separately-managed accounts. SCLP is an SEC-registered broker-dealer and Financial Industry Regulatory Authority ("FINRA") member and serves as a sub-placement agent for private placements. Salient Advisors is an SEC 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Controlling Interest in Broadmark Asset Management LLC</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In January 2023 we acquired an additional 32% interest in Broadmark for $1.2 million (net of cash acquired), increasing our ownership of Broadmark to approximately 80%, which represents a controlling interest for financial statement consolidation purposes (the "Broadmark Acquisition").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11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made a number of strategic investments, including investments in InvestCloud, Inc. ("InvestCloud"), Vista Bank, ("Vista"), Westwood Hospitality Fund I, LLC ("Westwood Hospitality") and Westwood Energy Secondaries Fund I, LLC ("Westwood Energy Secondaries").</w:t>
      </w:r>
    </w:p>
    <w:p>
      <w:pPr>
        <w:spacing w:after="0" w:line="68"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InvestCloud is a digital financial services provider. In addition to our investment in InvestCloud, we initiated a technology transformation several years ago using InvestCloud as a core provider. This technology transformation included overhauling and streamlining our enterprise data infrastructure and investment management operating platform. We also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developed and launched digital client portals with InvestCloud, offering our clients secure “anytime, anywhere” access to their financial information.</w:t>
      </w:r>
    </w:p>
    <w:p>
      <w:pPr>
        <w:spacing w:after="0" w:line="117"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Vista offers traditional banking services and provides clients of Westwood Trust efficient access to lines of credit secured by their investment portfolios. Our partnership provides Vista the opportunity to refer its clients needing more complex financial planning and investment services to Westwood Wealth Management.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Hospitality is a private investment fund seeded via our investment and which is offered to clients of Westwood Trust.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Energy Secondaries is a private investment fund seeded via our investment and which is offered to our clients.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and Human Capital, and Governance/Nominating Committee Charters are available without charge on our website. Stockholders may also obtain print copies of these documents free of charge by submitting a written request to Murray Forbes III, our Chief Financial Officer and Treasurer, at the address set forth on the front of this Report. The public can also obtain access to any public document we file with the SEC at www.sec.gov.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Our advisory business encompasses five distinct investment capabilities — United States ("U.S.") Value Equity, Multi-Asset, Energy and Real Assets, Tactical Absolute Return, and Income Alternatives.</w:t>
      </w:r>
    </w:p>
    <w:p>
      <w:pPr>
        <w:spacing w:after="0" w:line="54" w:lineRule="exact"/>
        <w:rPr>
          <w:sz w:val="20"/>
          <w:szCs w:val="20"/>
          <w:color w:val="auto"/>
        </w:rPr>
      </w:pPr>
    </w:p>
    <w:p>
      <w:pPr>
        <w:jc w:val="both"/>
        <w:ind w:right="200" w:firstLine="486"/>
        <w:spacing w:after="0" w:line="239"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$10 million to $25 million. Westwood Management also provides advisory services to financial advisors, individuals and the Westwood Funds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well as sub-advisory services to other mutual funds and pooled investment vehicles.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Strategies</w:t>
      </w:r>
    </w:p>
    <w:p>
      <w:pPr>
        <w:spacing w:after="0" w:line="1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offer high-conviction equity, outcome-oriented solutions and liquid alternatives to address a wide range of investment objectives, including four strategies each with over $1 billion in AUM: LargeCap Value, Income Opportunity, SmallCap Value and MLP &amp; Energy Infrastructure.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Value Equity</w:t>
      </w:r>
    </w:p>
    <w:p>
      <w:pPr>
        <w:spacing w:after="0" w:line="11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U.S. Value Equity team employs a value-oriented approach focused on identifying undervalued, high-quality businesses capable of generating superior risk-adjusted returns, using a fundamental, bottom-up, three-step investment process. Our team seeks well-run businesses with conservative balance sheets and strong free cash flow that can grow their business value by funding growth initiatives or by returning capital to shareholders. Identifying undervalued companies with strong fundamentals, where the outlook for future earnings growth is underestimated by the market, offers us the potential for asymmetric returns. This investment approach is intended to preserve capital during unfavorable periods and provide superior real returns over the long term. We have established a track record of producing both competitive risk adjusted and real returns for our clients. The principal investment strategies currently managed by the U.S. Value Equity team are as follows: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LargeCap Value: </w:t>
      </w:r>
      <w:r>
        <w:rPr>
          <w:rFonts w:ascii="Times New Roman" w:cs="Times New Roman" w:eastAsia="Times New Roman" w:hAnsi="Times New Roman"/>
          <w:sz w:val="18"/>
          <w:szCs w:val="18"/>
          <w:color w:val="auto"/>
        </w:rPr>
        <w:t>Investments in equity securities of approximately 40 to 60 companies benchmarked to the Russell 1000 Value Index.</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MidCap Value: </w:t>
      </w:r>
      <w:r>
        <w:rPr>
          <w:rFonts w:ascii="Times New Roman" w:cs="Times New Roman" w:eastAsia="Times New Roman" w:hAnsi="Times New Roman"/>
          <w:sz w:val="18"/>
          <w:szCs w:val="18"/>
          <w:color w:val="auto"/>
        </w:rPr>
        <w:t>Investments in equity securities of approximately 50 to 80 companies benchmarked to the Russell Midcap Value Index.</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SMidCap Value: </w:t>
      </w:r>
      <w:r>
        <w:rPr>
          <w:rFonts w:ascii="Times New Roman" w:cs="Times New Roman" w:eastAsia="Times New Roman" w:hAnsi="Times New Roman"/>
          <w:sz w:val="18"/>
          <w:szCs w:val="18"/>
          <w:color w:val="auto"/>
        </w:rPr>
        <w:t>Investments in equity securities of approximately 50 to 70 companies benchmarked to the Russell 2500 Value Index.</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SmallCap Value: </w:t>
      </w:r>
      <w:r>
        <w:rPr>
          <w:rFonts w:ascii="Times New Roman" w:cs="Times New Roman" w:eastAsia="Times New Roman" w:hAnsi="Times New Roman"/>
          <w:sz w:val="18"/>
          <w:szCs w:val="18"/>
          <w:color w:val="auto"/>
        </w:rPr>
        <w:t>Investments in equity securities of approximately 50 to 70 companies benchmarked to the Russell 2000 Value Index.</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 w:name="page5"/>
    <w:bookmarkEnd w:id="4"/>
    <w:p>
      <w:pPr>
        <w:ind w:right="1240" w:firstLine="486"/>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AllCap Value: </w:t>
      </w:r>
      <w:r>
        <w:rPr>
          <w:rFonts w:ascii="Times New Roman" w:cs="Times New Roman" w:eastAsia="Times New Roman" w:hAnsi="Times New Roman"/>
          <w:sz w:val="18"/>
          <w:szCs w:val="18"/>
          <w:color w:val="auto"/>
        </w:rPr>
        <w:t>Investments in equity securities of approximately 50 to 80 companies benchmarked to the Russell 3000 Value Index.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Multi-Asset</w:t>
      </w:r>
    </w:p>
    <w:p>
      <w:pPr>
        <w:spacing w:after="0" w:line="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Multi-Asset team employs an investment process that applies top-down views across asset classes along with bottom-up security selection, utilizing quantitative and fundamental tools to evaluate macro, micro and technical conditions across a range of asset classes. Our outcome-oriented solutions utilize strategic and tactical allocations as well as a discipline focused on managing downside risks.</w:t>
      </w:r>
    </w:p>
    <w:p>
      <w:pPr>
        <w:spacing w:after="0" w:line="68"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team draws on the proprietary fundamental research of Westwood’s investment teams in order to identify securities with attractive risk-adjusted return profiles across a broad spectrum of income-producing securities. The principal investment strategies currently managed by the Multi-Asset team are as follows:</w:t>
      </w:r>
    </w:p>
    <w:p>
      <w:pPr>
        <w:spacing w:after="0" w:line="66" w:lineRule="exact"/>
        <w:rPr>
          <w:sz w:val="20"/>
          <w:szCs w:val="20"/>
          <w:color w:val="auto"/>
        </w:rPr>
      </w:pPr>
    </w:p>
    <w:p>
      <w:pPr>
        <w:ind w:right="12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Income Opportunity: </w:t>
      </w:r>
      <w:r>
        <w:rPr>
          <w:rFonts w:ascii="Times New Roman" w:cs="Times New Roman" w:eastAsia="Times New Roman" w:hAnsi="Times New Roman"/>
          <w:sz w:val="17"/>
          <w:szCs w:val="17"/>
          <w:color w:val="auto"/>
        </w:rPr>
        <w:t>Multi-Asset strategy that invests across multiple fixed income sectors, including convertibles and income-producing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Typically invests in a range of asset types with the equity component usually comprising between approximately 30% and 50% of this strategy.</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Total Return: </w:t>
      </w:r>
      <w:r>
        <w:rPr>
          <w:rFonts w:ascii="Times New Roman" w:cs="Times New Roman" w:eastAsia="Times New Roman" w:hAnsi="Times New Roman"/>
          <w:sz w:val="18"/>
          <w:szCs w:val="18"/>
          <w:color w:val="auto"/>
        </w:rPr>
        <w:t>Multi-Asset strategy that invests across multiple bond sectors, including convertibles and income producing equity securities.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Typically invests in a range of asset types with the equity component usually comprising between approximately 50% and 70% of this strategy.</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High Income: </w:t>
      </w:r>
      <w:r>
        <w:rPr>
          <w:rFonts w:ascii="Times New Roman" w:cs="Times New Roman" w:eastAsia="Times New Roman" w:hAnsi="Times New Roman"/>
          <w:sz w:val="18"/>
          <w:szCs w:val="18"/>
          <w:color w:val="auto"/>
        </w:rPr>
        <w:t>Multi-Asset strategy that invests across multiple bond sectors, including convertibles and income-producing equity securities.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Typically invests in a range of asset types with the equity component usually comprising between approximately 15% and 30% of this strategy.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Energy and Real Assets</w:t>
      </w:r>
    </w:p>
    <w:p>
      <w:pPr>
        <w:spacing w:after="0" w:line="11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Energy and Real Assets team employs an investment approach designed to provide access to a broad universe of Master Limited Partnerships ("MLPs") and MLP-related companies, including midstream and other energy infrastructure companies, with the potential to capture a range of energy infrastructure opportunities. The portfolio managers consider the primary risk factors for midstream energy infrastructure companies to be equity markets, high yield spreads, commodity prices and interest rates. The team monitors and discusses changes in these risk factors on a daily basis. The firm utilizes quantitative models to measure valuations, momentum and other risk attributes. The investment team monitors key risk factors for each company and the overall market and positions portfolios accordingly to align with their portfolio management philosophy. The principal investment strategy currently managed by the Energy and Real Asset team is as follows:</w:t>
      </w:r>
    </w:p>
    <w:p>
      <w:pPr>
        <w:spacing w:after="0" w:line="79" w:lineRule="exact"/>
        <w:rPr>
          <w:sz w:val="20"/>
          <w:szCs w:val="20"/>
          <w:color w:val="auto"/>
        </w:rPr>
      </w:pPr>
    </w:p>
    <w:p>
      <w:pPr>
        <w:ind w:right="7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MLP &amp; Energy Infrastructure: </w:t>
      </w:r>
      <w:r>
        <w:rPr>
          <w:rFonts w:ascii="Times New Roman" w:cs="Times New Roman" w:eastAsia="Times New Roman" w:hAnsi="Times New Roman"/>
          <w:sz w:val="18"/>
          <w:szCs w:val="18"/>
          <w:color w:val="auto"/>
        </w:rPr>
        <w:t>Offers access to a wide universe of MLPs and MLP-related companies with the potential to capture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opportunities.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Tactical Absolute Return</w:t>
      </w:r>
    </w:p>
    <w:p>
      <w:pPr>
        <w:spacing w:after="0" w:line="11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Tactical Absolute Return strategies are subadvised by Broadmark. These strategies seek to deliver positive absolute returns through market cycles. We believe that tactical portfolio allocation can actively manage market exposure by adapting to economic conditions and internal market momentum. These strategies may appeal to clients who believe that it may be unwise to be fully invested in equities during periods of intense speculation and monetary tightening within an overvalued market. We also find other market environments in which we believe investors should be fully invested and even overweight higher beta sectors and indices. Our goal is to be in concert with the overall economic/business cycle.</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Broadmark’s investment process is grounded in four pillars. The first three pillars – valuation, monetary policy and investor sentiment — are qualitative in nature. The fourth pillar is a quantitative assessment of volume and breadth-based momentum. Using a combination of these qualitative and quantitative metrics, Broadmark seeks to manage risk and enhance alpha by tactically phasing into and out of major equity cycles. Broadmark invests primarily in a diversified portfolio of exchange-traded funds ("ETFs") and instruments providing exposure to indices, sectors and industries based on this four-pillar process. The investment team may tactically deploy leveraged investment techniques as well as short positions that allow a net exposure ranging from net long to net short depending on the strategy.</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xml:space="preserve">Tactical Growth: </w:t>
      </w:r>
      <w:r>
        <w:rPr>
          <w:rFonts w:ascii="Times New Roman" w:cs="Times New Roman" w:eastAsia="Times New Roman" w:hAnsi="Times New Roman"/>
          <w:sz w:val="18"/>
          <w:szCs w:val="18"/>
          <w:color w:val="auto"/>
        </w:rPr>
        <w:t>Strategy that actively manages equity market exposure through the use of ETFs and other index-based instruments. Seeks to</w:t>
      </w:r>
    </w:p>
    <w:p>
      <w:pPr>
        <w:spacing w:after="0" w:line="2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produce above-average, risk-adjusted returns, in all market environments, while exhibiting less downside volatility than the S&amp;P 500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It is designed to help investors sidestep market downturns, while attempting to participate in its growth via continuous active management of portfolio market exposure.</w:t>
      </w:r>
    </w:p>
    <w:p>
      <w:pPr>
        <w:spacing w:after="0" w:line="88" w:lineRule="exact"/>
        <w:rPr>
          <w:sz w:val="20"/>
          <w:szCs w:val="20"/>
          <w:color w:val="auto"/>
        </w:rPr>
      </w:pPr>
    </w:p>
    <w:p>
      <w:pPr>
        <w:ind w:right="160"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Tactical Plus: </w:t>
      </w:r>
      <w:r>
        <w:rPr>
          <w:rFonts w:ascii="Times New Roman" w:cs="Times New Roman" w:eastAsia="Times New Roman" w:hAnsi="Times New Roman"/>
          <w:sz w:val="18"/>
          <w:szCs w:val="18"/>
          <w:color w:val="auto"/>
        </w:rPr>
        <w:t>Strategy that actively manages equity market exposure by primarily investing in equity-based futures, ETFs and options. Seeks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above-average, risk-adjusted returns, in any market environment while exhibiting less downside volatility than the S&amp;P 500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by investing primarily in a diversified portfolio of instruments with exposure to</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5" w:name="page6"/>
    <w:bookmarkEnd w:id="5"/>
    <w:p>
      <w:pPr>
        <w:ind w:right="640"/>
        <w:spacing w:after="0" w:line="282" w:lineRule="auto"/>
        <w:rPr>
          <w:sz w:val="20"/>
          <w:szCs w:val="20"/>
          <w:color w:val="auto"/>
        </w:rPr>
      </w:pPr>
      <w:r>
        <w:rPr>
          <w:rFonts w:ascii="Times New Roman" w:cs="Times New Roman" w:eastAsia="Times New Roman" w:hAnsi="Times New Roman"/>
          <w:sz w:val="18"/>
          <w:szCs w:val="18"/>
          <w:color w:val="auto"/>
        </w:rPr>
        <w:t>U.S. and non-U.S. equity securities. It is designed to help investors sidestep market downturns, while attempting to participate in its growth via the continuous and active management of portfolio market exposure.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Alternatives</w:t>
      </w:r>
    </w:p>
    <w:p>
      <w:pPr>
        <w:spacing w:after="0" w:line="11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Multi-Asset team manages our Alternative Income strategy, and our Real Estate team manages our Select Income and Global Real Estate strategies. We believe alternative approaches to income investing can provide diversified sources of risk and return and potentially reduce volatility. Absolute return-oriented and yield-focused strategies for investing in securities not typically found in traditional fixed income portfolios can help investors produce returns from non-traditional sources with low correlation and enhanced portfolio diversification.</w:t>
      </w:r>
    </w:p>
    <w:p>
      <w:pPr>
        <w:spacing w:after="0" w:line="7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Alternative Income: </w:t>
      </w:r>
      <w:r>
        <w:rPr>
          <w:rFonts w:ascii="Times New Roman" w:cs="Times New Roman" w:eastAsia="Times New Roman" w:hAnsi="Times New Roman"/>
          <w:sz w:val="18"/>
          <w:szCs w:val="18"/>
          <w:color w:val="auto"/>
        </w:rPr>
        <w:t>We believe a market-neutral approach utilizing convertible arbitrage and opportunistic fixed income can serve as a complement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bond allocations. Our framework consists of three primary sources of return that aim to neutralize systematic risk. We employ a multi-strategy process seeking to generate positive absolute returns through a short duration yield portfolio of global convertible securities, convertible arbitrage and macro-hedging.</w:t>
      </w:r>
    </w:p>
    <w:p>
      <w:pPr>
        <w:spacing w:after="0" w:line="72" w:lineRule="exact"/>
        <w:rPr>
          <w:sz w:val="20"/>
          <w:szCs w:val="20"/>
          <w:color w:val="auto"/>
        </w:rPr>
      </w:pPr>
    </w:p>
    <w:p>
      <w:pPr>
        <w:jc w:val="both"/>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Select Income: </w:t>
      </w:r>
      <w:r>
        <w:rPr>
          <w:rFonts w:ascii="Times New Roman" w:cs="Times New Roman" w:eastAsia="Times New Roman" w:hAnsi="Times New Roman"/>
          <w:sz w:val="18"/>
          <w:szCs w:val="18"/>
          <w:color w:val="auto"/>
        </w:rPr>
        <w:t>Seeks to produce consistent high income from non-traditional publicly traded securities. Invests in senior securities and high-income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equities primarily issued by real estate investment companies, (i.e., real estate investment trust preferred securities), but can also diversify among preferred stocks, common stocks and bonds to seek income and total return.</w:t>
      </w:r>
    </w:p>
    <w:p>
      <w:pPr>
        <w:spacing w:after="0" w:line="6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Global Real Estate: </w:t>
      </w:r>
      <w:r>
        <w:rPr>
          <w:rFonts w:ascii="Times New Roman" w:cs="Times New Roman" w:eastAsia="Times New Roman" w:hAnsi="Times New Roman"/>
          <w:sz w:val="18"/>
          <w:szCs w:val="18"/>
          <w:color w:val="auto"/>
        </w:rPr>
        <w:t>Invests primarily in high-quality commercial and residential real estate companies located in the U.S. and non-U.S.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can potentially serve as inflation-protected income vs. traditional income-oriented securities. Approaches stock selection with an emphasis on superior property location and quality, strong prospects for appreciation in property rents and values, and management’s track record for adding value. Utilizes a rigorous, repeatable, bottom-up investment approach incorporating quantitative and qualitative analyses of company cash flows, assets and management.</w:t>
      </w:r>
    </w:p>
    <w:p>
      <w:pPr>
        <w:spacing w:after="0" w:line="7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grow AUM is primarily dependent on our competitive investment performance and our success in building strong relationships with our clients, investment consulting firms, financial intermediaries and RIAs. We continually seek to expand AUM by organically growing our existing investment strategies and by adding new products as evidenced by our Salient Acquisition in November 2022 and our subsequent acquisition of a controlling interest in Broadmark in 2023. The Salient Acquisition expanded our product portfolio to serve financial intermediaries and institutional clients with additional product offerings, including Energy and Real Assets, Tactical Absolute Return, and Income Alternatives. We will continue to focus on organic product initiatives to grow our investment strategies while considering new investment strategies via acquisitions or from third parties, as discussed under "Growth Strategy" below. Our growth strategy provides clients with more investment opportunities and diversifies our AUM and revenue sources, thereby reducing risk in any one area of investment and increasing our competitive ability to attract new clients. Our ten largest clients accounted for approximately 21% of our fee revenues for the year ended December 31, 2023. The loss of some or all of these large clients could have a material adverse effect on our business and our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Investment Solutions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newest investment team, Managed Investment Solutions, joined us in late 2023, and focuses on tailoring investment solutions to a diverse array of individual institutional risk/reward tolerances and investment approaches. The team’s unique approach blends active design with passive implementation and is intended to provide differentiated value for Westwood clients. Prospective clients for this service include public plans, sovereign wealth funds, corporate pension plans, defined contribution plans, endowments, foundations, consultant groups and wealth investors.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and Sub-advisory Agreements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Westwood Management manages client accounts under investment advisory and sub-advisory agreements. As is typical for the asset management industry, these agreements are usually terminable upon short notice and provide for revenues based on the market value of client AUM. Advisory fees are paid quarterly in advance based on AUM on the last day of the preceding quarter, quarterly in arrears based on AUM on the last day of the quarter just ended or based on a daily or monthly average of AUM for the stated period. Certain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party to sub-advisory agreements with other investment advisers under which it performs similar services under advisory agreements. Our sub-advisory fees are generally computed based upon the average daily AUM and are payable on a monthly basis.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7"/>
          <w:szCs w:val="17"/>
          <w:color w:val="auto"/>
        </w:rPr>
        <w:t>Westwood Management provides investment advisory services to the Westwood Funds® family of mutual funds:</w:t>
      </w:r>
    </w:p>
    <w:p>
      <w:pPr>
        <w:sectPr>
          <w:pgSz w:w="11900" w:h="16838" w:orient="portrait"/>
          <w:cols w:equalWidth="0" w:num="1">
            <w:col w:w="11200"/>
          </w:cols>
          <w:pgMar w:left="320" w:top="999" w:right="379" w:bottom="1440" w:gutter="0" w:footer="0" w:header="0"/>
        </w:sectPr>
      </w:pPr>
    </w:p>
    <w:p>
      <w:pPr>
        <w:spacing w:after="0" w:line="66"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6"/>
          <w:szCs w:val="16"/>
          <w:color w:val="auto"/>
        </w:rPr>
        <w:t>Westwood Alternative Income (WMNIX)</w:t>
      </w:r>
    </w:p>
    <w:p>
      <w:pPr>
        <w:spacing w:after="0" w:line="32"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Westwood Broadmark Tactical Plus (SBTIX)</w:t>
      </w:r>
    </w:p>
    <w:p>
      <w:pPr>
        <w:spacing w:after="0" w:line="44"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Westwood Broadmark Tactical Growth (FTGWX)</w:t>
      </w:r>
    </w:p>
    <w:p>
      <w:pPr>
        <w:spacing w:after="0" w:line="44"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Westwood High Income (WHGHX)</w:t>
      </w:r>
    </w:p>
    <w:p>
      <w:pPr>
        <w:spacing w:after="0" w:line="44"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6"/>
          <w:szCs w:val="16"/>
          <w:color w:val="auto"/>
        </w:rPr>
        <w:t>Westwood Income Opportunity (WHGIX)</w:t>
      </w:r>
    </w:p>
    <w:p>
      <w:pPr>
        <w:spacing w:after="0" w:line="32"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6"/>
          <w:szCs w:val="16"/>
          <w:color w:val="auto"/>
        </w:rPr>
        <w:t>Westwood Quality AllCap (WQAIX)</w:t>
      </w:r>
    </w:p>
    <w:p>
      <w:pPr>
        <w:spacing w:after="0" w:line="32" w:lineRule="exact"/>
        <w:rPr>
          <w:sz w:val="20"/>
          <w:szCs w:val="20"/>
          <w:color w:val="auto"/>
        </w:rPr>
      </w:pPr>
    </w:p>
    <w:p>
      <w:pPr>
        <w:ind w:left="120"/>
        <w:spacing w:after="0"/>
        <w:tabs>
          <w:tab w:leader="none" w:pos="3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6"/>
          <w:szCs w:val="16"/>
          <w:color w:val="auto"/>
        </w:rPr>
        <w:t>Westwood Quality MidCap (WWMCX)</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Quality SmallCap (WHGSX)</w:t>
      </w:r>
    </w:p>
    <w:p>
      <w:pPr>
        <w:spacing w:after="0" w:line="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Quality SMidCap (WHGMX)</w:t>
      </w:r>
    </w:p>
    <w:p>
      <w:pPr>
        <w:spacing w:after="0" w:line="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Quality Value (WHGLX)</w:t>
      </w:r>
    </w:p>
    <w:p>
      <w:pPr>
        <w:spacing w:after="0" w:line="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Salient Global Real Estate (KIRYX)</w:t>
      </w:r>
    </w:p>
    <w:p>
      <w:pPr>
        <w:spacing w:after="0" w:line="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Salient MLP &amp; Energy Infrastructure (SMLPX)</w:t>
      </w:r>
    </w:p>
    <w:p>
      <w:pPr>
        <w:spacing w:after="0" w:line="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Select Income (KIFYX)</w:t>
      </w:r>
    </w:p>
    <w:p>
      <w:pPr>
        <w:spacing w:after="0" w:line="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Westwood Total Return (WLVIX)</w:t>
      </w:r>
    </w:p>
    <w:p>
      <w:pPr>
        <w:spacing w:after="0" w:line="200" w:lineRule="exact"/>
        <w:rPr>
          <w:sz w:val="20"/>
          <w:szCs w:val="20"/>
          <w:color w:val="auto"/>
        </w:rPr>
      </w:pPr>
    </w:p>
    <w:p>
      <w:pPr>
        <w:sectPr>
          <w:pgSz w:w="11900" w:h="16838" w:orient="portrait"/>
          <w:cols w:equalWidth="0" w:num="2">
            <w:col w:w="4740" w:space="720"/>
            <w:col w:w="5740"/>
          </w:cols>
          <w:pgMar w:left="320" w:top="999" w:right="379" w:bottom="1440" w:gutter="0" w:footer="0" w:header="0"/>
          <w:type w:val="continuous"/>
        </w:sectPr>
      </w:pP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AUM in the Westwood Funds® totaled $4.1 billion.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Westwood Trust provides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Services</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Services</w:t>
      </w:r>
    </w:p>
    <w:p>
      <w:pPr>
        <w:spacing w:after="0" w:line="11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Westwood Trust utilizes a consultative approach in developing a portfolio asset allocation for individual clients.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the risk/return profiles of client investment portfolios by offering a comprehensive investment solution or by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our internal investment teams. Fixed income portfolios consist of targeted "laddered" portfolios of primarily high-quality municipal securities and Treasury bills.</w:t>
      </w:r>
    </w:p>
    <w:p>
      <w:pPr>
        <w:spacing w:after="0" w:line="8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most of the investment strategies managed by Westwood Management.</w:t>
      </w:r>
    </w:p>
    <w:p>
      <w:pPr>
        <w:spacing w:after="0" w:line="68"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Westwood Trust also develops asset allocation models for certain clients utilizing its commingled funds, mutual funds managed by Westwood Management and non-affiliated mutual funds.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Enhanced Balanced® Portfolios</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any given level of risk. Periodic adjustments are made to asset class weightings in Enhanced Balanced® portfolios based on historical returns, risk and correlation data, and our current capital markets outlook.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 Equity Strategy</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Westwood Select Equity strategy aims to provide low-frequency turnover and tax efficiency to high net worth individuals. The offering allows individuals to own a diversified portfolio of best ideas from across Westwood's investment teams. The portfolios include value and growth stocks, along with small-, mid- and large-cap stocks. Westwood Select Equity is also available without the tax efficiency overlay.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Select Strategy</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7" w:name="page8"/>
    <w:bookmarkEnd w:id="7"/>
    <w:p>
      <w:pPr>
        <w:ind w:firstLine="486"/>
        <w:spacing w:after="0" w:line="282" w:lineRule="auto"/>
        <w:rPr>
          <w:sz w:val="20"/>
          <w:szCs w:val="20"/>
          <w:color w:val="auto"/>
        </w:rPr>
      </w:pPr>
      <w:r>
        <w:rPr>
          <w:rFonts w:ascii="Times New Roman" w:cs="Times New Roman" w:eastAsia="Times New Roman" w:hAnsi="Times New Roman"/>
          <w:sz w:val="18"/>
          <w:szCs w:val="18"/>
          <w:color w:val="auto"/>
        </w:rPr>
        <w:t>The Westwood Dividend Select strategy aims to provide dividend income to investors. The offering allows investors to own a diversified portfolio of dividend-producing equity securities. The portfolios primarily include value stocks, along with mid- and large-cap stocks.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Alpha Strategy</w:t>
      </w:r>
    </w:p>
    <w:p>
      <w:pPr>
        <w:spacing w:after="0" w:line="11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Westwood High Alpha strategy aims to provide long-term appreciation to investors. The offering allows investors to own a concentrated portfolio of securities to provide higher returns commensurate with higher volatility. The portfolios primarily include growth stocks in the mid- to large-capitalization range.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Westwood Management investment funds and advisory services are distributed through two primary market channels - Institutional and Intermediary. Our Distribution sales and support infrastructure supports marketing and client service in both channels. Westwood Wealth Management provides wealth and investment management solutions primarily to individuals and utilizes both Westwood Management and external investment management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Institutional</w:t>
      </w:r>
    </w:p>
    <w:p>
      <w:pPr>
        <w:spacing w:after="0" w:line="11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institutional team markets Westwood funds and advisory and sub-advisory services to defined benefit and defined contribution corporate and public plan sponsors, foundations and endowments, financial institutions and investment consultants. We maintain strong relationships with many global, national and regional investment consulting firms, which have contributed to our being considered and hired by their clients. By leveraging these relationships, we can offer our strategies within select defined contribution and other retirement plans where clients utilize mutual fund vehicles. Sub-advising funds of other financial institutions allows us to extend our marketing reach using other firms' distribution systems.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Intermediary and Retail</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the intermediary and retail channel, our team directly markets our investment services, including the Westwood Funds®, to financial intermediaries, RIAs, broker-dealers, turnkey asset management programs and select mutual fund platforms. We also focus on expanding our relationships with financial intermediaries that manage discretionary mutual fund models. Our Intermediary sales team markets our mutual funds and separately managed accounts directly to select broker-dealers and RIAs.</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Managed accounts are somewhat similar to mutual fund relationships in that a third-party financial institution, such as a broker-dealer or RIA, trades securities using our model. The typical managed account client is a high net worth individual or small institution that prefers to own shares directly, rather than in a mutual fund. In these arrangements, the third-party financial institution is responsible to the end client for client service, operations and accounting.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Wealth Management</w:t>
      </w:r>
    </w:p>
    <w:p>
      <w:pPr>
        <w:spacing w:after="0" w:line="11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w:t>
      </w:r>
    </w:p>
    <w:p>
      <w:pPr>
        <w:spacing w:after="0" w:line="121" w:lineRule="exact"/>
        <w:rPr>
          <w:sz w:val="20"/>
          <w:szCs w:val="20"/>
          <w:color w:val="auto"/>
        </w:rPr>
      </w:pPr>
    </w:p>
    <w:p>
      <w:pPr>
        <w:jc w:val="both"/>
        <w:ind w:right="860" w:firstLine="486"/>
        <w:spacing w:after="0" w:line="312" w:lineRule="auto"/>
        <w:rPr>
          <w:sz w:val="20"/>
          <w:szCs w:val="20"/>
          <w:color w:val="auto"/>
        </w:rPr>
      </w:pPr>
      <w:r>
        <w:rPr>
          <w:rFonts w:ascii="Times New Roman" w:cs="Times New Roman" w:eastAsia="Times New Roman" w:hAnsi="Times New Roman"/>
          <w:sz w:val="17"/>
          <w:szCs w:val="17"/>
          <w:color w:val="auto"/>
        </w:rPr>
        <w:t>We believe we have established a strong platform to support future growth, deriving strength from the experience and capabilities of our management team and our skilled investment and client professionals. We believe opportunities for future growth will come from our ability to:</w:t>
      </w:r>
    </w:p>
    <w:p>
      <w:pPr>
        <w:spacing w:after="0" w:line="32"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growth in our investment management platform from new and existing clients and consultant relationships, while expanding intermediary distribution;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assets in our existing investment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our digital capabilities;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continued growth of the wealth management platform and distribution channel;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expanded intermediary distribution;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corporate development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strengthen our brand name;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acquire new investment strategies.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8" w:name="page9"/>
    <w:bookmarkEnd w:id="8"/>
    <w:p>
      <w:pPr>
        <w:ind w:right="2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Generate growth from new and existing clients and consultant relationships, while expanding intermediary distribution</w:t>
      </w:r>
      <w:r>
        <w:rPr>
          <w:rFonts w:ascii="Times New Roman" w:cs="Times New Roman" w:eastAsia="Times New Roman" w:hAnsi="Times New Roman"/>
          <w:sz w:val="18"/>
          <w:szCs w:val="18"/>
          <w:color w:val="auto"/>
        </w:rPr>
        <w:t>. As our primary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 we intend to maintain and enhance existing relationships with clients, investment consultants and intermediaries by providing value-added investment performance and client service. Over the last few years, we have expanded and restructured our distribution team to improve our proactive sales and client engagement strategy. We intend to pursue growth via targeted sales and marketing efforts that showcase our boutique offerings across our product platform with consistent investment performance and superior client service. New institutional client accounts are sourced from investment consultants or from our direct sales efforts with institutional investors. The Salient Acquisition has significantly expanded our product range and distribution capabilities. We intend to leverage this increased scale and broader product availability to enhance offerings to institutional, intermediary and wealth management clients. We believe a key factor leading to our being considered for new client mandates and platform placements is the in-depth knowledge of our firm, our people and our processes currently embedded in our consultant and platform relationships and being developed in prospective relationships.</w:t>
      </w:r>
    </w:p>
    <w:p>
      <w:pPr>
        <w:spacing w:after="0" w:line="7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Attract and retain key employees</w:t>
      </w:r>
      <w:r>
        <w:rPr>
          <w:rFonts w:ascii="Times New Roman" w:cs="Times New Roman" w:eastAsia="Times New Roman" w:hAnsi="Times New Roman"/>
          <w:sz w:val="18"/>
          <w:szCs w:val="18"/>
          <w:color w:val="auto"/>
        </w:rPr>
        <w:t>. We believe we have created a workplace environment in which motivated, performance-driven and client-oriented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can thrive. As a public company, we offer our employees a compensation program that includes strong equity incentives to closely align their success with that of our clients and stockholders. We believe these factors are critical to maintaining a stable, client-focused environment that can support future growth.</w:t>
      </w:r>
    </w:p>
    <w:p>
      <w:pPr>
        <w:spacing w:after="0" w:line="72"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Grow assets in our existing investment strategies</w:t>
      </w:r>
      <w:r>
        <w:rPr>
          <w:rFonts w:ascii="Times New Roman" w:cs="Times New Roman" w:eastAsia="Times New Roman" w:hAnsi="Times New Roman"/>
          <w:sz w:val="18"/>
          <w:szCs w:val="18"/>
          <w:color w:val="auto"/>
        </w:rPr>
        <w:t>. We have significant capacity to manage additional assets across the investment strategies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leveraging the core competencies of our U.S. Value Equity and Multi-Asset teams. We have considerably expanded our range of investment strategies by adding Energy and Real Assets, Tactical Absolute Return and Select Income as a result of the Salient Acquisition.</w:t>
      </w:r>
    </w:p>
    <w:p>
      <w:pPr>
        <w:spacing w:after="0" w:line="6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Continue to enhance our digital capabilities. </w:t>
      </w:r>
      <w:r>
        <w:rPr>
          <w:rFonts w:ascii="Times New Roman" w:cs="Times New Roman" w:eastAsia="Times New Roman" w:hAnsi="Times New Roman"/>
          <w:sz w:val="18"/>
          <w:szCs w:val="18"/>
          <w:color w:val="auto"/>
        </w:rPr>
        <w:t>Over the past several years, we have invested significantly to enhance our automation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We moved our technology infrastructure to secure, cloud-based access, created a data warehouse to improve our investment operations workflow, upgraded our trade order management and trade compliance systems, digitized our portfolio accounting and reconciliation system, and outsourced our trading function. We also developed digital client portals for our institutional and wealth management clients. We believe these investments position us to improve efficiencies and better respond to consumer demand for digital interaction with investment advisors.</w:t>
      </w:r>
    </w:p>
    <w:p>
      <w:pPr>
        <w:spacing w:after="0" w:line="75" w:lineRule="exact"/>
        <w:rPr>
          <w:sz w:val="20"/>
          <w:szCs w:val="20"/>
          <w:color w:val="auto"/>
        </w:rPr>
      </w:pPr>
    </w:p>
    <w:p>
      <w:pPr>
        <w:ind w:right="160" w:firstLine="486"/>
        <w:spacing w:after="0" w:line="280" w:lineRule="auto"/>
        <w:rPr>
          <w:sz w:val="20"/>
          <w:szCs w:val="20"/>
          <w:color w:val="auto"/>
        </w:rPr>
      </w:pPr>
      <w:r>
        <w:rPr>
          <w:rFonts w:ascii="Times New Roman" w:cs="Times New Roman" w:eastAsia="Times New Roman" w:hAnsi="Times New Roman"/>
          <w:sz w:val="17"/>
          <w:szCs w:val="17"/>
          <w:i w:val="1"/>
          <w:iCs w:val="1"/>
          <w:color w:val="auto"/>
        </w:rPr>
        <w:t xml:space="preserve">Foster continued growth of the wealth management platform and distribution channel. </w:t>
      </w:r>
      <w:r>
        <w:rPr>
          <w:rFonts w:ascii="Times New Roman" w:cs="Times New Roman" w:eastAsia="Times New Roman" w:hAnsi="Times New Roman"/>
          <w:sz w:val="17"/>
          <w:szCs w:val="17"/>
          <w:color w:val="auto"/>
        </w:rPr>
        <w:t>Westwood Trust serves high net worth individuals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families as well as small to medium-sized institutions. We anticipate continued interest from clients and prospective clients in our holistic wealth management model. A significant percentage of Westwood Trust’s asset inflows stems from referrals along with gathering additional assets from existing</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clients. We believe our Enhanced Balanced</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color w:val="auto"/>
        </w:rPr>
        <w:t xml:space="preserve"> strategy, which offers comprehensive, diversified exposure to multiple asset classes, our Select Equity strategy offering diversified equity exposure in a tax-efficient manner, and our separately managed portfolio offerings together provide opportunities for growth.</w:t>
      </w:r>
    </w:p>
    <w:p>
      <w:pPr>
        <w:spacing w:after="0" w:line="79"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Foster expanded intermediary distribution</w:t>
      </w:r>
      <w:r>
        <w:rPr>
          <w:rFonts w:ascii="Times New Roman" w:cs="Times New Roman" w:eastAsia="Times New Roman" w:hAnsi="Times New Roman"/>
          <w:sz w:val="18"/>
          <w:szCs w:val="18"/>
          <w:color w:val="auto"/>
        </w:rPr>
        <w:t>. For the past several years, we have expanded our geographic approach and focused coverage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intermediary distribution, building up our intermediary sales team to extend our reach and accelerate growth in top markets. As a result of the Salient Acquisition, we have again expanded our sales and marketing resources to accelerate growth geographically and across market segments via third-party platforms. We believe that providing investors with access to our mutual funds and separately managed accounts is a key component to achieving asset growth in the defined contribution and retirement marketplaces as well as with RIAs and select broker-dealers.</w:t>
      </w:r>
    </w:p>
    <w:p>
      <w:pPr>
        <w:spacing w:after="0" w:line="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Pursue strategic corporate development opportunities. </w:t>
      </w:r>
      <w:r>
        <w:rPr>
          <w:rFonts w:ascii="Times New Roman" w:cs="Times New Roman" w:eastAsia="Times New Roman" w:hAnsi="Times New Roman"/>
          <w:sz w:val="18"/>
          <w:szCs w:val="18"/>
          <w:color w:val="auto"/>
        </w:rPr>
        <w:t>We continually evaluate strategic corporate development opportunities to augment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growth. We may pursue a variety of transactions, including acquisitions of asset management firms, mutual funds, wealth management firms or other financial institutions, as well as hiring investment professionals or teams. We consider opportunities that can enhance our existing operations, expand our range of investment strategies and services, or further develop our distribution capabilities. By acquiring investment firms or by hiring investment professionals or teams that successfully manage investment strategies outside our current areas of expertise, we can attract new clients and provide existing clients with even more diversified investment strategies. We may also consider forging alliances with other financial services or technology firms to leverage our core competency of developing and managing investment strategies with partners that can provide enhanced distribution capabilities or additional service offerings.</w:t>
      </w:r>
    </w:p>
    <w:p>
      <w:pPr>
        <w:spacing w:after="0" w:line="7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strengthen our brand name. </w:t>
      </w:r>
      <w:r>
        <w:rPr>
          <w:rFonts w:ascii="Times New Roman" w:cs="Times New Roman" w:eastAsia="Times New Roman" w:hAnsi="Times New Roman"/>
          <w:sz w:val="18"/>
          <w:szCs w:val="18"/>
          <w:color w:val="auto"/>
        </w:rPr>
        <w:t>We believe that the strength of our brand name has been a key component to our long-term success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industry and will be instrumental to our future success. We have developed a strong brand name largely through our performance, coupled with high-profile coverage in investment publications and electronic media. Many of our investment professionals have been prominent in print and electronic media, and we will continue to use creative ways to strengthen our brand name and reputation in our target markets.</w:t>
      </w:r>
    </w:p>
    <w:p>
      <w:pPr>
        <w:spacing w:after="0" w:line="72"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Develop or acquire new investment strategies. </w:t>
      </w:r>
      <w:r>
        <w:rPr>
          <w:rFonts w:ascii="Times New Roman" w:cs="Times New Roman" w:eastAsia="Times New Roman" w:hAnsi="Times New Roman"/>
          <w:sz w:val="18"/>
          <w:szCs w:val="18"/>
          <w:color w:val="auto"/>
        </w:rPr>
        <w:t>We continue to look for opportunities to expand the range of investment strategies we offer to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prospective clients. We may consider internally developed strategies that extend our existing investment process to new markets, asset classes or strategies, and we may also consider externally acquired investment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9" w:name="page10"/>
    <w:bookmarkEnd w:id="9"/>
    <w:p>
      <w:pPr>
        <w:ind w:right="380"/>
        <w:spacing w:after="0" w:line="282" w:lineRule="auto"/>
        <w:rPr>
          <w:sz w:val="20"/>
          <w:szCs w:val="20"/>
          <w:color w:val="auto"/>
        </w:rPr>
      </w:pPr>
      <w:r>
        <w:rPr>
          <w:rFonts w:ascii="Times New Roman" w:cs="Times New Roman" w:eastAsia="Times New Roman" w:hAnsi="Times New Roman"/>
          <w:sz w:val="18"/>
          <w:szCs w:val="18"/>
          <w:color w:val="auto"/>
        </w:rPr>
        <w:t>strategies. An expanded range of investment strategies offers additional ways to serve our client base, generating more diversified revenue streams and providing asset and revenue growth potential.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are subject to substantial and growing competition in all aspects of our business. Barriers to entry in the asset management business are relatively low and we expect more competitors in future. Many asset managers are larger, better known and have greater resources than us.</w:t>
      </w:r>
    </w:p>
    <w:p>
      <w:pPr>
        <w:spacing w:after="0" w:line="5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compete with other asset management firms on the basis of investment strategies, investment performance in absolute terms and relative to peer groups, quality of service, the levels of fees charged, attractive compensation offered to key employees and the way in which investment strategies are marketed. Many of our competitors offer more investment strategies and services than we do and many have substantially greater AUM.</w:t>
      </w:r>
    </w:p>
    <w:p>
      <w:pPr>
        <w:spacing w:after="0" w:line="6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compete against numerous investment dealers, banks, insurance companies, mutual fund companies, exchange-traded funds, brokerage and investment firms and others that sell equity funds, taxable income funds, tax-free investments and other investment products. The allocation of assets by many investors from active equity investing to index funds, fixed income or similar asset classes has enhanced the ability of firms offering non-equity asset classes and passive equity management to compete more effectively with us. The demand for passive strategies with low-fee structures has rapidly increased and investors frequently demand customized and personalized strategies to fit their investment needs. This shift in the marketplace may benefit competitors offering certain investment vehicles that we do not offer. In summary, our competitive landscape is intense and dynamic, which may affect our ability to compete successfully.</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Additionally, most prospective clients perform a thorough review of an investment manager’s background, investment policies and performance before committing assets. In many cases, prospective clients invite competing firms to make presentations. The process of obtaining a new client typically takes twelve to eighteen months from the time of initial contact. While we have achieved success in competing for clients, it is a process to which we dedicate significant resources over an extended period with no certainty of winning client mandates.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Management</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business is subject to regulation at federal and state levels by the SEC and other regulatory bodies. Westwood Management Corp. and Westwood Advisors, L.L.C. are registered with the SEC under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are also required to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8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receive soft dollar credits from certain broker-dealers that are used to pay for brokerage and research-related products,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ind w:right="340"/>
        <w:spacing w:after="0" w:line="266" w:lineRule="auto"/>
        <w:rPr>
          <w:sz w:val="20"/>
          <w:szCs w:val="20"/>
          <w:color w:val="auto"/>
        </w:rPr>
      </w:pPr>
      <w:r>
        <w:rPr>
          <w:rFonts w:ascii="Times New Roman" w:cs="Times New Roman" w:eastAsia="Times New Roman" w:hAnsi="Times New Roman"/>
          <w:sz w:val="18"/>
          <w:szCs w:val="18"/>
          <w:color w:val="auto"/>
        </w:rPr>
        <w:t>reduces certain company operating expenses. We intend to use soft dollars to pay only for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Trust</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7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capital maintenance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investments of restricted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and borrowing limitations;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against engaging in certain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fiduciary and information technology examinations by the Texas Department of Banking Commissioner;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periodic financial statements to the Texas Department of Banking Commissioner;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record keeping requirements; and</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regulatory approval for certain corporate events (such as mergers, the sale or purchase of all or substantially all trust company assets and transactions transferring control of a trust company).</w:t>
      </w:r>
    </w:p>
    <w:p>
      <w:pPr>
        <w:spacing w:after="0" w:line="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72"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Westwood Trust is limited by the Finance Code in the payment of dividends to undivided profits, which is described as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(the "Board"), Westwood Trust has made quarterly and special dividend payments, and other distributions, to Westwood Holdings Group, Inc. out of undivided profits.</w:t>
      </w:r>
    </w:p>
    <w:p>
      <w:pPr>
        <w:spacing w:after="0" w:line="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SEC Broker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Dealer Registration / FINRA Regulation</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SCLP is subject to regulation by the SEC, FINRA and various states. In addition, certain of our employees are registered with FINRA and such states and subject to SEC, state and FINRA regulation. The failure of this company and/or employees to comply with relevant regulation could have a material adverse effect on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Retirement Income Security Act of 1974</w:t>
      </w:r>
    </w:p>
    <w:p>
      <w:pPr>
        <w:spacing w:after="0" w:line="119"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health and safety of our employees is a high priority, consistent with our operating philosophy of focusing on transparency, effective corporate governance, life principles and giving back to the communities in which we live and work.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culture of diversity and inclusion enables us to develop and fully utilize the strengths of our people. As of December 31, 2023, approximately 43% of our workforce was female and minorities represented approximately 34% of our workforce.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2023, we had 145 full-time employees, all located in the U.S. No employees are represented by a labor union, and we believe our employee relations are favorable. As of December 31, 2023, approximately 16% of our employees held the Chartered Financial Analyst designation.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 ("ESG")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Core Principles</w:t>
      </w:r>
    </w:p>
    <w:p>
      <w:pPr>
        <w:spacing w:after="0" w:line="119" w:lineRule="exact"/>
        <w:rPr>
          <w:sz w:val="20"/>
          <w:szCs w:val="20"/>
          <w:color w:val="auto"/>
        </w:rPr>
      </w:pPr>
    </w:p>
    <w:p>
      <w:pPr>
        <w:ind w:firstLine="486"/>
        <w:spacing w:after="0" w:line="312" w:lineRule="auto"/>
        <w:rPr>
          <w:sz w:val="20"/>
          <w:szCs w:val="20"/>
          <w:color w:val="auto"/>
        </w:rPr>
      </w:pPr>
      <w:r>
        <w:rPr>
          <w:rFonts w:ascii="Times New Roman" w:cs="Times New Roman" w:eastAsia="Times New Roman" w:hAnsi="Times New Roman"/>
          <w:sz w:val="17"/>
          <w:szCs w:val="17"/>
          <w:color w:val="auto"/>
        </w:rPr>
        <w:t>Since inception, we have fostered a corporate culture focused on a set of core values. To keep us motivated, we have found inspiration in Coach John Wooden’s Pyramid of Success™ which helps all of us aspire to and maintain a culture of teamwork, integrity and putting client interests ahead of our own.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ESG focus is guided by the following six pillars: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investing;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include ESG pillars in the way we conduct our business and measure ourselves against them because it makes good sense. It improves our ability to create an environment that values true diversity, inclusiveness and transparency and ultimately supports long-term employee growth. Our focus on transparency, corporate governance, life principles, ethical conduct and giving back to the communities in which we operate is core to our values.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Westwood is committed to the successful integration and promotion of ESG at the corporate level and the investment level. We have separate governing structures to ensure that we have the necessary leadership to create and sustain a clear corporate strategy permeating our business. The separation of responsibilities among these governing structures ensures proper accountability across our firm.</w:t>
      </w:r>
    </w:p>
    <w:p>
      <w:pPr>
        <w:spacing w:after="0" w:line="68" w:lineRule="exact"/>
        <w:rPr>
          <w:sz w:val="20"/>
          <w:szCs w:val="20"/>
          <w:color w:val="auto"/>
        </w:rPr>
      </w:pPr>
    </w:p>
    <w:p>
      <w:pPr>
        <w:ind w:right="180" w:firstLine="486"/>
        <w:spacing w:after="0" w:line="281" w:lineRule="auto"/>
        <w:rPr>
          <w:sz w:val="20"/>
          <w:szCs w:val="20"/>
          <w:color w:val="auto"/>
        </w:rPr>
      </w:pPr>
      <w:r>
        <w:rPr>
          <w:rFonts w:ascii="Times New Roman" w:cs="Times New Roman" w:eastAsia="Times New Roman" w:hAnsi="Times New Roman"/>
          <w:sz w:val="17"/>
          <w:szCs w:val="17"/>
          <w:color w:val="auto"/>
        </w:rPr>
        <w:t>Westwood’s Board plays an important role to ensure that the interests of shareholders are being represented and that Westwood is fulfilling its fiduciary duties. The Board regularly interacts with management to ensure that stakeholder interests are properly considered. Management provides the Board with regular updates on our ESG efforts and collaboration between the Board and those responsible for ESG is key to our implementation strategy. Our Board benefits from deep industry experience and a majority of its members are independent which enables strong oversight of our business.</w:t>
      </w:r>
    </w:p>
    <w:p>
      <w:pPr>
        <w:spacing w:after="0" w:line="56"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Westwood’s ESG Steering Committee is responsible for ensuring the effective execution of our overall ESG strategy. Along with our CEO, this group sets the strategic direction for our ESG agenda, oversees implementation, and reviews our ESG strategy with our Board.</w:t>
      </w:r>
    </w:p>
    <w:p>
      <w:pPr>
        <w:spacing w:after="0" w:line="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have established two additional groups, a Responsible Investment Committee and a Corporate Responsibility Committee, to ensure we have the leadership required to create a clear corporate sustainability strategy across our business.</w:t>
      </w:r>
    </w:p>
    <w:p>
      <w:pPr>
        <w:spacing w:after="0" w:line="54"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The Responsible Investment Committee was established to consider matters related to the maintenance, development and implementation of our responsible investment practices in support of our ESG policy. The Corporate Responsibility Committee was established for the oversight and implementation of our corporate sustainability strategy and ESG policies. The Corporate Responsibility Committee governs as a cross-functional team designed to engage leadership across key corporate functions.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Responsible Investment / ESG Integration</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responsible investment commitment is evident in our investment approach across our investment solutions where we take a fundamental approach to identifying high-quality companies and sound businesses around the world. As an active asset manager, ESG issues are directly linked into our bottom-up, fundamental assessment of companies. Our fundamental, financial materiality-based approach to identifying high-quality companies and sound businesses around the world has always led our investment team to consider these issues in our fundamental analyses, which evaluate the merits of a company's strategy, downside risk and valuation. As ESG integration and evaluation techniques continue to evolve, we will adapt our analyses to ensure we comply with our fiduciary responsibilities at all times.</w:t>
      </w:r>
    </w:p>
    <w:p>
      <w:pPr>
        <w:spacing w:after="0" w:line="7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11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As part of our fundamental investment research process, our analysts conduct meetings with target company management and investor relations to understand strategy, execution and financial strength throughout the life of our investment. Meetings inform our investment analysis and amplify our understanding of a business’s ability to adapt to changing business environments. Meetings can take place in person, during investment conferences and video calls, and they build on long-standing relationships. Our understanding of material issues affecting the company is captured and shared in our valuation analysis and recommendations made by our Research Analysts.</w:t>
      </w:r>
    </w:p>
    <w:p>
      <w:pPr>
        <w:spacing w:after="0" w:line="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Westwood does not set and track engagement objectives. We engage on specific topics on a case-by-case basis and when ESG or other issues are of specific concern, our team seeks purposeful dialogue to understand how the company plans to address the issues which will then be viewed from a "tracking" perspective over time. Our engagement is generally conducted through direct dialogue between our investment professionals and company managements which provides a more constructive approach toward understanding issues and encouraging solutions that provide value to stakeholders.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w:t>
      </w:r>
    </w:p>
    <w:p>
      <w:pPr>
        <w:spacing w:after="0" w:line="11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Westwood views proxy voting rights as valuable portfolio assets. Our overarching principle is to exercise voting responsibilities solely in the best interests of our clients. We use proxy voting as a means of addressing corporate governance issues and identifying corporate actions that enhance shareholder value. Our process benefits from multiple inputs and directly involves our investment professionals.</w:t>
      </w:r>
    </w:p>
    <w:p>
      <w:pPr>
        <w:spacing w:after="0" w:line="6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Westwood uses guidelines from a third-party proxy research service, Glass, Lewis &amp; Co. ("Glass Lewis"), that we believe create value for our clients and cover most proxy issues. The Investment Operations Team, including the head of data governance, oversees the implementation of our proxy voting policy. Westwood’s Corporate Responsibility Committee, together with our investment team’s bi-monthly review of ballots, considers the proxy voting guidelines on environmental and social issues laid out by Glass Lewis’s policy to be in alignment with our financial-materiality-based view of ESG integration. Glass Lewis’s policy states that it will vote in when there is a clear link between the proposal and value enhancement or risk mitigation. Our goal is to vote all proxies and, in most cases, we agree with and follow the recommendations of our proxy research service however our Research Analysts review proxies bi-monthly and occasionally recommend a vote that differs from Glass Lewis. We vote against recommendations when we believe that it is in our clients’ best interests to do so. A summary of voting is sent to each client for whom proxies are voted on an annual basis.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 and Corporate Giving</w:t>
      </w:r>
    </w:p>
    <w:p>
      <w:pPr>
        <w:spacing w:after="0" w:line="11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Westwood has a long history of community involvement and support of local charitable causes. This involvement is a cornerstone of our culture, drives employee engagement and makes employees proud to work at Westwood. In honoring Westwood’s history of community involvement and support of local charitable causes, Westwood supports and partners with organizations that embrace activities that align with Westwood’s core values of teamwork, excellence, integrity and placement of client and stakeholder interests above our own. Every year, Westwood supports several charitable organizations financially and through employee volunteer efforts focused on issues that include education, children’s needs, homelessness, food insecurity and disaster relief.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At Westwood, we embrace caring for our communities and work hard to take care of the world around us. Westwood is committed to the responsible use, and protection of, our natural environment through conservation and sustainable practices that enhance ecosystem resilience, human well-being and ultimately our company’s strength and resiliency. Through our initiative to calculate our travel-related carbon footprint and buy offset carbon credits, we have begun to measure and offset greenhouse gas emissions. We are committed to offsetting our carbon emissions generated through air travel, a substantial portion of our emissions as an asset manager.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1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Diversity is an important part of our culture and identity; approximately 43% of our employees are women — many in senior positions — and approximately 34% of our employees self-identify as members of minority communities.</w:t>
      </w:r>
    </w:p>
    <w:p>
      <w:pPr>
        <w:spacing w:after="0" w:line="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Diversity, Equity and Inclusion concepts are an integral part of our history, culture and identity. Westwood was founded by a woman — a remarkable feat in 1983, when the finance industry had only a small percentage of women in the workforce. We embrace opportunity for individuals from all backgrounds and are committed to fostering an environment that values unique ideas, perspectives and experiences. We believe that, in such an environment, our employees feel valued, involved and empowered to do their best work, deliver the best possible service to our clients and meet their full potential.</w:t>
      </w:r>
    </w:p>
    <w:p>
      <w:pPr>
        <w:spacing w:after="0" w:line="23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3" w:name="page14"/>
    <w:bookmarkEnd w:id="13"/>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Investment Industry</w:t>
      </w:r>
    </w:p>
    <w:p>
      <w:pPr>
        <w:spacing w:after="0" w:line="117" w:lineRule="exact"/>
        <w:rPr>
          <w:sz w:val="20"/>
          <w:szCs w:val="20"/>
          <w:color w:val="auto"/>
        </w:rPr>
      </w:pPr>
    </w:p>
    <w:p>
      <w:pPr>
        <w:ind w:right="3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depend upon the market value and composition of AUM and AUA, which can fluctuate significantly based on various factors, some of which are beyond our control.</w:t>
      </w:r>
    </w:p>
    <w:p>
      <w:pPr>
        <w:spacing w:after="0" w:line="5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revenues are primarily generated from fees derived as a percentage of AUM and AUA. The value of our AUM and AUA can be negatively impacted by several factors, including:</w:t>
      </w:r>
    </w:p>
    <w:p>
      <w:pPr>
        <w:spacing w:after="0" w:line="54" w:lineRule="exact"/>
        <w:rPr>
          <w:sz w:val="20"/>
          <w:szCs w:val="20"/>
          <w:color w:val="auto"/>
        </w:rPr>
      </w:pPr>
    </w:p>
    <w:p>
      <w:pPr>
        <w:ind w:left="500" w:hanging="330"/>
        <w:spacing w:after="0" w:line="258"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75" w:lineRule="exact"/>
        <w:rPr>
          <w:rFonts w:ascii="Times New Roman" w:cs="Times New Roman" w:eastAsia="Times New Roman" w:hAnsi="Times New Roman"/>
          <w:sz w:val="18"/>
          <w:szCs w:val="18"/>
          <w:color w:val="auto"/>
        </w:rPr>
      </w:pPr>
    </w:p>
    <w:p>
      <w:pPr>
        <w:ind w:left="500" w:hanging="330"/>
        <w:spacing w:after="0" w:line="254"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 Because we compete with many asset management firms on the basis of our investment strategies, the maintenance and growth of AUM and AUA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may be a limit to the number of securities available for certain strategies to operate effectively. In those instances, we may choose to limit access to new or existing investors.</w:t>
      </w:r>
    </w:p>
    <w:p>
      <w:pPr>
        <w:spacing w:after="0" w:line="7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investment management and wealth management industry is highly competitive and innovative.</w:t>
      </w:r>
    </w:p>
    <w:p>
      <w:pPr>
        <w:spacing w:after="0" w:line="121"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investment management and wealth management industry is highly competitive based on a variety of factors, including investment performance, fee rates, continuity of investment professionals and client relationships, the quality of services provided to clients, corporate positioning, business reputation and differentiated products. A number of factors increase our competitive risks, including the following:</w:t>
      </w:r>
    </w:p>
    <w:p>
      <w:pPr>
        <w:spacing w:after="0" w:line="68"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competitors have a relatively low cost of entering the investment management industry;</w:t>
      </w:r>
    </w:p>
    <w:p>
      <w:pPr>
        <w:spacing w:after="0" w:line="117"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have greater financial, technological, marketing and other resources, more comprehensive name recognition and more personnel than we do;</w:t>
      </w:r>
    </w:p>
    <w:p>
      <w:pPr>
        <w:spacing w:after="0" w:line="53" w:lineRule="exact"/>
        <w:rPr>
          <w:rFonts w:ascii="Times New Roman" w:cs="Times New Roman" w:eastAsia="Times New Roman" w:hAnsi="Times New Roman"/>
          <w:sz w:val="18"/>
          <w:szCs w:val="18"/>
          <w:color w:val="auto"/>
        </w:rPr>
      </w:pPr>
    </w:p>
    <w:p>
      <w:pPr>
        <w:ind w:left="500" w:right="10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trend toward consolidation in the investment management industry, and the securities business in general, has served to increase the size and strength of some of our competitors;</w:t>
      </w:r>
    </w:p>
    <w:p>
      <w:pPr>
        <w:spacing w:after="0" w:line="53" w:lineRule="exact"/>
        <w:rPr>
          <w:rFonts w:ascii="Times New Roman" w:cs="Times New Roman" w:eastAsia="Times New Roman" w:hAnsi="Times New Roman"/>
          <w:sz w:val="18"/>
          <w:szCs w:val="18"/>
          <w:color w:val="auto"/>
        </w:rPr>
      </w:pPr>
    </w:p>
    <w:p>
      <w:pPr>
        <w:ind w:left="500" w:right="80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changes in consumer demand for technological capabilities, including the enhanced ability for firms to offer lower fees for passive management strategies, has increased competition in our industry;</w:t>
      </w:r>
    </w:p>
    <w:p>
      <w:pPr>
        <w:spacing w:after="0" w:line="53" w:lineRule="exact"/>
        <w:rPr>
          <w:rFonts w:ascii="Times New Roman" w:cs="Times New Roman" w:eastAsia="Times New Roman" w:hAnsi="Times New Roman"/>
          <w:sz w:val="18"/>
          <w:szCs w:val="18"/>
          <w:color w:val="auto"/>
        </w:rPr>
      </w:pPr>
    </w:p>
    <w:p>
      <w:pPr>
        <w:ind w:left="500" w:right="64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for alternative investment styles, asset classes and distribution vehicles may cause our competitors to be perceived as more attractive;</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industry participants, hedge funds and alternative asset managers may seek to recruit our investment professionals;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competitors charge lower fees for their investment management services than we do;</w:t>
      </w:r>
    </w:p>
    <w:p>
      <w:pPr>
        <w:spacing w:after="0" w:line="117"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competitors may provide more comprehensive client services, including banking, financial planning and tax planning at levels beyond those we currently provide; and</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competitors may have more sophisticated, innovative or advanced distribution networks than we do.</w:t>
      </w:r>
    </w:p>
    <w:p>
      <w:pPr>
        <w:spacing w:after="0" w:line="117"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In particular, we have faced significant competition from competitors with lower fee, passive investment strategies. Investment advisors that emphasize passive products have gained, and may continue to gain, significant market share from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active managers like us, which could have a material adverse effect on our business. If we are unable to compete effectively, our earnings could be reduced and our business could be adversely affected.</w:t>
      </w:r>
    </w:p>
    <w:p>
      <w:pPr>
        <w:spacing w:after="0" w:line="50"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Some of our strategies invest in the securities of non-U.S. companies, which involve foreign currency exchange, tax, political, social and economic uncertainties and risks.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Some of our strategies offer access to global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with limited liquidity and higher price volatility, and may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or assets invested in these strategies may experience significant declines in value and our results of operations may be negatively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17" w:lineRule="exact"/>
        <w:rPr>
          <w:sz w:val="20"/>
          <w:szCs w:val="20"/>
          <w:color w:val="auto"/>
        </w:rPr>
      </w:pPr>
    </w:p>
    <w:p>
      <w:pPr>
        <w:ind w:right="360"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67"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are focused directly on the investment management industry, while others are more broadly focused but affect our industry as well.</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engage in product offerings and international business activities through our global multi-asset securities product offerings that are available to our international and domestic clients. As of December 31, 2023, approximately 1% of our AUM is managed for clients who are domiciled outside the U. 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or "UCITS") Regulations 2011 and the Markets in Financial Instruments Directive.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84"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Our business involves risks of being engaged in litigation and liability that could increase our expenses and reduce our results of operations.</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Many aspects of our business involve substantial risks of liability. We could be named as defendants or co-defendants in lawsuits or could be involved in disputes that involve the threat of lawsuits seeking substantial damages. As an SEC-RIA,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t>mutual fund adviser, trustee to certain Trust clients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117"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5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have incurred significant costs to develop new investment strategies, launch new mutual funds under the Westwood Funds® name, and upgrade our business infrastructure. We expect to continue to incur significant costs related to such improvements.</w:t>
      </w:r>
    </w:p>
    <w:p>
      <w:pPr>
        <w:spacing w:after="0" w:line="54"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80"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To introduce new investment strategies, we may seek to add new investment teams. To the extent we are unable to recruit and retain investment teams to complement our existing business model, we may not be successful in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Damage to our reputation could harm our business and have a material adverse effect on our results of operations.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75"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certain key employees and our ability to attract and develop new, talented professionals. Our inability to attract and retain key employees could compromise our future success.</w:t>
      </w:r>
    </w:p>
    <w:p>
      <w:pPr>
        <w:spacing w:after="0" w:line="5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the failure to attract, develop, retain and motivate qualified personnel could negatively impact our business, financial condition, results of operations and future prospects. In order to retain or replace key personnel, we may be required to increase compensation, which would decrease net income. Investment and sales professionals often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ind w:right="640"/>
        <w:spacing w:after="0" w:line="282" w:lineRule="auto"/>
        <w:rPr>
          <w:sz w:val="20"/>
          <w:szCs w:val="20"/>
          <w:color w:val="auto"/>
        </w:rPr>
      </w:pPr>
      <w:r>
        <w:rPr>
          <w:rFonts w:ascii="Times New Roman" w:cs="Times New Roman" w:eastAsia="Times New Roman" w:hAnsi="Times New Roman"/>
          <w:sz w:val="18"/>
          <w:szCs w:val="18"/>
          <w:color w:val="auto"/>
        </w:rPr>
        <w:t>maintain strong relationships with their clients, and their departure may cause us to lose client accounts, which could have a material impact on our revenues and results of operations.</w:t>
      </w:r>
    </w:p>
    <w:p>
      <w:pPr>
        <w:spacing w:after="0" w:line="50"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perform operational tasks or the misrepresentation of products and services could have an adverse effect on our reputation and our business, financial condition and results of operations.</w:t>
      </w:r>
    </w:p>
    <w:p>
      <w:pPr>
        <w:spacing w:after="0" w:line="5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68"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68"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Damage to our reputation could impede our ability to attract and retain customers and key employees and could reduce our AUM, which could have a material adverse effect on our results of operations. Significant regulatory sanctions, fines, penalties, and litigation could also materially adversely affect our financial condition and results of operations.</w:t>
      </w:r>
    </w:p>
    <w:p>
      <w:pPr>
        <w:spacing w:after="0" w:line="64"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5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We are a holding company dependent on the operations and funds of our subsidiaries.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are a holding company, with no revenue-generating operations or assets other than our ownership interests in Westwood Management, Westwood Trust and Broadmark. Accordingly, we are dependent on the cash flow generated by these operating subsidiaries and rely on dividends or other intercompany transfers from our operating subsidiaries to generate the funds necessary to meet our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Privacy Risks</w:t>
      </w:r>
    </w:p>
    <w:p>
      <w:pPr>
        <w:spacing w:after="0" w:line="117"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implement and maintain effective cyber security controls could disrupt our operations and have a material adverse effect on our results of operations, reputation and stock price.</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dependent on information technology systems and the cyber 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and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8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Additionally, the SEC issued guidance in February 2018 stating that, as a public company, we are expected to have controls and procedures that relate to cyber 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71"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vulnerable to systems failures that could have a material adverse effect on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our back-up procedures and capabilities may be inadequate to prevent the risk of extended interruptions in operations.</w:t>
      </w:r>
    </w:p>
    <w:p>
      <w:pPr>
        <w:spacing w:after="0" w:line="71" w:lineRule="exact"/>
        <w:rPr>
          <w:sz w:val="20"/>
          <w:szCs w:val="20"/>
          <w:color w:val="auto"/>
        </w:rPr>
      </w:pPr>
    </w:p>
    <w:p>
      <w:pPr>
        <w:ind w:right="3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Misuse of assets and information in the possession of our employees and third-party vendors could damage our reputation and result in costly litigation and liability for our clients and us.</w:t>
      </w:r>
    </w:p>
    <w:p>
      <w:pPr>
        <w:spacing w:after="0" w:line="5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75" w:lineRule="exact"/>
        <w:rPr>
          <w:sz w:val="20"/>
          <w:szCs w:val="20"/>
          <w:color w:val="auto"/>
        </w:rPr>
      </w:pPr>
    </w:p>
    <w:p>
      <w:pPr>
        <w:jc w:val="right"/>
        <w:ind w:right="62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Stock and Corporate Governance</w:t>
      </w:r>
    </w:p>
    <w:p>
      <w:pPr>
        <w:spacing w:after="0" w:line="117" w:lineRule="exact"/>
        <w:rPr>
          <w:sz w:val="20"/>
          <w:szCs w:val="20"/>
          <w:color w:val="auto"/>
        </w:rPr>
      </w:pPr>
    </w:p>
    <w:p>
      <w:pPr>
        <w:jc w:val="right"/>
        <w:ind w:right="6280"/>
        <w:spacing w:after="0"/>
        <w:rPr>
          <w:sz w:val="20"/>
          <w:szCs w:val="20"/>
          <w:color w:val="auto"/>
        </w:rPr>
      </w:pPr>
      <w:r>
        <w:rPr>
          <w:rFonts w:ascii="Times New Roman" w:cs="Times New Roman" w:eastAsia="Times New Roman" w:hAnsi="Times New Roman"/>
          <w:sz w:val="18"/>
          <w:szCs w:val="18"/>
          <w:b w:val="1"/>
          <w:bCs w:val="1"/>
          <w:color w:val="auto"/>
        </w:rPr>
        <w:t>Our stock is thinly traded and may be subject to volatility.</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Although our common stock is traded on the New York Stock Exchange, it may be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any such limited trading in our stock continues, it may be difficult for holders to sell their shares in the public market at any given time at prevailing prices.</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Distributions to our common stockholders have included and may in the future include a return of capital.</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Future distributions to our common stockholders may include a return of capital. To the extent that we distribute amounts that exceed our accumulated earnings, these distributions would constitute a return of capital to the extent of the common stockholder’s adjusted tax basis in its shares of our common stock. A return of capital represents a return of a common stockholder’s original investment in shares of our common stock and should not be confused with a distribution from earnings. Although return of capital distributions may not be taxable, such distributions may increase an investor’s tax liability for capital gains upon the sale of our common stock by reducing the investor’s tax basis in its shares of our common stock. Such returns of capital reduce our asset base and could result in future needs for debt or capital infusions, which could have a material adverse impact on our business.</w:t>
      </w:r>
    </w:p>
    <w:p>
      <w:pPr>
        <w:spacing w:after="0" w:line="75"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5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 the loss of key personnel, harm our ability to attract new investors, clients and employees, and cause our stock price to experience periods of volatility or stagnation.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Clients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Competitive fee pressures could reduce revenues and profit margins.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right="140"/>
        <w:spacing w:after="0" w:line="282" w:lineRule="auto"/>
        <w:rPr>
          <w:sz w:val="20"/>
          <w:szCs w:val="20"/>
          <w:color w:val="auto"/>
        </w:rPr>
      </w:pPr>
      <w:r>
        <w:rPr>
          <w:rFonts w:ascii="Times New Roman" w:cs="Times New Roman" w:eastAsia="Times New Roman" w:hAnsi="Times New Roman"/>
          <w:sz w:val="18"/>
          <w:szCs w:val="18"/>
          <w:color w:val="auto"/>
        </w:rPr>
        <w:t>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5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performance fee agreements with certain clients, who pay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can fluctuate significantly between measurement periods, depending on how we perform relative to the indexes specified in these agreements. For example, we earned performance fees of $1.6 million in 2023, $1.0 million in 2022 and $3.4 million in 2021.</w:t>
      </w:r>
    </w:p>
    <w:p>
      <w:pPr>
        <w:spacing w:after="0" w:line="71"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5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75"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5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are dependent to a significant degree on our ability to maintain our relationships with clients, consultants, managed account platforms and other intermediaries. Our ten largest clients accounted for approximately 21%, 22% and 22% of our fee revenues for the years ended December 31, 2023, 2022 and 2021, respectively.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right="9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We have made and may continue to make business combinations as a part of our business strategy, which may present risks and uncertainties.</w:t>
      </w:r>
    </w:p>
    <w:p>
      <w:pPr>
        <w:spacing w:after="0" w:line="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may continue to seek business acquisitions as a means of broadening our offerings and capturing additional opportunities. However, there is no guarantee that we will be successful in identifying target companies that meet our criteria for acquisition. Additionally, future acquisitions may require us to obtain additional equity or debt financing, which may not be available on attractive terms, if at all.</w:t>
      </w:r>
    </w:p>
    <w:p>
      <w:pPr>
        <w:spacing w:after="0" w:line="68"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success of our historical and future business combinations also depends on our ability to integrate the operations of the acquired businesses efficiently and effectively with our existing operations and realize the anticipated benefits from them. The potential risks associated with successful integration and realization of benefits include, but are not limited to the following:</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due diligence may not identify or fully assess valuation issues, potential liabilities or other acquisition risks;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entities may not achieve anticipated revenue targets, cost savings or other synergies or benefits, or acquisitions may not result in improved operating performance, which could adversely affect our earnings, and we may be unable to recover investments in any such acquisitions;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acquired businesses, resulting in unforeseen difficulties and greater expenses than expected;</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entering into new markets in which we are not experienced in an efficient and cost-effective manner while maintaining adequate standards, controls and procedures;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within an acquired organization may resign from their related positions resulting in a significant loss to our strategic and operational efficiency associated with the acquired company;</w:t>
      </w:r>
    </w:p>
    <w:p>
      <w:pPr>
        <w:spacing w:after="0" w:line="5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daily operations may be reduced by the redirection of employees and other resources to acquisition and integration activities;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ind w:left="660" w:right="3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liabilities of an acquired business (including litigation, tax liabilities, and other contingent liabilities), including liabilities that were unknown at the time of the acquisition, that pose future risks to our working capital needs, cash flows and the profitability of related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unprofitable projects that pose future risks to our working capital needs, cash flows and the profitability of related operations; or</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acquisitions may include substantial transactional costs to complete the acquisition that exceed the estimated financial and operational benefit.</w:t>
      </w:r>
    </w:p>
    <w:p>
      <w:pPr>
        <w:spacing w:after="0" w:line="50"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effectively execute our strategic growth plan could result in damage to our reputation and could have a material adverse effect on our business, financial condition and results of operations.</w:t>
      </w:r>
    </w:p>
    <w:p>
      <w:pPr>
        <w:spacing w:after="0" w:line="5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54"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8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Various factors may hinder the declaration and payment of dividends.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have historically paid a quarterly dividend; however, payment of future dividends is subject to the discretion of our Board, and various factors may impact our ability to maintain the current dividend or pay dividends at all. We reinstated a dividend in the first quarter of 2021, following its suspension in the second quarter of 2020 as we preserved capital and provided additional financial flexibility amid uncertainties created by the COVID-19 pandemic. Such factors include our financial position, capital requirements and liquidity, tax regulations, stock repurchase plans, state corporate and banking law restrictions, results of operations and other factors that our Board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and compliance with applicable laws, including the provisions of the Finance Code</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applicable to Westwood Trust. See “Item 7. Management’s Discussion and Analysis of Financial Condition and Results of Operations.”</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We may not be able to fund future capital requirements on favorable terms, if at all.</w:t>
      </w:r>
    </w:p>
    <w:p>
      <w:pPr>
        <w:spacing w:after="0" w:line="121" w:lineRule="exact"/>
        <w:rPr>
          <w:sz w:val="20"/>
          <w:szCs w:val="20"/>
          <w:color w:val="auto"/>
        </w:rPr>
      </w:pPr>
    </w:p>
    <w:p>
      <w:pPr>
        <w:jc w:val="both"/>
        <w:ind w:right="160" w:firstLine="486"/>
        <w:spacing w:after="0" w:line="258" w:lineRule="auto"/>
        <w:rPr>
          <w:sz w:val="20"/>
          <w:szCs w:val="20"/>
          <w:color w:val="auto"/>
        </w:rPr>
      </w:pPr>
      <w:r>
        <w:rPr>
          <w:rFonts w:ascii="Times New Roman" w:cs="Times New Roman" w:eastAsia="Times New Roman" w:hAnsi="Times New Roman"/>
          <w:sz w:val="18"/>
          <w:szCs w:val="18"/>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71"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properly identify and address conflicts of interest could harm our reputation or cause clients to withdraw funds, which could adversely affect our business and results of operations.</w:t>
      </w:r>
    </w:p>
    <w:p>
      <w:pPr>
        <w:spacing w:after="0" w:line="5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Insurance coverage may be inadequate to cover legal and regulatory proceedings.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maintain insurance coverage in amounts and on terms we believe appropriate to cover legal and regulatory matters and potential cyber 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Failure to maintain effective internal controls could have a material adverse effect on our business and stock price.</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6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invested significantly to enhance our cybersecurity governance. We have expanded our control access to data and systems, invested in firewalls and security systems, elevated internal awareness through trainings and exercises, and upgraded our systems, programs and intrusion monitoring.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conduct periodic vulnerability assessments based on our use of technology, third party vendor relationships and reported changes in cybercrime methodologies, and in response to any attempted cyber incident, among other circumstances.</w:t>
      </w:r>
    </w:p>
    <w:p>
      <w:pPr>
        <w:spacing w:after="0" w:line="5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protect all the assets of our clients and safeguard the proprietary and confidential information of Westwood and its employees, which is a fundamental responsibility of every Westwood employee. Westwood is responsible for distributing our policies and procedures to employees and conducting appropriate employee training to ensure employees’ adherence to our policies and procedures. Repeated or serious violations of our policies by employees or independent contractors may result in disciplinary action against such persons, which may include restricted permissions or prohibitions and/or termination.</w:t>
      </w:r>
    </w:p>
    <w:p>
      <w:pPr>
        <w:spacing w:after="0" w:line="75"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President and Chief Operating Officer is responsible for reviewing, maintaining and enforcing our policies and procedures to ensure we meet our overall cybersecurity goals and objectives, while at a minimum, ensuring compliance with applicable federal and state laws and regulations.</w:t>
      </w:r>
    </w:p>
    <w:p>
      <w:pPr>
        <w:spacing w:after="0" w:line="54"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have also designed procedures to implement our cybersecurity policy, minimize cybersecurity threats to our clients and conduct reviews to monitor and ensure our policy is observed, properly implemented and amended or updated as necessary, including cybersecurity oversight, periodic risk assessments and external consultant reviews, access restrictions, ongoing training, governance policies and procedures, authentication protocols, secure access measures, and policies for elevating suspicious activities.</w:t>
      </w:r>
    </w:p>
    <w:p>
      <w:pPr>
        <w:spacing w:after="0" w:line="72"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Westwood has an established vendor management policy, which considers risks related to new or existing vendors, defines new vendor selection, vendor renewal, vendor monitoring and vendor risk assessment. The review of vendors is led by our Chief Compliance Officer and each vendor relationship owner, and involves reviewing System and Organization Controls reports, Statement on Standards for Attestation Engagements number 18 reports, and other reviews of internal controls.</w:t>
      </w:r>
    </w:p>
    <w:p>
      <w:pPr>
        <w:spacing w:after="0" w:line="7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Westwood’s Board is responsible for overseeing the effective execution of our overall cybersecurity programs. Along with management, our Board reviews our cybersecurity efforts and programs and is informed of cybersecurity risks primarily through discussions with management, trainings and exercises.</w:t>
      </w:r>
    </w:p>
    <w:p>
      <w:pPr>
        <w:spacing w:after="0" w:line="6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Westwood relies on its Board, in conjunction with senior management members, to ensure ongoing success of its cybersecurity environment. Our Board’s responsibilities include, but are not limited to:</w:t>
      </w:r>
    </w:p>
    <w:p>
      <w:pPr>
        <w:spacing w:after="0" w:line="54" w:lineRule="exact"/>
        <w:rPr>
          <w:sz w:val="20"/>
          <w:szCs w:val="20"/>
          <w:color w:val="auto"/>
        </w:rPr>
      </w:pPr>
    </w:p>
    <w:p>
      <w:pPr>
        <w:ind w:left="1140" w:right="1400"/>
        <w:spacing w:after="0" w:line="375" w:lineRule="auto"/>
        <w:rPr>
          <w:sz w:val="20"/>
          <w:szCs w:val="20"/>
          <w:color w:val="auto"/>
        </w:rPr>
      </w:pPr>
      <w:r>
        <w:rPr>
          <w:rFonts w:ascii="Times New Roman" w:cs="Times New Roman" w:eastAsia="Times New Roman" w:hAnsi="Times New Roman"/>
          <w:sz w:val="18"/>
          <w:szCs w:val="18"/>
          <w:color w:val="auto"/>
        </w:rPr>
        <w:t>a. Overseeing effective implementation of our cybersecurity initiatives and alignment with agreed policies and strategies; b. Oversight of the continued and consistent implementation of our cybersecurity policies and procedures; and c. Promoting overall corporate commitment to cybersecurity.</w:t>
      </w:r>
    </w:p>
    <w:p>
      <w:pPr>
        <w:spacing w:after="0" w:line="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responsible for the execution of the framework for the management of our information security. These responsibilities include, but are not limited to:</w:t>
      </w:r>
    </w:p>
    <w:p>
      <w:pPr>
        <w:spacing w:after="0" w:line="54" w:lineRule="exact"/>
        <w:rPr>
          <w:sz w:val="20"/>
          <w:szCs w:val="20"/>
          <w:color w:val="auto"/>
        </w:rPr>
      </w:pPr>
    </w:p>
    <w:p>
      <w:pPr>
        <w:ind w:left="1140" w:right="3060"/>
        <w:spacing w:after="0" w:line="375" w:lineRule="auto"/>
        <w:rPr>
          <w:sz w:val="20"/>
          <w:szCs w:val="20"/>
          <w:color w:val="auto"/>
        </w:rPr>
      </w:pPr>
      <w:r>
        <w:rPr>
          <w:rFonts w:ascii="Times New Roman" w:cs="Times New Roman" w:eastAsia="Times New Roman" w:hAnsi="Times New Roman"/>
          <w:sz w:val="18"/>
          <w:szCs w:val="18"/>
          <w:color w:val="auto"/>
        </w:rPr>
        <w:t>a. Designing, implementing and executing our framework over information security management; b. Reviewing and updating our policies and procedures annually;</w:t>
      </w:r>
    </w:p>
    <w:p>
      <w:pPr>
        <w:spacing w:after="0" w:line="1" w:lineRule="exact"/>
        <w:rPr>
          <w:sz w:val="20"/>
          <w:szCs w:val="20"/>
          <w:color w:val="auto"/>
        </w:rPr>
      </w:pPr>
    </w:p>
    <w:p>
      <w:pPr>
        <w:ind w:left="660" w:right="620" w:firstLine="486"/>
        <w:spacing w:after="0" w:line="282" w:lineRule="auto"/>
        <w:rPr>
          <w:sz w:val="20"/>
          <w:szCs w:val="20"/>
          <w:color w:val="auto"/>
        </w:rPr>
      </w:pPr>
      <w:r>
        <w:rPr>
          <w:rFonts w:ascii="Times New Roman" w:cs="Times New Roman" w:eastAsia="Times New Roman" w:hAnsi="Times New Roman"/>
          <w:sz w:val="18"/>
          <w:szCs w:val="18"/>
          <w:color w:val="auto"/>
        </w:rPr>
        <w:t>c. Assigning all data within Westwood to an appropriate owner, and ensuring data owners have knowledge of such data and have an information classification selected for that data;</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 Ensuring annual compliance with our information security management policies and procedures;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 Application and execution of our risk management framework in the event of a potential issue;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 Development and execution of an action plan for each potential issue to address risks via remediating, mitigating, accepting or closing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w:t>
      </w:r>
    </w:p>
    <w:p>
      <w:pPr>
        <w:spacing w:after="0" w:line="9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management members, specifically our Chief Executive Officer, Chief Financial Officer, President and Chief Operating Officer, Information Security Officer and Chief Compliance Officer, have cybersecurity expertise gained through years of training, internal and external discussions, numerous learning exercises, and development, execution and evaluation of our cybersecurity policies.</w:t>
      </w:r>
    </w:p>
    <w:p>
      <w:pPr>
        <w:spacing w:after="0" w:line="6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If a potential cybersecurity breach were to be identified, management would implement its incident response plan. This plan, which provides for a quick, effective and orderly response to information security incidents relies on our Incident Response Team (“IRT”) to report findings to management and the appropriate authorities as necessary. The IRT, comprised of various cross-functional subject matter experts, is also responsible for:</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Detecting and analyzing suspicious events that might indicate an event has occurred;</w:t>
      </w:r>
    </w:p>
    <w:p>
      <w:pPr>
        <w:spacing w:after="0" w:line="117" w:lineRule="exact"/>
        <w:rPr>
          <w:sz w:val="20"/>
          <w:szCs w:val="20"/>
          <w:color w:val="auto"/>
        </w:rPr>
      </w:pPr>
    </w:p>
    <w:p>
      <w:pPr>
        <w:ind w:left="660" w:right="540" w:firstLine="486"/>
        <w:spacing w:after="0" w:line="282" w:lineRule="auto"/>
        <w:rPr>
          <w:sz w:val="20"/>
          <w:szCs w:val="20"/>
          <w:color w:val="auto"/>
        </w:rPr>
      </w:pPr>
      <w:r>
        <w:rPr>
          <w:rFonts w:ascii="Times New Roman" w:cs="Times New Roman" w:eastAsia="Times New Roman" w:hAnsi="Times New Roman"/>
          <w:sz w:val="18"/>
          <w:szCs w:val="18"/>
          <w:color w:val="auto"/>
        </w:rPr>
        <w:t>b. Containing, eradicating and restoring normal operations if an event has occurred through quick responses, isolating and preserving evidence to aid in remediation and assisting investigators, isolating additional systems from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ind w:left="660"/>
        <w:spacing w:after="0" w:line="261" w:lineRule="auto"/>
        <w:rPr>
          <w:sz w:val="20"/>
          <w:szCs w:val="20"/>
          <w:color w:val="auto"/>
        </w:rPr>
      </w:pPr>
      <w:r>
        <w:rPr>
          <w:rFonts w:ascii="Times New Roman" w:cs="Times New Roman" w:eastAsia="Times New Roman" w:hAnsi="Times New Roman"/>
          <w:sz w:val="18"/>
          <w:szCs w:val="18"/>
          <w:color w:val="auto"/>
        </w:rPr>
        <w:t>being impacted by the situation being remediated, tracking issues, communicating a strategy and protocol to follow to maintain control of information and confidentiality and to ensure members of the IRT and Westwood management are kept informed of issues as the incident develops and is resolved, and developing and implementing strategies for ensuring the integrity of impacted information systems and critical information hosted on those systems.</w:t>
      </w:r>
    </w:p>
    <w:p>
      <w:pPr>
        <w:spacing w:after="0" w:line="7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the event of a cybersecurity breach Westwood management notifies our Board as soon as practicable, along with affected parties including clients, regulatory bodies, third parties and employees, as necessary and required by applicable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Westwood, Westwood Management and Westwood Trust conduct their principal operations using approximately 38,000 square feet of leased office space in Dallas, Texas pursuant to a lease with an initial term that expires in March 2026. In addition, we lease approximately 11,000 square feet of office space in Houston, Texas pursuant to a lease that expires in September 2029. We lease a limited amount of office space in San Francisco, California and Chicago, Illinois.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continue to assess these facilities to ensure their adequacy to serve our anticipated business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subject from time to time to certain claims and legal proceedings arising in the ordinary course of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right="1920"/>
        <w:spacing w:after="0" w:line="40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common stock trades on the New York Stock Exchange under the symbol “WHG.” At December 31, 2023, there were approximately 190 record holders of our common stock, although we believe that the number of beneficial owners of our common stock is substantially greater.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Declarations of cash dividends is at the discretion of the Board of Directors and is subject to limitations under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is the sole stockholder of Westwood Management and Westwood Trust. Westwood Trust is limited in the payment of dividends under applicable Texas law to the amount of undivided profits, which is defined as that part of equity capital equal to the balance of net profits, income, gains and losses since formation minus subsequent distributions to stockholders and transfers to surplus or capital under share dividends or appropriate Board resolutions.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On July 20, 2012, our Board of Directors authorized management to repurchase up to $10.0 million of our outstanding common stock on the open market or in privately negotiated transactions. The Board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there are $1.8 million of shares that may yet be repurchased under our share repurchase plan.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repurchase any shares of our common stock during the year ended December 31,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compares total stockholder returns of Westwood since December 31, 2018 with the total return of the Russell 2000 Index and the S&amp;P U.S. BMI Asset Management &amp; Custody Banks Index, a composite of various publicly-traded asset management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Period ended December 31,</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Cumulative Five-Year</w:t>
            </w:r>
          </w:p>
        </w:tc>
        <w:tc>
          <w:tcPr>
            <w:tcW w:w="0" w:type="dxa"/>
            <w:vAlign w:val="bottom"/>
          </w:tcPr>
          <w:p>
            <w:pPr>
              <w:spacing w:after="0"/>
              <w:rPr>
                <w:sz w:val="1"/>
                <w:szCs w:val="1"/>
                <w:color w:val="auto"/>
              </w:rPr>
            </w:pPr>
          </w:p>
        </w:tc>
      </w:tr>
      <w:tr>
        <w:trPr>
          <w:trHeight w:val="23"/>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Index</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5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Total Return</w:t>
            </w:r>
          </w:p>
        </w:tc>
        <w:tc>
          <w:tcPr>
            <w:tcW w:w="0" w:type="dxa"/>
            <w:vAlign w:val="bottom"/>
          </w:tcPr>
          <w:p>
            <w:pPr>
              <w:spacing w:after="0"/>
              <w:rPr>
                <w:sz w:val="1"/>
                <w:szCs w:val="1"/>
                <w:color w:val="auto"/>
              </w:rPr>
            </w:pPr>
          </w:p>
        </w:tc>
      </w:tr>
      <w:tr>
        <w:trPr>
          <w:trHeight w:val="216"/>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Westwood Holdings Group, Inc.</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51.33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160.85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60.85 %</w:t>
            </w:r>
          </w:p>
        </w:tc>
        <w:tc>
          <w:tcPr>
            <w:tcW w:w="0" w:type="dxa"/>
            <w:vAlign w:val="bottom"/>
          </w:tcPr>
          <w:p>
            <w:pPr>
              <w:spacing w:after="0"/>
              <w:rPr>
                <w:sz w:val="1"/>
                <w:szCs w:val="1"/>
                <w:color w:val="auto"/>
              </w:rPr>
            </w:pPr>
          </w:p>
        </w:tc>
      </w:tr>
      <w:tr>
        <w:trPr>
          <w:trHeight w:val="165"/>
        </w:trPr>
        <w:tc>
          <w:tcPr>
            <w:tcW w:w="35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S&amp;P U.S. BMI Asset Management &amp; Custody</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145.77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211.89</w:t>
            </w:r>
          </w:p>
        </w:tc>
        <w:tc>
          <w:tcPr>
            <w:tcW w:w="1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111.89 %</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Banks Index</w:t>
            </w: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total return for our stock and for each index assumes $100 invested on December 31, 2018 in our common stock, the Russell 2000 Index, and the S&amp;P U.S. BMI Asset Management &amp; Custody Banks Index, including reinvestment of dividends.</w:t>
      </w:r>
    </w:p>
    <w:p>
      <w:pPr>
        <w:spacing w:after="0" w:line="5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closing price of our common stock on the last trading day of the year ended December 31, 2023 was $12.57 per share. Historical stock price performance is not necessarily indicative of future price performance.</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5" w:name="page26"/>
    <w:bookmarkEnd w:id="2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5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Consolidated Financial Statements and related notes thereto appearing elsewhere in this Report.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 and AUA;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and may continue to make business combinations as a part of our business strategy, which may present certain risks and uncertainties;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ectPr>
          <w:pgSz w:w="11900" w:h="16838" w:orient="portrait"/>
          <w:cols w:equalWidth="0" w:num="1">
            <w:col w:w="11100"/>
          </w:cols>
          <w:pgMar w:left="320" w:top="1157" w:right="4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7" w:right="479" w:bottom="1440" w:gutter="0" w:footer="0" w:header="0"/>
          <w:type w:val="continuous"/>
        </w:sectPr>
      </w:pPr>
    </w:p>
    <w:bookmarkStart w:id="26" w:name="page27"/>
    <w:bookmarkEnd w:id="26"/>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to institutions and high net worth individuals. Our revenues are generally derived from fees based on a percentage of AUM.</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SCLP serves as a sub-placement agent for private placements.</w:t>
      </w:r>
    </w:p>
    <w:p>
      <w:pPr>
        <w:spacing w:after="0" w:line="11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revenues are generally derived from fees based on a percentage of AUM and AUA, and Westwood Management and Westwood Trust collectively had AUM of approximately $15.5 billion and AUA of approximately $1.1 billion at December 31, 2023. We have established a track record of delivering competitive, risk-adjusted returns for our clients.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average investment experience of over twenty years.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Highlights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items were reported for the year ended December 31, 2023:</w:t>
      </w:r>
    </w:p>
    <w:p>
      <w:pPr>
        <w:spacing w:after="0" w:line="117"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Salient's asset management business, following our 2022 acquisition.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the Managed Investment Solutions team, bolstering our ability to provide customized solutions to institutional and wealth investors.</w:t>
      </w:r>
    </w:p>
    <w:p>
      <w:pPr>
        <w:spacing w:after="0" w:line="117"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 additional 32% interest in Broadmark, an RIA managing and/or sub-advising mutual funds, retail and institutional separately-managed accounts, resulting in our holding an approximately 80% controlling interest.</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AUM as of December 31, 2023 was $15.5 billion, 5% higher than December 31, 2022. Quarterly average AUM increased 15% to $15.0 billion for 2023 versus 2022, which contributed to a 31% increase in total revenue from 2022.</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SMidCap Value, SmallCap Value, MidCap Value, High Alpha, Enhanced Balanced, High Income, Alternative Income, Global Real Estate and Select Income strategies performed strongly by beating their primary benchmarks for the year.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$5.5 million of dividends to our common stockholders.</w:t>
      </w:r>
    </w:p>
    <w:p>
      <w:pPr>
        <w:spacing w:after="0" w:line="11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remains strong with liquid cash and short-term investments of $53.1 million and no debt as of December 31, 2023</w:t>
      </w:r>
      <w:r>
        <w:rPr>
          <w:rFonts w:ascii="Times New Roman" w:cs="Times New Roman" w:eastAsia="Times New Roman" w:hAnsi="Times New Roman"/>
          <w:sz w:val="18"/>
          <w:szCs w:val="18"/>
          <w:i w:val="1"/>
          <w:iCs w:val="1"/>
          <w:color w:val="auto"/>
        </w:rPr>
        <w: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which manages client accounts under investment advisory and sub-advisory agreements. Advisory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t>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8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75" w:lineRule="exact"/>
        <w:rPr>
          <w:sz w:val="20"/>
          <w:szCs w:val="20"/>
          <w:color w:val="auto"/>
        </w:rPr>
      </w:pPr>
    </w:p>
    <w:p>
      <w:pPr>
        <w:ind w:right="1960" w:firstLine="486"/>
        <w:spacing w:after="0" w:line="375" w:lineRule="auto"/>
        <w:rPr>
          <w:sz w:val="20"/>
          <w:szCs w:val="20"/>
          <w:color w:val="auto"/>
        </w:rPr>
      </w:pPr>
      <w:r>
        <w:rPr>
          <w:rFonts w:ascii="Times New Roman" w:cs="Times New Roman" w:eastAsia="Times New Roman" w:hAnsi="Times New Roman"/>
          <w:sz w:val="18"/>
          <w:szCs w:val="18"/>
          <w:color w:val="auto"/>
        </w:rPr>
        <w:t xml:space="preserve">Our other revenues primarily consist of investment income from seed money investments into new investment strategies. </w:t>
      </w:r>
      <w:r>
        <w:rPr>
          <w:rFonts w:ascii="Times New Roman" w:cs="Times New Roman" w:eastAsia="Times New Roman" w:hAnsi="Times New Roman"/>
          <w:sz w:val="18"/>
          <w:szCs w:val="18"/>
          <w:i w:val="1"/>
          <w:iCs w:val="1"/>
          <w:color w:val="auto"/>
        </w:rPr>
        <w:t>Employee Compensation and Benefits</w:t>
      </w:r>
    </w:p>
    <w:p>
      <w:pPr>
        <w:spacing w:after="0" w:line="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costs generally consist of salaries, sales commissions, incentive compensation, stock-based compensation expense and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Expenses for Westwood mutual funds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 in fair value of contingent consideration</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(Gain) loss from change in fair value of contingent consideration consists of fair value adjustments related to contingent consideration from our 2022 acquisition of Salient.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 expenses consist of costs related to the Salient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Realized gains on private investments includes amounts by which the net proceeds from the sale or redemption of our private investments exceeded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 equity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 and the receipt of life insurance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Firm-wide assets under management of $16.6 billion at December 31, 2023 consisted of $15.5 billion of AUM and $1.1 billion of AUA.</w:t>
      </w:r>
    </w:p>
    <w:p>
      <w:pPr>
        <w:spacing w:after="0" w:line="171"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AUM increased $0.7 billion, or 5%, to $15.5 billion at December 31, 2023 compared to $14.8 billion at December 31, 2022. Quarterly average AUM increased $1.9 billion, up 15%, to $15.0 billion compared with $13.1 billion for 2022. The increase in average AUM was primarily due to $2.0 billion of market appreciation in 2023.</w:t>
      </w:r>
    </w:p>
    <w:p>
      <w:pPr>
        <w:spacing w:after="0" w:line="12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AUM increased $0.3 billion, or 2%, to $14.8 billion at December 31, 2022 compared to $14.5 billion at December 31, 2021. Quarterly average AUM decreased $1.2 billion, down 9%, to $13.1 billion for 2022 compared with $14.3 billion for 2021. The decrease in average AUM was primarily due to $1.5 billion of market depreciation in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AUM (in millions, except percentages):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7,037</w:t>
            </w:r>
          </w:p>
        </w:tc>
      </w:tr>
      <w:tr>
        <w:trPr>
          <w:trHeight w:val="229"/>
        </w:trPr>
        <w:tc>
          <w:tcPr>
            <w:tcW w:w="4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w:t>
            </w: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w:t>
            </w:r>
          </w:p>
        </w:tc>
      </w:tr>
      <w:tr>
        <w:trPr>
          <w:trHeight w:val="223"/>
        </w:trPr>
        <w:tc>
          <w:tcPr>
            <w:tcW w:w="4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23"/>
                <w:szCs w:val="23"/>
                <w:b w:val="1"/>
                <w:bCs w:val="1"/>
                <w:color w:val="auto"/>
                <w:vertAlign w:val="superscript"/>
              </w:rPr>
              <w:t>(4)</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15,459</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14,503</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500" w:hanging="330"/>
        <w:spacing w:after="0" w:line="249"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ind w:left="500" w:right="120" w:hanging="330"/>
        <w:spacing w:after="0" w:line="250"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For certain assets in this category Westwood Trust provides limited custodial services for a minimal or no fee, viewing these assets as potentially converting to fee-generating managed assets in the future.</w:t>
      </w:r>
    </w:p>
    <w:p>
      <w:pPr>
        <w:ind w:left="500" w:right="120" w:hanging="330"/>
        <w:spacing w:after="0" w:line="243"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or Salient Advisors serves as advisor. These funds are available to individual investors, institutional investors and wealth management accounts.</w:t>
      </w:r>
    </w:p>
    <w:p>
      <w:pPr>
        <w:spacing w:after="0" w:line="1" w:lineRule="exact"/>
        <w:rPr>
          <w:rFonts w:ascii="Times New Roman" w:cs="Times New Roman" w:eastAsia="Times New Roman" w:hAnsi="Times New Roman"/>
          <w:sz w:val="14"/>
          <w:szCs w:val="14"/>
          <w:color w:val="auto"/>
        </w:rPr>
      </w:pPr>
    </w:p>
    <w:p>
      <w:pPr>
        <w:ind w:left="500" w:right="160" w:hanging="330"/>
        <w:spacing w:after="0" w:line="278"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for 2023, 2022 and 2021 excludes approximately $1.1 billion, $1.3 billion and $0.3 billion of assets under advisement, respectively, related to our model portfolios for which we provide investment advice on a fee basis without having investment management authority. We added $0.9 billion of AUA from the Salient Acquisition.</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Roll-Forward of Assets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Wealth</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Mutual</w:t>
            </w:r>
          </w:p>
        </w:tc>
        <w:tc>
          <w:tcPr>
            <w:tcW w:w="30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14,779</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flows: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Inflows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client flows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appreciation</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15,459</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720" w:firstLine="8"/>
        <w:spacing w:after="0" w:line="298" w:lineRule="auto"/>
        <w:tabs>
          <w:tab w:leader="none" w:pos="1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under management acquired from Salient were reclassified from Mutual Funds to Institutional as of December 31, 2022 to be consistent with the classification of existing assets.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7" w:right="39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color w:val="auto"/>
        </w:rPr>
        <w:t>The increase in AUM for the year ended December 31, 2023 was due to market appreciation of $2.0 billion, offset by net outflows of $1.3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outflows were primarily related to our Income Opportunity, MLP &amp; Energy Infrastructure, LargeCap Value and SmallCap Value strategies.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Wealth</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Mutual</w:t>
            </w:r>
          </w:p>
        </w:tc>
        <w:tc>
          <w:tcPr>
            <w:tcW w:w="28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14,503</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flows: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client 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Salient acquisition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AUM for the year ended December 31, 2022 was due to $2.7 billion of AUM from the Salient Acquisition, offset by market depreciation of $1.5 billion and net outflows of $0.9 billion. Net outflows were primarily related to our LargeCap Value, Income Opportunity and Enhanced Balanced strategies.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Wealth</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Mutual</w:t>
            </w:r>
          </w:p>
        </w:tc>
        <w:tc>
          <w:tcPr>
            <w:tcW w:w="28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13,045</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flows: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client 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convertibles transition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appreciation</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increase in AUM for the year ended December 31, 2021 was due to market appreciation of $2.2 billion and net inflows of $0.8 billion, partially offset by the transition of our Global Convertibles team.</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inflows were primarily related to our SmallCap Value strategy, partially offset by net outflows in our Enhanced Balance strategy.</w:t>
      </w:r>
    </w:p>
    <w:p>
      <w:pPr>
        <w:spacing w:after="0" w:line="11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late 2020 we decided to exit the stand-alone convertibles business and our Global Convertibles team transitioned back to Aviva Investors, from which they had joined Westwood. As a result, $1.6 billion in two sub-advised Global Convertibles mandates returned to Aviva as of April 1, 2021.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Roll-Forward of Assets Under Advisement</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AUA has historically been disclosed in total due to its relative insignificance to our business. However, following our November 2022 acquisition of Salient's asset management business, AUA has become a more meaningful component of our business. Accordingly, we will present further AUA details going forward: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2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Assets Under Advisement</w:t>
            </w:r>
          </w:p>
        </w:tc>
        <w:tc>
          <w:tcPr>
            <w:tcW w:w="7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21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20" w:type="dxa"/>
            <w:vAlign w:val="bottom"/>
            <w:tcBorders>
              <w:bottom w:val="single" w:sz="8" w:color="CCEEFF"/>
            </w:tcBorders>
          </w:tcPr>
          <w:p>
            <w:pPr>
              <w:spacing w:after="0"/>
              <w:rPr>
                <w:sz w:val="18"/>
                <w:szCs w:val="18"/>
                <w:color w:val="auto"/>
              </w:rPr>
            </w:pPr>
          </w:p>
        </w:tc>
        <w:tc>
          <w:tcPr>
            <w:tcW w:w="9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2"/>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20" w:type="dxa"/>
            <w:vAlign w:val="bottom"/>
            <w:tcBorders>
              <w:bottom w:val="single" w:sz="8" w:color="CCEEFF"/>
            </w:tcBorders>
          </w:tcPr>
          <w:p>
            <w:pPr>
              <w:spacing w:after="0"/>
              <w:rPr>
                <w:sz w:val="18"/>
                <w:szCs w:val="18"/>
                <w:color w:val="auto"/>
              </w:rPr>
            </w:pPr>
          </w:p>
        </w:tc>
        <w:tc>
          <w:tcPr>
            <w:tcW w:w="9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0"/>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4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2"/>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and discussion of our results of operations is based upon data derived from our Consolidated Statements of Comprehensive Income (Loss) contained in our Consolidated Financial Statements and should be read in conjunction with these statements included elsewhere in this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915"/>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8"/>
                <w:szCs w:val="1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Advisory fees: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Asset-based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67,391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45,927</w:t>
            </w:r>
          </w:p>
        </w:tc>
        <w:tc>
          <w:tcPr>
            <w:tcW w:w="0" w:type="dxa"/>
            <w:vAlign w:val="bottom"/>
          </w:tcPr>
          <w:p>
            <w:pPr>
              <w:spacing w:after="0"/>
              <w:rPr>
                <w:sz w:val="1"/>
                <w:szCs w:val="1"/>
                <w:color w:val="auto"/>
              </w:rPr>
            </w:pPr>
          </w:p>
        </w:tc>
      </w:tr>
      <w:tr>
        <w:trPr>
          <w:trHeight w:val="229"/>
        </w:trPr>
        <w:tc>
          <w:tcPr>
            <w:tcW w:w="4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Performance-based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Trust fees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24,030</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Trust performance-based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89,781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73,054</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52,918</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42,532</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mutual funds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Information technology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8,161</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5,132</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8,074</w:t>
            </w:r>
          </w:p>
        </w:tc>
        <w:tc>
          <w:tcPr>
            <w:tcW w:w="0" w:type="dxa"/>
            <w:vAlign w:val="bottom"/>
          </w:tcPr>
          <w:p>
            <w:pPr>
              <w:spacing w:after="0"/>
              <w:rPr>
                <w:sz w:val="1"/>
                <w:szCs w:val="1"/>
                <w:color w:val="auto"/>
              </w:rPr>
            </w:pPr>
          </w:p>
        </w:tc>
      </w:tr>
      <w:tr>
        <w:trPr>
          <w:trHeight w:val="175"/>
        </w:trPr>
        <w:tc>
          <w:tcPr>
            <w:tcW w:w="48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 loss from change in fair value of contingent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00" w:type="dxa"/>
            <w:vAlign w:val="bottom"/>
          </w:tcPr>
          <w:p>
            <w:pPr>
              <w:spacing w:after="0"/>
              <w:rPr>
                <w:sz w:val="15"/>
                <w:szCs w:val="15"/>
                <w:color w:val="auto"/>
              </w:rPr>
            </w:pPr>
          </w:p>
        </w:tc>
        <w:tc>
          <w:tcPr>
            <w:tcW w:w="13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5"/>
                <w:szCs w:val="15"/>
                <w:color w:val="auto"/>
              </w:rPr>
            </w:pPr>
          </w:p>
        </w:tc>
        <w:tc>
          <w:tcPr>
            <w:tcW w:w="13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w:t>
            </w: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expenses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83,776</w:t>
            </w: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73,554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67,095</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5,959</w:t>
            </w:r>
          </w:p>
        </w:tc>
        <w:tc>
          <w:tcPr>
            <w:tcW w:w="0" w:type="dxa"/>
            <w:vAlign w:val="bottom"/>
          </w:tcPr>
          <w:p>
            <w:pPr>
              <w:spacing w:after="0"/>
              <w:rPr>
                <w:sz w:val="1"/>
                <w:szCs w:val="1"/>
                <w:color w:val="auto"/>
              </w:rPr>
            </w:pPr>
          </w:p>
        </w:tc>
      </w:tr>
      <w:tr>
        <w:trPr>
          <w:trHeight w:val="21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gains on private investments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8,371</w:t>
            </w:r>
          </w:p>
        </w:tc>
        <w:tc>
          <w:tcPr>
            <w:tcW w:w="0" w:type="dxa"/>
            <w:vAlign w:val="bottom"/>
          </w:tcPr>
          <w:p>
            <w:pPr>
              <w:spacing w:after="0"/>
              <w:rPr>
                <w:sz w:val="1"/>
                <w:szCs w:val="1"/>
                <w:color w:val="auto"/>
              </w:rPr>
            </w:pPr>
          </w:p>
        </w:tc>
      </w:tr>
      <w:tr>
        <w:trPr>
          <w:trHeight w:val="179"/>
        </w:trPr>
        <w:tc>
          <w:tcPr>
            <w:tcW w:w="4800" w:type="dxa"/>
            <w:vAlign w:val="bottom"/>
            <w:shd w:val="clear" w:color="auto" w:fill="CCEEFF"/>
          </w:tcPr>
          <w:p>
            <w:pPr>
              <w:ind w:left="360"/>
              <w:spacing w:after="0" w:line="179" w:lineRule="exact"/>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investments</w:t>
            </w: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14,003</w:t>
            </w:r>
          </w:p>
        </w:tc>
        <w:tc>
          <w:tcPr>
            <w:tcW w:w="0" w:type="dxa"/>
            <w:vAlign w:val="bottom"/>
          </w:tcPr>
          <w:p>
            <w:pPr>
              <w:spacing w:after="0"/>
              <w:rPr>
                <w:sz w:val="1"/>
                <w:szCs w:val="1"/>
                <w:color w:val="auto"/>
              </w:rPr>
            </w:pPr>
          </w:p>
        </w:tc>
      </w:tr>
      <w:tr>
        <w:trPr>
          <w:trHeight w:val="23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10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9,763</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Less: Comprehensive income (loss) attributable to</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8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tcPr>
          <w:p>
            <w:pPr>
              <w:spacing w:after="0"/>
              <w:rPr>
                <w:sz w:val="10"/>
                <w:szCs w:val="10"/>
                <w:color w:val="auto"/>
              </w:rPr>
            </w:pPr>
          </w:p>
        </w:tc>
        <w:tc>
          <w:tcPr>
            <w:tcW w:w="13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0"/>
                <w:szCs w:val="10"/>
                <w:color w:val="auto"/>
              </w:rPr>
            </w:pPr>
          </w:p>
        </w:tc>
        <w:tc>
          <w:tcPr>
            <w:tcW w:w="13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8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Westwood</w:t>
            </w:r>
          </w:p>
        </w:tc>
        <w:tc>
          <w:tcPr>
            <w:tcW w:w="26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9,763</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Group, Inc.</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-121920</wp:posOffset>
            </wp:positionV>
            <wp:extent cx="4072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2023 Compared to Year Ended December 31, 2022</w:t>
      </w:r>
    </w:p>
    <w:p>
      <w:pPr>
        <w:spacing w:after="0" w:line="117"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increased $21.1 million, or 31%, to $89.8 million compared with $68.7 million for 2022.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higher average assets under management following our acquisition of Salient Partners' asset management business during the fourth quarter of 2022, partially offset by a $1.4 million decrease in Trust fees due to lower average AUM.</w:t>
      </w:r>
    </w:p>
    <w:p>
      <w:pPr>
        <w:spacing w:after="0" w:line="65" w:lineRule="exact"/>
        <w:rPr>
          <w:sz w:val="20"/>
          <w:szCs w:val="20"/>
          <w:color w:val="auto"/>
        </w:rPr>
      </w:pPr>
    </w:p>
    <w:p>
      <w:pPr>
        <w:ind w:right="4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expenses increased due to additional headcount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Salient Acquisition.</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increased due to higher product placement fees for certain Salient funds.</w:t>
      </w:r>
    </w:p>
    <w:p>
      <w:pPr>
        <w:spacing w:after="0" w:line="117" w:lineRule="exact"/>
        <w:rPr>
          <w:sz w:val="20"/>
          <w:szCs w:val="20"/>
          <w:color w:val="auto"/>
        </w:rPr>
      </w:pPr>
    </w:p>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Westwood Mutual Funds. </w:t>
      </w:r>
      <w:r>
        <w:rPr>
          <w:rFonts w:ascii="Times New Roman" w:cs="Times New Roman" w:eastAsia="Times New Roman" w:hAnsi="Times New Roman"/>
          <w:sz w:val="18"/>
          <w:szCs w:val="18"/>
          <w:color w:val="auto"/>
        </w:rPr>
        <w:t>Westwood mutual funds expenses increased primarily due to an increase in mutual fund placement fees for certain mutual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acquired in the Salient Acquisition.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Information Technology. </w:t>
      </w:r>
      <w:r>
        <w:rPr>
          <w:rFonts w:ascii="Times New Roman" w:cs="Times New Roman" w:eastAsia="Times New Roman" w:hAnsi="Times New Roman"/>
          <w:sz w:val="18"/>
          <w:szCs w:val="18"/>
          <w:color w:val="auto"/>
        </w:rPr>
        <w:t>Information technology costs increased primarily due to additional software licenses and investment research expenses.</w:t>
      </w:r>
    </w:p>
    <w:p>
      <w:pPr>
        <w:spacing w:after="0" w:line="117" w:lineRule="exact"/>
        <w:rPr>
          <w:sz w:val="20"/>
          <w:szCs w:val="20"/>
          <w:color w:val="auto"/>
        </w:rPr>
      </w:pPr>
    </w:p>
    <w:p>
      <w:pPr>
        <w:ind w:right="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38% to $12.5 million compared to $9.1 million in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intangible asset amortization following the Salient Acquisition.</w:t>
      </w:r>
    </w:p>
    <w:p>
      <w:pPr>
        <w:spacing w:after="0" w:line="50" w:lineRule="exact"/>
        <w:rPr>
          <w:sz w:val="20"/>
          <w:szCs w:val="20"/>
          <w:color w:val="auto"/>
        </w:rPr>
      </w:pPr>
    </w:p>
    <w:p>
      <w:pPr>
        <w:ind w:right="6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loss from change in fair value of contingent consideration. </w:t>
      </w:r>
      <w:r>
        <w:rPr>
          <w:rFonts w:ascii="Times New Roman" w:cs="Times New Roman" w:eastAsia="Times New Roman" w:hAnsi="Times New Roman"/>
          <w:sz w:val="18"/>
          <w:szCs w:val="18"/>
          <w:color w:val="auto"/>
        </w:rPr>
        <w:t>We recorded a gain of $2.8 million upon the remeasurement of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the Salient Acquisition primarily due to changes in growth projections and volatility assumptions.</w:t>
      </w:r>
    </w:p>
    <w:p>
      <w:pPr>
        <w:spacing w:after="0" w:line="50" w:lineRule="exact"/>
        <w:rPr>
          <w:sz w:val="20"/>
          <w:szCs w:val="20"/>
          <w:color w:val="auto"/>
        </w:rPr>
      </w:pPr>
    </w:p>
    <w:p>
      <w:pPr>
        <w:ind w:right="8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In 2022 we recorded a $1.6 million net change in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to reflect a market transaction related to our previous investment in Charis.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We recorded life insurance proceeds of $5.0 million in 2023.</w:t>
      </w:r>
    </w:p>
    <w:p>
      <w:pPr>
        <w:spacing w:after="0" w:line="117"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was 23.2% for 2023 compared to 10.9% for 2022. Our income tax rate differed from the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tax rate due to permanent differences between book and tax restricted stock expense based on a decrease in our stock price between the restricted stock grant and vesting date, along with the impact of state and local taxes.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Year Ended December 31, 2021</w:t>
      </w:r>
    </w:p>
    <w:p>
      <w:pPr>
        <w:spacing w:after="0" w:line="117" w:lineRule="exact"/>
        <w:rPr>
          <w:sz w:val="20"/>
          <w:szCs w:val="20"/>
          <w:color w:val="auto"/>
        </w:rPr>
      </w:pPr>
    </w:p>
    <w:p>
      <w:pPr>
        <w:jc w:val="both"/>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decreased $4.4 million, or 6%, to $68.7 million compared with $73.1 million for 2021. The decrease was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$2.3 million decrease in Trust fees due to lower average AUM, and a decrease in performance fees, partially offset by a $0.8 million increase in asset-based advisory fees.</w:t>
      </w:r>
    </w:p>
    <w:p>
      <w:pPr>
        <w:spacing w:after="0" w:line="65" w:lineRule="exact"/>
        <w:rPr>
          <w:sz w:val="20"/>
          <w:szCs w:val="20"/>
          <w:color w:val="auto"/>
        </w:rPr>
      </w:pPr>
    </w:p>
    <w:p>
      <w:pPr>
        <w:ind w:right="8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expenses decreased due to lower commissions and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partially offset by higher salaries following an increase in headcount from the Salient Acquisition.</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increased as in-person sales activities returned to pre-COVID-19 levels.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Professional services expenses increased primarily due to higher subadvisory expenses and various legal costs.</w:t>
      </w:r>
    </w:p>
    <w:p>
      <w:pPr>
        <w:spacing w:after="0" w:line="117"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12% to $9.1 million compared to $8.9 million in 2021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rent expense following our Houston, Texas office space expansion.</w:t>
      </w:r>
    </w:p>
    <w:p>
      <w:pPr>
        <w:spacing w:after="0" w:line="5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Acquisition expenses</w:t>
      </w:r>
      <w:r>
        <w:rPr>
          <w:rFonts w:ascii="Times New Roman" w:cs="Times New Roman" w:eastAsia="Times New Roman" w:hAnsi="Times New Roman"/>
          <w:sz w:val="18"/>
          <w:szCs w:val="18"/>
          <w:color w:val="auto"/>
        </w:rPr>
        <w:t>. Acquisition expenses are related to the Salient Acquisition and consisted primarily of investment banking fees, legal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expenses related to systems integrations, mutual fund costs related to proxy solicitations and information technology integration costs. $1.8 million of acquisition expenses incurred in the nine months ended September 30, 2022 were included in Professional Services ($1.0 million), Westwood Mutual Funds ($0.5 million) and Information Technology ($0.3 million) before being reclassified to acquisition expenses upon consummation of the Salient Acquisition.</w:t>
      </w:r>
    </w:p>
    <w:p>
      <w:pPr>
        <w:spacing w:after="0" w:line="75"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We recorded a $1.6 million net change in unrealized depreciation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a market transaction related to our previous investment in Charis.</w:t>
      </w:r>
    </w:p>
    <w:p>
      <w:pPr>
        <w:spacing w:after="0" w:line="50"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was 10.9% for 2022 compared to 30.3% for 2021. Our income tax rate differed from the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tax rate due to permanent differences between book and tax restricted stock expense based on a decrease in our stock price between the restricted stock grant and vesting date, along with the impact of state and local taxes.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Comprehensive income (loss) attributable to Westwood Holdings Group, Inc. and earnings (loss) per share, which are reported on a GAAP basis. Our management and Board review Economic Earnings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define Economic Earnings as Comprehensive income (loss) attributable to Westwood Holdings Group, Inc. plus non-cash equity-based compensation expense, impairment expense, amortization of intangible assets, currency translation adjustment reclassification and deferred taxes related to goodwill. Although depreciation on fixed assets is a non-cash expense,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3" w:name="page34"/>
    <w:bookmarkEnd w:id="33"/>
    <w:p>
      <w:pPr>
        <w:ind w:right="220"/>
        <w:spacing w:after="0" w:line="258" w:lineRule="auto"/>
        <w:rPr>
          <w:sz w:val="20"/>
          <w:szCs w:val="20"/>
          <w:color w:val="auto"/>
        </w:rPr>
      </w:pPr>
      <w:r>
        <w:rPr>
          <w:rFonts w:ascii="Times New Roman" w:cs="Times New Roman" w:eastAsia="Times New Roman" w:hAnsi="Times New Roman"/>
          <w:sz w:val="18"/>
          <w:szCs w:val="18"/>
          <w:color w:val="auto"/>
        </w:rPr>
        <w:t>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Economic Earnings increased by 589% to $18.3 million compared with $2.7 million for the year ended December 31, 2022. 2023 Economic Earnings was impacted by higher revenues and the receipt of life insurance proceeds, offset by higher expenses following the Salient Acquisition.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provides a reconciliation of Comprehensive income (loss) attributable to Westwood Holdings Group, Inc. to Economic Earnings.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included the tax impact of adjustments for all periods presented:</w:t>
      </w:r>
    </w:p>
    <w:p>
      <w:pPr>
        <w:spacing w:after="0" w:line="25"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(in thousands, except percentages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3"/>
        </w:trPr>
        <w:tc>
          <w:tcPr>
            <w:tcW w:w="188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 to Westwood</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Holdings Group, Inc.</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20"/>
              <w:spacing w:after="0" w:line="127"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10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10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5,834</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10,305</w:t>
            </w:r>
          </w:p>
        </w:tc>
        <w:tc>
          <w:tcPr>
            <w:tcW w:w="0" w:type="dxa"/>
            <w:vAlign w:val="bottom"/>
          </w:tcPr>
          <w:p>
            <w:pPr>
              <w:spacing w:after="0"/>
              <w:rPr>
                <w:sz w:val="1"/>
                <w:szCs w:val="1"/>
                <w:color w:val="auto"/>
              </w:rPr>
            </w:pPr>
          </w:p>
        </w:tc>
      </w:tr>
      <w:tr>
        <w:trPr>
          <w:trHeight w:val="193"/>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amortization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Currency translation</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 reclassification</w:t>
            </w: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Tax benefit from goodwill</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10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3"/>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Tax impact of adjustments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to GAAP comprehensive</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06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4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0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Economic Earnings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13,640</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Economic Earnings per Share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Economic Earnings by segment:</w:t>
      </w:r>
    </w:p>
    <w:p>
      <w:pPr>
        <w:spacing w:after="0" w:line="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ind w:left="55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1"/>
        </w:trPr>
        <w:tc>
          <w:tcPr>
            <w:tcW w:w="18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Advisory comprehensive</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16,783</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781 %</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20"/>
              <w:spacing w:after="0" w:line="122"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0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0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0" w:type="dxa"/>
            <w:vAlign w:val="bottom"/>
          </w:tcPr>
          <w:p>
            <w:pPr>
              <w:spacing w:after="0"/>
              <w:rPr>
                <w:sz w:val="1"/>
                <w:szCs w:val="1"/>
                <w:color w:val="auto"/>
              </w:rPr>
            </w:pP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amortization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2"/>
        </w:trPr>
        <w:tc>
          <w:tcPr>
            <w:tcW w:w="18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Tax benefit from goodwill</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6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Tax impact of adjustments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to GAAP comprehensive</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0" w:type="dxa"/>
            <w:vAlign w:val="bottom"/>
          </w:tcPr>
          <w:p>
            <w:pPr>
              <w:spacing w:after="0"/>
              <w:rPr>
                <w:sz w:val="1"/>
                <w:szCs w:val="1"/>
                <w:color w:val="auto"/>
              </w:rPr>
            </w:pPr>
          </w:p>
        </w:tc>
      </w:tr>
      <w:tr>
        <w:trPr>
          <w:trHeight w:val="188"/>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Economic Earnings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left="5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3"/>
        </w:trPr>
        <w:tc>
          <w:tcPr>
            <w:tcW w:w="18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Trust comprehensive income</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w:t>
            </w: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89 %</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0" w:type="dxa"/>
            <w:vAlign w:val="bottom"/>
          </w:tcPr>
          <w:p>
            <w:pPr>
              <w:spacing w:after="0"/>
              <w:rPr>
                <w:sz w:val="1"/>
                <w:szCs w:val="1"/>
                <w:color w:val="auto"/>
              </w:rPr>
            </w:pPr>
          </w:p>
        </w:tc>
      </w:tr>
      <w:tr>
        <w:trPr>
          <w:trHeight w:val="19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20"/>
              <w:spacing w:after="0" w:line="127"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93"/>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amortization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139"/>
        </w:trPr>
        <w:tc>
          <w:tcPr>
            <w:tcW w:w="18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Tax benefit from goodwill</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2"/>
                <w:szCs w:val="12"/>
                <w:color w:val="auto"/>
              </w:rPr>
            </w:pPr>
          </w:p>
        </w:tc>
        <w:tc>
          <w:tcPr>
            <w:tcW w:w="10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10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10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3"/>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Tax impact of adjustments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to GAAP comprehensive</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Economic Earnings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7,942</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ind w:left="55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1"/>
        </w:trPr>
        <w:tc>
          <w:tcPr>
            <w:tcW w:w="18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Westwood Holdings</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60" w:type="dxa"/>
            <w:vAlign w:val="bottom"/>
            <w:gridSpan w:val="2"/>
            <w:vMerge w:val="restart"/>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(13,843)</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20"/>
              <w:spacing w:after="0" w:line="122"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60" w:type="dxa"/>
            <w:vAlign w:val="bottom"/>
            <w:gridSpan w:val="2"/>
            <w:vMerge w:val="restart"/>
          </w:tcPr>
          <w:p>
            <w:pPr>
              <w:jc w:val="center"/>
              <w:ind w:left="5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0" w:type="dxa"/>
            <w:vAlign w:val="bottom"/>
          </w:tcPr>
          <w:p>
            <w:pPr>
              <w:spacing w:after="0"/>
              <w:rPr>
                <w:sz w:val="1"/>
                <w:szCs w:val="1"/>
                <w:color w:val="auto"/>
              </w:rPr>
            </w:pP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amortization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60" w:type="dxa"/>
            <w:vAlign w:val="bottom"/>
            <w:gridSpan w:val="2"/>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5"/>
        </w:trPr>
        <w:tc>
          <w:tcPr>
            <w:tcW w:w="18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Currency translation</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120" w:type="dxa"/>
            <w:vAlign w:val="bottom"/>
          </w:tcPr>
          <w:p>
            <w:pPr>
              <w:spacing w:after="0"/>
              <w:rPr>
                <w:sz w:val="11"/>
                <w:szCs w:val="11"/>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 reclassification</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Tax impact of adjustments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to GAAP comprehensive</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8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104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08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Economic Earnings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06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Sheet Data (in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23,859</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13,900</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liquid assets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37,759</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15,342</w:t>
            </w:r>
          </w:p>
        </w:tc>
      </w:tr>
    </w:tbl>
    <w:p>
      <w:pPr>
        <w:spacing w:after="0" w:line="1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December 31, 2023 and 2022.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had cash and short-term investments of $53.1 million and $39.2 million as of December 31, 2023 and 2022, respectively. At December 31, 2023 and 2022, working capital aggregated $53.6 million and $40.6 million,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Trust is required by the Texas Finance Code to maintain cash and investments in an amount equal to the minimum restricted capital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Restricted capital is included in Investments in the accompanying Consolidated Balance Sheets. At December 31, 2023, Westwood Trust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$11.1 million in excess of its minimum capital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requirement.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14"/>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 Data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(1,185)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19,385</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flows</w:t>
            </w:r>
          </w:p>
        </w:tc>
        <w:tc>
          <w:tcPr>
            <w:tcW w:w="300" w:type="dxa"/>
            <w:vAlign w:val="bottom"/>
          </w:tcPr>
          <w:p>
            <w:pPr>
              <w:spacing w:after="0"/>
              <w:rPr>
                <w:sz w:val="19"/>
                <w:szCs w:val="19"/>
                <w:color w:val="auto"/>
              </w:rPr>
            </w:pPr>
          </w:p>
        </w:tc>
        <w:tc>
          <w:tcPr>
            <w:tcW w:w="98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w w:val="99"/>
              </w:rPr>
              <w:t>4,112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(6,364)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(26,806)</w:t>
            </w:r>
          </w:p>
        </w:tc>
      </w:tr>
    </w:tbl>
    <w:p>
      <w:pPr>
        <w:spacing w:after="0" w:line="184"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changes in net cash provided by operating activities generally reflect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6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During 2023, cash flow used in operating activities was $1.2 million, compared to cash provided by operating activities of $51.5 million during 2022 and $19.4 million during 2021. The decrease of $52.7 million from 2022 to 2023 primarily reflected the net purchases of investments in 2023, compared to net sales of investments in 2022 to fund the Salient Acquisition. The increase of $32.1 million from 2021 to 2022 primarily reflected net sales of investments and net income in 2021.</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Cash flow provided by investing activities in 2023 was primarily related to the receipt of life insurance proceeds offset by the Broadmark Acquisition, while cash flow used in investing activities in 2022 was primarily related to the Salient Acquisition. Cash flow provided by investing activities in 2021 was related to realized gains on private investments and the sale of property and equipment following the sublease of a portion of our Dallas, Texas corporate office space.</w:t>
      </w:r>
    </w:p>
    <w:p>
      <w:pPr>
        <w:spacing w:after="0" w:line="7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$6.4 million in 2023 compared to $9.1 million and $26.8 million in 2022 and 2021, respectively. The change from 2022 to 2023 related to treasury stock purchases in 2022. The change from 2021 to 2022 primarily related to lower dividends in 2022.</w:t>
      </w:r>
    </w:p>
    <w:p>
      <w:pPr>
        <w:spacing w:after="0" w:line="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short-term investment balances plus cash generated from operations will be sufficient to meet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dividends declared during 2023 and 2022:</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Dividends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 Date</w:t>
            </w:r>
          </w:p>
        </w:tc>
        <w:tc>
          <w:tcPr>
            <w:tcW w:w="22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Dividend Per Share</w:t>
            </w:r>
          </w:p>
        </w:tc>
        <w:tc>
          <w:tcPr>
            <w:tcW w:w="0" w:type="dxa"/>
            <w:vAlign w:val="bottom"/>
          </w:tcPr>
          <w:p>
            <w:pPr>
              <w:spacing w:after="0"/>
              <w:rPr>
                <w:sz w:val="1"/>
                <w:szCs w:val="1"/>
                <w:color w:val="auto"/>
              </w:rPr>
            </w:pPr>
          </w:p>
        </w:tc>
      </w:tr>
      <w:tr>
        <w:trPr>
          <w:trHeight w:val="226"/>
        </w:trPr>
        <w:tc>
          <w:tcPr>
            <w:tcW w:w="2860" w:type="dxa"/>
            <w:vAlign w:val="bottom"/>
            <w:tcBorders>
              <w:top w:val="single" w:sz="8" w:color="auto"/>
            </w:tcBorders>
            <w:shd w:val="clear" w:color="auto" w:fill="CCEEFF"/>
          </w:tcPr>
          <w:p>
            <w:pPr>
              <w:jc w:val="center"/>
              <w:spacing w:after="0" w:line="226" w:lineRule="exact"/>
              <w:rPr>
                <w:sz w:val="20"/>
                <w:szCs w:val="20"/>
                <w:color w:val="auto"/>
              </w:rPr>
            </w:pPr>
            <w:r>
              <w:rPr>
                <w:rFonts w:ascii="Times New Roman" w:cs="Times New Roman" w:eastAsia="Times New Roman" w:hAnsi="Times New Roman"/>
                <w:sz w:val="18"/>
                <w:szCs w:val="18"/>
                <w:color w:val="auto"/>
                <w:w w:val="96"/>
              </w:rPr>
              <w:t xml:space="preserve">February 15, 2023 </w:t>
            </w:r>
            <w:r>
              <w:rPr>
                <w:rFonts w:ascii="Times New Roman" w:cs="Times New Roman" w:eastAsia="Times New Roman" w:hAnsi="Times New Roman"/>
                <w:sz w:val="23"/>
                <w:szCs w:val="23"/>
                <w:color w:val="auto"/>
                <w:w w:val="96"/>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1, 2023</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3, 2023</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30"/>
        </w:trPr>
        <w:tc>
          <w:tcPr>
            <w:tcW w:w="296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color w:val="auto"/>
                <w:w w:val="96"/>
              </w:rPr>
              <w:t xml:space="preserve">April 26, 2023 </w:t>
            </w:r>
            <w:r>
              <w:rPr>
                <w:rFonts w:ascii="Times New Roman" w:cs="Times New Roman" w:eastAsia="Times New Roman" w:hAnsi="Times New Roman"/>
                <w:sz w:val="23"/>
                <w:szCs w:val="23"/>
                <w:color w:val="auto"/>
                <w:w w:val="96"/>
                <w:vertAlign w:val="superscript"/>
              </w:rPr>
              <w:t>(1)</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 2023</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3, 2023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August 2, 2023 </w:t>
            </w:r>
            <w:r>
              <w:rPr>
                <w:rFonts w:ascii="Times New Roman" w:cs="Times New Roman" w:eastAsia="Times New Roman" w:hAnsi="Times New Roman"/>
                <w:sz w:val="23"/>
                <w:szCs w:val="23"/>
                <w:color w:val="auto"/>
                <w:w w:val="97"/>
                <w:vertAlign w:val="superscript"/>
              </w:rPr>
              <w:t>(1)</w:t>
            </w:r>
          </w:p>
        </w:tc>
        <w:tc>
          <w:tcPr>
            <w:tcW w:w="2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1, 2023</w:t>
            </w: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 2023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color w:val="auto"/>
                <w:w w:val="97"/>
              </w:rPr>
              <w:t xml:space="preserve">October 31, 2023 </w:t>
            </w:r>
            <w:r>
              <w:rPr>
                <w:rFonts w:ascii="Times New Roman" w:cs="Times New Roman" w:eastAsia="Times New Roman" w:hAnsi="Times New Roman"/>
                <w:sz w:val="23"/>
                <w:szCs w:val="23"/>
                <w:color w:val="auto"/>
                <w:w w:val="97"/>
                <w:vertAlign w:val="superscript"/>
              </w:rPr>
              <w:t>(1)</w:t>
            </w:r>
          </w:p>
        </w:tc>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2023</w:t>
            </w:r>
          </w:p>
        </w:tc>
        <w:tc>
          <w:tcPr>
            <w:tcW w:w="30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3, 2024</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$0.60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2022 Dividends</w:t>
            </w: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960" w:type="dxa"/>
            <w:vAlign w:val="bottom"/>
            <w:gridSpan w:val="2"/>
            <w:vMerge w:val="continue"/>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 Date</w:t>
            </w:r>
          </w:p>
        </w:tc>
        <w:tc>
          <w:tcPr>
            <w:tcW w:w="22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Dividend Per Share</w:t>
            </w:r>
          </w:p>
        </w:tc>
        <w:tc>
          <w:tcPr>
            <w:tcW w:w="0" w:type="dxa"/>
            <w:vAlign w:val="bottom"/>
          </w:tcPr>
          <w:p>
            <w:pPr>
              <w:spacing w:after="0"/>
              <w:rPr>
                <w:sz w:val="1"/>
                <w:szCs w:val="1"/>
                <w:color w:val="auto"/>
              </w:rPr>
            </w:pPr>
          </w:p>
        </w:tc>
      </w:tr>
      <w:tr>
        <w:trPr>
          <w:trHeight w:val="226"/>
        </w:trPr>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9, 2022</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4, 2022</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30"/>
        </w:trPr>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27, 2022</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 2022</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2022</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27, 2022</w:t>
            </w:r>
          </w:p>
        </w:tc>
        <w:tc>
          <w:tcPr>
            <w:tcW w:w="2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2, 2022</w:t>
            </w: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1, 2022</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color w:val="auto"/>
                <w:w w:val="97"/>
              </w:rPr>
              <w:t xml:space="preserve">October 26, 2022 </w:t>
            </w:r>
            <w:r>
              <w:rPr>
                <w:rFonts w:ascii="Times New Roman" w:cs="Times New Roman" w:eastAsia="Times New Roman" w:hAnsi="Times New Roman"/>
                <w:sz w:val="23"/>
                <w:szCs w:val="23"/>
                <w:color w:val="auto"/>
                <w:w w:val="97"/>
                <w:vertAlign w:val="superscript"/>
              </w:rPr>
              <w:t>(1)</w:t>
            </w:r>
          </w:p>
        </w:tc>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22, 2023</w:t>
            </w:r>
          </w:p>
        </w:tc>
        <w:tc>
          <w:tcPr>
            <w:tcW w:w="30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23, 2023</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$0.60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dividend was treated for accounting purposes as a return of capital.</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commitments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6" w:name="page37"/>
    <w:bookmarkEnd w:id="36"/>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Our purchase commitments primarily consist of outsourced information technology services, software licenses and commitments for financial research tools. As of December 31, 2023, our purchase commitments for the next five years and thereafter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Payments due in: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24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5"/>
        </w:trPr>
        <w:tc>
          <w:tcPr>
            <w:tcW w:w="33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bl>
    <w:p>
      <w:pPr>
        <w:spacing w:after="0" w:line="324" w:lineRule="exact"/>
        <w:rPr>
          <w:sz w:val="20"/>
          <w:szCs w:val="20"/>
          <w:color w:val="auto"/>
        </w:rPr>
      </w:pPr>
    </w:p>
    <w:p>
      <w:pPr>
        <w:ind w:left="80" w:right="160" w:firstLine="9"/>
        <w:spacing w:after="0" w:line="263" w:lineRule="auto"/>
        <w:tabs>
          <w:tab w:leader="none" w:pos="42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“purchase commitment”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The above purchase commitments exclude agreements that are cancelable without significant penalty.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estimates critical.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Accounting for business combinations requires us to make significant estimates and assumptions, especially at the acquisition date with respect to tangible and intangible assets acquired and liabilities assumed. In a business combination, we allocate the purchase price to the acquired business’ identifiable assets and liabilities at their acquisition date fair values. The excess of the purchase price over the amount allocated to the identifiable assets and liabilities, if any, is recorded as goodwill.</w:t>
      </w:r>
    </w:p>
    <w:p>
      <w:pPr>
        <w:spacing w:after="0" w:line="7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assets acquired and liabilities assumed in our business combinations consist of acquired working capital and finite-lived and indefinite-lived intangible assets. The carrying value of acquired working capital approximates its fair value, given the short-term nature of these assets and liabilities. We estimated the fair value of finite-lived and indefinite-lived intangible assets acquired using a discounted cash flow approach, which included an analysis of the future cash flows expected to be generated by such assets and the risk associated with achieving such cash flows. The key assumptions used in the discounted cash flow model include the discount rate that is applied to the discretely forecasted future cash flows to calculate the present value of those cash flows and the estimate of future cash flows attributable to the acquired intangible assets, which include revenues, operating expenses and taxes. Our estimates are inherently uncertain and subject to refinement. As a result, during the measurement period, which may be up to one year from the acquisition date, we may record adjustments to the fair value of assets acquired and liabilities assumed, with the corresponding offset to goodwill.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payment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Comprehensive Income (Loss). For the year ended December 31, 2023, changes in growth projections and volatility assumptions were the primary drivers of changes in our fair value estimates.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11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w:t>
      </w:r>
    </w:p>
    <w:p>
      <w:pPr>
        <w:spacing w:after="0" w:line="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To assess whether we have the power to direct the activities of an entity that most significantly impact the VIE’s economic performance, we consider all the facts and circumstances, including, but not limited to, the legal organization of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7" w:name="page38"/>
    <w:bookmarkEnd w:id="37"/>
    <w:p>
      <w:pPr>
        <w:ind w:right="160"/>
        <w:spacing w:after="0" w:line="266" w:lineRule="auto"/>
        <w:rPr>
          <w:sz w:val="20"/>
          <w:szCs w:val="20"/>
          <w:color w:val="auto"/>
        </w:rPr>
      </w:pPr>
      <w:r>
        <w:rPr>
          <w:rFonts w:ascii="Times New Roman" w:cs="Times New Roman" w:eastAsia="Times New Roman" w:hAnsi="Times New Roman"/>
          <w:sz w:val="18"/>
          <w:szCs w:val="18"/>
          <w:color w:val="auto"/>
        </w:rPr>
        <w:t>VIE, our equity ownership and contractual involvement with the entity and any related party or de facto agent implications of our involvement with the entity. This assessment includes identifying the activities that most significantly impact the entity’s economic performance and identifying which party, if any, has power over those activities.</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6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Goodwill is tested at least annually for impairment. We assess the recoverability of the carrying amount of goodwill either qualitatively or quantitatively as of July 1 of each fiscal year, or whenever events or changes in circumstances indicate that the carrying amount of the assets may not be fully recoverable. We test more frequently if indicators are present or changes in circumstances suggest that impairment may exist. These indicators include declines in revenues, earnings or cash flows, or the development of a material adverse change in the business climate.</w:t>
      </w:r>
    </w:p>
    <w:p>
      <w:pPr>
        <w:spacing w:after="0" w:line="72"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qualitative goodwill impairment assessment requires evaluating factors, based on the weight of evidence, to determine whether a reporting unit's carrying value would more likely than not exceed its fair value. As part of our goodwill qualitative testing process, we evaluate various factors that are specific to the reporting unit as well as industry and macroeconomic factors in order to determine whether they are reasonably likely to have a material impact on the fair value of our reporting units. Based on the qualitative analyses performed in 2023, we concluded that there were no changes that were reasonably likely to cause the fair value of the Advisory and Trust reporting units to be less than those reporting unit's carrying values, and determined that there was no impairment of our goodwill. In the event we were to determine that a reporting unit's carrying value would more likely than not exceed its fair value, quantitative testing would be performed comparing carrying values to estimated fair values.</w:t>
      </w:r>
    </w:p>
    <w:p>
      <w:pPr>
        <w:spacing w:after="0" w:line="8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quantitative analysis requires a comparison of each reporting unit’s carrying value to the fair value of the respective unit. If the carrying value exceeds the fair value, an impairment charge is recorded based on that difference.</w:t>
      </w:r>
    </w:p>
    <w:p>
      <w:pPr>
        <w:spacing w:after="0" w:line="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completed our most recent annual goodwill impairment assessment during the third quarter of 2023 and determined that no goodwill impairment related to the Advisory or Trust segment was required. There was no goodwill impairment for either segment during the years ended December 31, 2023, 2022 or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recognition of the amount of taxes payable or refundable for the current year, as well as deferred tax assets and liabilities for temporary differences between the tax basis of assets and liabilities and the reported amounts on the Consolidated Financial Statements. We include penalties and interest on income-based taxes, if any, in the “General and administrative” line on our Consolidated Statements of Comprehensive Income (Loss).</w:t>
      </w:r>
    </w:p>
    <w:p>
      <w:pPr>
        <w:spacing w:after="0" w:line="74"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in particular, factors considered when assessing whether a valuation allowance should be established and our estimated uncertain tax positions.</w:t>
      </w:r>
    </w:p>
    <w:p>
      <w:pPr>
        <w:spacing w:after="0" w:line="5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are required to assess whether a valuation allowance should be established against our deferred tax assets based on consideration of all available evidence, using a more-likely-than-not standard. Evidence considered includes, but is not limited to, consideration of taxable income in prior carryback year(s), estimates of future taxable income from operations, and the expiration dates and amounts of carryforwards related to net operating losses and capital losses. A valuation allowance against deferred tax assets is recorded if, based on the weight of the available evidence it is more likely than not that some or all the deferred tax assets will not be realized.</w:t>
      </w:r>
    </w:p>
    <w:p>
      <w:pPr>
        <w:spacing w:after="0" w:line="7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8" w:name="page39"/>
    <w:bookmarkEnd w:id="38"/>
    <w:p>
      <w:pPr>
        <w:ind w:right="680"/>
        <w:spacing w:after="0" w:line="282" w:lineRule="auto"/>
        <w:rPr>
          <w:sz w:val="20"/>
          <w:szCs w:val="20"/>
          <w:color w:val="auto"/>
        </w:rPr>
      </w:pPr>
      <w:r>
        <w:rPr>
          <w:rFonts w:ascii="Times New Roman" w:cs="Times New Roman" w:eastAsia="Times New Roman" w:hAnsi="Times New Roman"/>
          <w:sz w:val="18"/>
          <w:szCs w:val="18"/>
          <w:color w:val="auto"/>
        </w:rPr>
        <w:t>new information becomes available. In making these assessments, we often must analyze complex tax laws of multiple domestic and international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Developments</w:t>
      </w:r>
    </w:p>
    <w:p>
      <w:pPr>
        <w:spacing w:after="0" w:line="121" w:lineRule="exact"/>
        <w:rPr>
          <w:sz w:val="20"/>
          <w:szCs w:val="20"/>
          <w:color w:val="auto"/>
        </w:rPr>
      </w:pPr>
    </w:p>
    <w:p>
      <w:pPr>
        <w:ind w:right="620" w:firstLine="486"/>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Consolidated Financial Statements included in Part II, Item 8, “Financial Statements and Supplementary Data” for a description of any new accounting standards and their anticipated effects on our Consolidated Financial Statements.</w:t>
      </w:r>
    </w:p>
    <w:p>
      <w:pPr>
        <w:spacing w:after="0" w:line="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revenues are primarily generated from fees derived as a percentage of our AUM and AUA,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key aspects of certain financial instruments that involve market risks.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Markets and Interest Rates</w:t>
      </w:r>
    </w:p>
    <w:p>
      <w:pPr>
        <w:spacing w:after="0" w:line="1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value of AUM and AUA is affected by fluctuations in securities markets and changes in interest rates. Since we derive a substantial portion of our revenues from investment advisory and trust fees based on the value of AUM and AUA, our revenues may be adversely affected by a decline in the prices of securities or changing interest rates. A hypothetical 10% decrease in our average AUM and AUA during the year ended December 31, 2023 would have reduced our reported consolidated total revenue by approximately $9 million.</w:t>
      </w:r>
    </w:p>
    <w:p>
      <w:pPr>
        <w:spacing w:after="0" w:line="7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firm's report and our Consolidated Financial Statements listed in the accompanying index are included in Item 15 of this Report. See “Index to Financial Statements” on page F-1.</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17"/>
          <w:szCs w:val="17"/>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Our acquisition of Broadmark was excluded from the assessment of the effectiveness of Disclosure Controls and Procedures. Based on that evaluation, our management, including our Chief Executive Officer and Chief Financial Officer, has concluded that our disclosure controls and procedures were effective at the reasonable assurance level as of December 31, 2023 to ensure that information required to be disclosed by us in the reports we file or submit under the Exchange Act was (i) recorded, processed, summarized and reported within the time periods specified in the SEC’s rules and forms and</w:t>
      </w:r>
    </w:p>
    <w:p>
      <w:pPr>
        <w:spacing w:after="0" w:line="5" w:lineRule="exact"/>
        <w:rPr>
          <w:sz w:val="20"/>
          <w:szCs w:val="20"/>
          <w:color w:val="auto"/>
        </w:rPr>
      </w:pPr>
    </w:p>
    <w:p>
      <w:pPr>
        <w:ind w:right="440" w:firstLine="8"/>
        <w:spacing w:after="0" w:line="260"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to allow timely decisions regarding required disclosure.</w:t>
      </w:r>
    </w:p>
    <w:p>
      <w:pPr>
        <w:spacing w:after="0" w:line="7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December 31, 2023,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9" w:name="page40"/>
    <w:bookmarkEnd w:id="39"/>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REPORT OF WESTWOOD HOLDINGS GROUP, INC.’S MANAGEMENT ASSESSMENT OF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 xml:space="preserve">The management of Westwood assessed the effectiveness of Westwood’s internal control over financial reporting as of December 31, 2023. In making this assessment, it used the criteria set forth by the Committee of Sponsoring Organizations of the Treadway Commission (COSO) in the 2013 </w:t>
      </w:r>
      <w:r>
        <w:rPr>
          <w:rFonts w:ascii="Times New Roman" w:cs="Times New Roman" w:eastAsia="Times New Roman" w:hAnsi="Times New Roman"/>
          <w:sz w:val="17"/>
          <w:szCs w:val="17"/>
          <w:i w:val="1"/>
          <w:iCs w:val="1"/>
          <w:color w:val="auto"/>
        </w:rPr>
        <w:t>Internal Control</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Based on our assessment, we believe that, as of December 31, 2023, Westwood’s internal control over financial reporting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based on those criteria.</w:t>
      </w:r>
    </w:p>
    <w:p>
      <w:pPr>
        <w:spacing w:after="0" w:line="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Management excluded Broadmark Asset Management, LLC, in which the Company acquired a controlling interest in January 2023, from its assessment of the effectiveness of internal control over financial reporting as the Company may omit an assessment of an acquired business’s internal control over financial reporting from its assessment of the registrant’s internal control for up to one year from the acquisition date. As of December 31, 2023, Broadmark represents approximately 5% of total revenues and approximately 7% of total assets of our consolidated financial statement amounts.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Westwood is not required to, nor did it, engage an independent registered public accounting firm to issue an audit report on our assessment of Westwood's internal control over financial reporting.</w:t>
      </w:r>
    </w:p>
    <w:p>
      <w:pPr>
        <w:spacing w:after="0" w:line="243"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3754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Brian O. Casey, Chief Executive Officer</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3754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Murray Forbes III, Chief Financial Officer &amp; Treasurer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definitive proxy statement relating to the 2024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gives information as of December 31, 2023 about shares of our common stock that may be issued upon the exercise of options, warrants and rights under our Ninth Amended and Restated Westwood Holdings Group, Inc. Stock Incentive Plan, which is our only equity compensation plan in effect at that time. The material terms of this plan were approved by our stockholders and are discussed in Note 8 “Employee Benefits” to our Consolidated Financial Statements included in </w:t>
      </w:r>
      <w:r>
        <w:rPr>
          <w:rFonts w:ascii="Times New Roman" w:cs="Times New Roman" w:eastAsia="Times New Roman" w:hAnsi="Times New Roman"/>
          <w:sz w:val="18"/>
          <w:szCs w:val="18"/>
          <w:color w:val="222222"/>
        </w:rPr>
        <w:t>Part II. Item 8</w:t>
      </w:r>
      <w:r>
        <w:rPr>
          <w:rFonts w:ascii="Times New Roman" w:cs="Times New Roman" w:eastAsia="Times New Roman" w:hAnsi="Times New Roman"/>
          <w:sz w:val="18"/>
          <w:szCs w:val="18"/>
          <w:color w:val="auto"/>
        </w:rPr>
        <w:t xml:space="preserve"> “Financial Statements and Supplementary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20" w:type="dxa"/>
            <w:vAlign w:val="bottom"/>
            <w:gridSpan w:val="2"/>
          </w:tcPr>
          <w:p>
            <w:pPr>
              <w:jc w:val="center"/>
              <w:ind w:right="267"/>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7"/>
        </w:trPr>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120" w:type="dxa"/>
            <w:vAlign w:val="bottom"/>
            <w:gridSpan w:val="2"/>
          </w:tcPr>
          <w:p>
            <w:pPr>
              <w:jc w:val="center"/>
              <w:ind w:right="267"/>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tcPr>
          <w:p>
            <w:pPr>
              <w:jc w:val="center"/>
              <w:ind w:right="110"/>
              <w:spacing w:after="0" w:line="146"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6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20" w:type="dxa"/>
            <w:vAlign w:val="bottom"/>
            <w:gridSpan w:val="2"/>
          </w:tcPr>
          <w:p>
            <w:pPr>
              <w:jc w:val="center"/>
              <w:ind w:right="247"/>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20" w:type="dxa"/>
            <w:vAlign w:val="bottom"/>
            <w:gridSpan w:val="3"/>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20" w:type="dxa"/>
            <w:vAlign w:val="bottom"/>
            <w:gridSpan w:val="2"/>
          </w:tcPr>
          <w:p>
            <w:pPr>
              <w:jc w:val="center"/>
              <w:ind w:right="267"/>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9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 and rights (b)</w:t>
            </w:r>
          </w:p>
        </w:tc>
        <w:tc>
          <w:tcPr>
            <w:tcW w:w="2120" w:type="dxa"/>
            <w:vAlign w:val="bottom"/>
            <w:gridSpan w:val="2"/>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rPr>
              <w:t>reflected in column (a)) (c)</w:t>
            </w:r>
          </w:p>
        </w:tc>
        <w:tc>
          <w:tcPr>
            <w:tcW w:w="0" w:type="dxa"/>
            <w:vAlign w:val="bottom"/>
          </w:tcPr>
          <w:p>
            <w:pPr>
              <w:spacing w:after="0"/>
              <w:rPr>
                <w:sz w:val="1"/>
                <w:szCs w:val="1"/>
                <w:color w:val="auto"/>
              </w:rPr>
            </w:pPr>
          </w:p>
        </w:tc>
      </w:tr>
      <w:tr>
        <w:trPr>
          <w:trHeight w:val="229"/>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646,000</w:t>
            </w:r>
          </w:p>
        </w:tc>
        <w:tc>
          <w:tcPr>
            <w:tcW w:w="320" w:type="dxa"/>
            <w:vAlign w:val="bottom"/>
            <w:tcBorders>
              <w:top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646,000 shares are available under our Ninth Amended and Restated Stock Incentive Plan.</w:t>
      </w:r>
    </w:p>
    <w:p>
      <w:pPr>
        <w:spacing w:after="0" w:line="11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2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21" w:lineRule="exact"/>
        <w:rPr>
          <w:sz w:val="20"/>
          <w:szCs w:val="20"/>
          <w:color w:val="auto"/>
        </w:rPr>
      </w:pPr>
    </w:p>
    <w:p>
      <w:pPr>
        <w:jc w:val="both"/>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1" w:name="page42"/>
    <w:bookmarkEnd w:id="4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on page 1 of this Report. Schedules for which provision is made in the applicable accounting regulations of the SEC are either not required under the related instructions or are not applicable.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03" w:right="5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9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93" w:lineRule="exact"/>
        <w:rPr>
          <w:sz w:val="20"/>
          <w:szCs w:val="20"/>
          <w:color w:val="auto"/>
        </w:rPr>
      </w:pPr>
    </w:p>
    <w:p>
      <w:pPr>
        <w:ind w:left="600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921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Brian O. Casey</w:t>
      </w:r>
    </w:p>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81" w:lineRule="exact"/>
        <w:rPr>
          <w:sz w:val="20"/>
          <w:szCs w:val="20"/>
          <w:color w:val="auto"/>
        </w:rPr>
      </w:pPr>
    </w:p>
    <w:p>
      <w:pPr>
        <w:ind w:right="260" w:firstLine="48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ind w:left="2140"/>
        <w:spacing w:after="0"/>
        <w:tabs>
          <w:tab w:leader="none" w:pos="8140" w:val="left"/>
        </w:tabs>
        <w:rPr>
          <w:sz w:val="20"/>
          <w:szCs w:val="20"/>
          <w:color w:val="auto"/>
        </w:rPr>
      </w:pPr>
      <w:r>
        <w:rPr>
          <w:rFonts w:ascii="Times New Roman" w:cs="Times New Roman" w:eastAsia="Times New Roman" w:hAnsi="Times New Roman"/>
          <w:sz w:val="14"/>
          <w:szCs w:val="14"/>
          <w:b w:val="1"/>
          <w:bCs w:val="1"/>
          <w:color w:val="auto"/>
        </w:rPr>
        <w:t>Signatures</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p>
      <w:pPr>
        <w:spacing w:after="0" w:line="22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Brian O. Casey</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Richard M. Frank</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Susan M. Byrne</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Ellen H. Masterson</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286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Randy A.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Randy A. Bowman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4680" w:space="720"/>
            <w:col w:w="5800"/>
          </w:cols>
          <w:pgMar w:left="320" w:top="88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43" w:name="page44"/>
    <w:bookmarkEnd w:id="4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4"/>
                <w:szCs w:val="14"/>
                <w:color w:val="auto"/>
              </w:rPr>
              <w:t>Page</w:t>
            </w:r>
          </w:p>
        </w:tc>
      </w:tr>
      <w:tr>
        <w:trPr>
          <w:trHeight w:val="212"/>
        </w:trPr>
        <w:tc>
          <w:tcPr>
            <w:tcW w:w="5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4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BDO USA, P.C.; Dallas, TX USA;</w:t>
            </w: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PCAOB ID: 243</w:t>
            </w: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2</w:t>
            </w:r>
          </w:p>
        </w:tc>
      </w:tr>
      <w:tr>
        <w:trPr>
          <w:trHeight w:val="21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4"/>
          </w:tcPr>
          <w:p>
            <w:pPr>
              <w:spacing w:after="0"/>
              <w:rPr>
                <w:sz w:val="18"/>
                <w:szCs w:val="18"/>
                <w:color w:val="auto"/>
              </w:rPr>
            </w:pPr>
          </w:p>
        </w:tc>
        <w:tc>
          <w:tcPr>
            <w:tcW w:w="108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5</w:t>
            </w:r>
          </w:p>
        </w:tc>
      </w:tr>
      <w:tr>
        <w:trPr>
          <w:trHeight w:val="210"/>
        </w:trPr>
        <w:tc>
          <w:tcPr>
            <w:tcW w:w="53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6</w:t>
            </w:r>
          </w:p>
        </w:tc>
      </w:tr>
      <w:tr>
        <w:trPr>
          <w:trHeight w:val="209"/>
        </w:trPr>
        <w:tc>
          <w:tcPr>
            <w:tcW w:w="3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gridSpan w:val="2"/>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7</w:t>
            </w:r>
          </w:p>
        </w:tc>
      </w:tr>
      <w:tr>
        <w:trPr>
          <w:trHeight w:val="209"/>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420" w:type="dxa"/>
            <w:vAlign w:val="bottom"/>
            <w:gridSpan w:val="5"/>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7</w:t>
            </w:r>
          </w:p>
        </w:tc>
      </w:tr>
      <w:tr>
        <w:trPr>
          <w:trHeight w:val="210"/>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140" w:type="dxa"/>
            <w:vAlign w:val="bottom"/>
            <w:gridSpan w:val="4"/>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887"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Westwood Holdings Group, Inc. (the “Company”) as of December 31, 2023 and 2022, the related consolidated statements of comprehensive income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Contingent Consideration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Notes 3 and 7 to the consolidated financial statements, the Company consummated a business combination on November 18, 2022, for total purchase consideration of $46.3 million, net of cash acquired. The total purchase consideration included the estimated fair value of contingent consideration subject to the acquired business’s achievement of certain revenue targets. The transaction was accounted for as a business combination using the acquisition method of accounting. Accordingly, the consideration paid was recorded at fair value at the acquisition date and is remeasured at each subsequent reporting period. The fair value of the contingent consideration liabilities is $10.1 million at December 31, 2023.</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estimation of the fair value of the contingent consideration liabilities at December 31, 2023 as a critical audit matter. The fair value of the contingent consideration liabilities utilized a Monte Carlo simulation model, which is a complex valuation model and required certain subjective estimates and assumptions related to revenue growth projections, revenue volatility, discount rates, and payment discount rates. Auditing these assumptions involved especially subjective and complex auditor judgment due to the nature and extent of audit effort required to address these matters, including the use of personnel with specialized knowledge and skills in valuation.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the critical audit matter included:</w:t>
      </w:r>
    </w:p>
    <w:p>
      <w:pPr>
        <w:spacing w:after="0" w:line="117" w:lineRule="exact"/>
        <w:rPr>
          <w:sz w:val="20"/>
          <w:szCs w:val="20"/>
          <w:color w:val="auto"/>
        </w:rPr>
      </w:pPr>
    </w:p>
    <w:p>
      <w:pPr>
        <w:jc w:val="center"/>
        <w:ind w:left="5580" w:right="1060" w:hanging="5248"/>
        <w:spacing w:after="0" w:line="923"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revenue growth projections considering the consistency with external industry and market data.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5" w:name="page46"/>
    <w:bookmarkEnd w:id="45"/>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skills in valuation to assist in evaluating the appropriateness of the Company’s valuation model and the reasonableness of the revenue volatility, discount rates and payment discount rates, by developing independent estimates using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/s/</w:t>
        <w:tab/>
        <w:t>BDO USA, P.C.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99"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Westwood Holdings Group, Inc.</w:t>
      </w:r>
    </w:p>
    <w:p>
      <w:pPr>
        <w:spacing w:after="0" w:line="1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Opinion on the Financial Statements </w:t>
      </w:r>
      <w:r>
        <w:rPr>
          <w:rFonts w:ascii="Times New Roman" w:cs="Times New Roman" w:eastAsia="Times New Roman" w:hAnsi="Times New Roman"/>
          <w:sz w:val="18"/>
          <w:szCs w:val="18"/>
          <w:color w:val="auto"/>
        </w:rPr>
        <w:t>We have audited the accompanying consolidated balance sheet of Westwood Holdings Group, Inc. and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of December 31, 2021, the related consolidated statement of comprehensive income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2015. In 2022 we became the predecessor auditor.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par values and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23,859</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0" w:type="dxa"/>
            <w:vAlign w:val="bottom"/>
          </w:tcPr>
          <w:p>
            <w:pPr>
              <w:spacing w:after="0"/>
              <w:rPr>
                <w:sz w:val="1"/>
                <w:szCs w:val="1"/>
                <w:color w:val="auto"/>
              </w:rPr>
            </w:pPr>
          </w:p>
        </w:tc>
      </w:tr>
      <w:tr>
        <w:trPr>
          <w:trHeight w:val="207"/>
        </w:trPr>
        <w:tc>
          <w:tcPr>
            <w:tcW w:w="83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72,238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investments at fair value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28,952</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$10,078 and $9,277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long-term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82,929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88,235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155,167</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146,427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3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07"/>
        </w:trPr>
        <w:tc>
          <w:tcPr>
            <w:tcW w:w="83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18,165</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35,779</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25,000,000 shares, issued 11,856,737 and 11,527,544, respectively and</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9,140,760 and 8,881,831, respectively</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199,914</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Treasury stock, at cost – 2,715,977 and 2,645,713, respectively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(85,128)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0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Westwood Holdings Group, Inc. stockholders’ equity</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120,401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110,648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Noncontrolling interest in consolidated subsidiary</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122,446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110,648</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155,167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146,427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Advisory fees: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Asset-based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45,927</w:t>
            </w:r>
          </w:p>
        </w:tc>
      </w:tr>
      <w:tr>
        <w:trPr>
          <w:trHeight w:val="213"/>
        </w:trPr>
        <w:tc>
          <w:tcPr>
            <w:tcW w:w="72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Performance-based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Trust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24,030</w:t>
            </w: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Trust performance-based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07"/>
        </w:trPr>
        <w:tc>
          <w:tcPr>
            <w:tcW w:w="72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68,681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73,054</w:t>
            </w: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42,532</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Westwood mutual funds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Information technology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w:t>
            </w: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Professional services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w:t>
            </w: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Acquisition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2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83,776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67,095</w:t>
            </w: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w:t>
            </w:r>
          </w:p>
        </w:tc>
      </w:tr>
      <w:tr>
        <w:trPr>
          <w:trHeight w:val="207"/>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Realized gains on private investments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change in unrealized appreciation (depreciation) on private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0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14,003</w:t>
            </w: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r>
      <w:tr>
        <w:trPr>
          <w:trHeight w:val="182"/>
        </w:trPr>
        <w:tc>
          <w:tcPr>
            <w:tcW w:w="72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10,571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(4,628)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9,763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Westwood Holdings Group, Inc.</w:t>
            </w: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7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7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7,964,423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7,844,363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7,875,395</w:t>
            </w:r>
          </w:p>
        </w:tc>
      </w:tr>
      <w:tr>
        <w:trPr>
          <w:trHeight w:val="210"/>
        </w:trPr>
        <w:tc>
          <w:tcPr>
            <w:tcW w:w="7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8,112,139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7,927,972</w:t>
            </w:r>
          </w:p>
        </w:tc>
      </w:tr>
    </w:tbl>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9" w:name="page50"/>
    <w:bookmarkEnd w:id="49"/>
    <w:p>
      <w:pPr>
        <w:ind w:left="3120"/>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1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Westwood Holdings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320" w:type="dxa"/>
            <w:vAlign w:val="bottom"/>
            <w:gridSpan w:val="3"/>
          </w:tcPr>
          <w:p>
            <w:pPr>
              <w:jc w:val="center"/>
              <w:ind w:left="629"/>
              <w:spacing w:after="0"/>
              <w:rPr>
                <w:sz w:val="20"/>
                <w:szCs w:val="20"/>
                <w:color w:val="auto"/>
              </w:rPr>
            </w:pPr>
            <w:r>
              <w:rPr>
                <w:rFonts w:ascii="Times New Roman" w:cs="Times New Roman" w:eastAsia="Times New Roman" w:hAnsi="Times New Roman"/>
                <w:sz w:val="13"/>
                <w:szCs w:val="13"/>
                <w:b w:val="1"/>
                <w:bCs w:val="1"/>
                <w:color w:val="auto"/>
                <w:w w:val="95"/>
              </w:rPr>
              <w:t>Group, Inc.</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140" w:type="dxa"/>
            <w:vAlign w:val="bottom"/>
            <w:gridSpan w:val="5"/>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 Stock, Par</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5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3"/>
                <w:szCs w:val="3"/>
                <w:color w:val="auto"/>
              </w:rPr>
            </w:pPr>
          </w:p>
        </w:tc>
        <w:tc>
          <w:tcPr>
            <w:tcW w:w="8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20" w:type="dxa"/>
            <w:vAlign w:val="bottom"/>
          </w:tcPr>
          <w:p>
            <w:pPr>
              <w:spacing w:after="0"/>
              <w:rPr>
                <w:sz w:val="3"/>
                <w:szCs w:val="3"/>
                <w:color w:val="auto"/>
              </w:rPr>
            </w:pPr>
          </w:p>
        </w:tc>
        <w:tc>
          <w:tcPr>
            <w:tcW w:w="106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3520" w:type="dxa"/>
            <w:vAlign w:val="bottom"/>
          </w:tcPr>
          <w:p>
            <w:pPr>
              <w:spacing w:after="0"/>
              <w:rPr>
                <w:sz w:val="6"/>
                <w:szCs w:val="6"/>
                <w:color w:val="auto"/>
              </w:rPr>
            </w:pP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Noncontrolling Interest</w:t>
            </w:r>
          </w:p>
        </w:tc>
        <w:tc>
          <w:tcPr>
            <w:tcW w:w="200" w:type="dxa"/>
            <w:vAlign w:val="bottom"/>
          </w:tcPr>
          <w:p>
            <w:pPr>
              <w:spacing w:after="0"/>
              <w:rPr>
                <w:sz w:val="6"/>
                <w:szCs w:val="6"/>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8,326,948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210,268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130,711</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of capital ($2.50 per share)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(20,823)</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($0.45 per share), net of forfeitures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 under employee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8,253,491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195,187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(81,750)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117,906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868,900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of capital ($0.15 per share)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($0.45 per share), net of forfeitures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8,881,831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110,648</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of capital ($0.60 per share)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net of forfeitures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WESTWOOD HOLDINGS GROUP, INC. AND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9,763</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Realized gains on private investments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Loss on asset disposition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Gain on remeasurement of lease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Fair value change of contingent consideration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Gain on insurance settlement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Gain on asset disposition</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(purchases) sales of investments – trading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95"/>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19,385</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net of cash acquired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Insurance settlement proceeds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 of investments</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9,258</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on sale of property and equipment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Cash dividends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(22,932)</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currency rate changes on cash</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year for income taxes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0" w:type="dxa"/>
            <w:vAlign w:val="bottom"/>
          </w:tcPr>
          <w:p>
            <w:pPr>
              <w:spacing w:after="0"/>
              <w:rPr>
                <w:sz w:val="1"/>
                <w:szCs w:val="1"/>
                <w:color w:val="auto"/>
              </w:rPr>
            </w:pPr>
          </w:p>
        </w:tc>
      </w:tr>
      <w:tr>
        <w:trPr>
          <w:trHeight w:val="195"/>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dividends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0" w:type="dxa"/>
            <w:vAlign w:val="bottom"/>
          </w:tcPr>
          <w:p>
            <w:pPr>
              <w:spacing w:after="0"/>
              <w:rPr>
                <w:sz w:val="1"/>
                <w:szCs w:val="1"/>
                <w:color w:val="auto"/>
              </w:rPr>
            </w:pPr>
          </w:p>
        </w:tc>
      </w:tr>
      <w:tr>
        <w:trPr>
          <w:trHeight w:val="188"/>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Acquired contingent consideration</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and Salient Advisors, L.P. (referred to hereinafter together as “Westwood Management”), and Westwood Trust.</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fluctuations in financial markets and in the composition of AUM impact our revenues and results of operations.</w:t>
      </w:r>
    </w:p>
    <w:p>
      <w:pPr>
        <w:spacing w:after="0" w:line="72"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adviser under the Investment Advisers Act of 1940. Westwood Trust is chartered and regulated by the Texas Department of Banking.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Broadmark Asset Management LLC</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acquired a 48% interest in Broadmark Asset Management LLC ("Broadmark") via the Salient Acquisition. 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RIA managing and/or sub-advising mutual funds, retail and institutional separately-managed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Controlling Interest in Asset Management Business of Salient Partners, L.P.</w:t>
      </w:r>
    </w:p>
    <w:p>
      <w:pPr>
        <w:spacing w:after="0" w:line="12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On November 18, 2022, we completed our acquisition (the "Salient Acquisition") of the asset management business of Salient Partners, L.P., a Delaware limited partnership (“Salient Partners”).</w:t>
      </w:r>
    </w:p>
    <w:p>
      <w:pPr>
        <w:spacing w:after="0" w:line="5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Salient Partners is a Houston-based real asset and investment firm that offered a suite of strategies focused on energy and infrastructure, real estate and tactical alternative investments. Westwood purchased substantially all of the properties, rights and assets and assumed certain liabilities of Salient Partners. Westwood acquired Salient Partners’ four distinct investment capabilities: Energy Infrastructure, Tactical Absolute Return, Real Estate, and Private Investments.</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part of the Salient Acquisition, we also acquired Salient Capital, L.P. ("SCLP") and Salient Advisors, L.P. ("Salient Advisors"). SCLP is an SEC-registered broker-dealer and Financial Industry Regulatory Authority ("FINRA") member and serves as a sub-placement agent for private placements. Salient Advisors is an SEC 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Westwood and its subsidiaries. All intercompany accounts and transactions have been eliminated upon consolidation.</w:t>
      </w:r>
    </w:p>
    <w:p>
      <w:pPr>
        <w:spacing w:after="0" w:line="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investors’ abilities to direct the activities of the entity.</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8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54"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Westwood Technology Opportunities Fund I, LP and Westwood Energy Secondaries (collectively the “Private Funds”), (ii) our advisory relationships with the Westwood Funds® and (iii) our investments in InvestCloud, Vista, Zarvona Energy Fund GP and Zarvona Energy Fund II-A as discussed in Note 6 </w:t>
      </w:r>
      <w:r>
        <w:rPr>
          <w:rFonts w:ascii="Times New Roman" w:cs="Times New Roman" w:eastAsia="Times New Roman" w:hAnsi="Times New Roman"/>
          <w:sz w:val="18"/>
          <w:szCs w:val="18"/>
          <w:color w:val="222222"/>
        </w:rPr>
        <w:t>“Investments”</w:t>
      </w:r>
      <w:r>
        <w:rPr>
          <w:rFonts w:ascii="Times New Roman" w:cs="Times New Roman" w:eastAsia="Times New Roman" w:hAnsi="Times New Roman"/>
          <w:sz w:val="18"/>
          <w:szCs w:val="18"/>
          <w:color w:val="auto"/>
        </w:rPr>
        <w:t xml:space="preserve"> (“Private Equity”) to determine whether each of these entities is a variable interest entity (“VIE”) or voting ownership entity (“VOE”).</w:t>
      </w:r>
    </w:p>
    <w:p>
      <w:pPr>
        <w:spacing w:after="0" w:line="7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Based on our analyses, we determined that the CTFs, Private Funds and Zarvona Energy Fund II-A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 We have not consolidated our investments in those entities for the periods ending December 31, 2023 and 2022.</w:t>
      </w:r>
    </w:p>
    <w:p>
      <w:pPr>
        <w:spacing w:after="0" w:line="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Based on our analyses, we determined the Westwood Funds®, InvestCloud, Vista,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December 31, 2023 and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revenues and expenses in the financial statements. Such estimates include, but are not limited to, the Company's estimates in connection with values of long lived assets, provision for income tax, goodwill, intangible assets, contingent consideration and accrued expenses. Actual results could differ significantly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 which are held at large, well-capitalized financial institutions.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ind w:right="100" w:firstLine="486"/>
        <w:spacing w:after="0" w:line="255" w:lineRule="auto"/>
        <w:rPr>
          <w:sz w:val="20"/>
          <w:szCs w:val="20"/>
          <w:color w:val="auto"/>
        </w:rPr>
      </w:pPr>
      <w:r>
        <w:rPr>
          <w:rFonts w:ascii="Times New Roman" w:cs="Times New Roman" w:eastAsia="Times New Roman" w:hAnsi="Times New Roman"/>
          <w:sz w:val="18"/>
          <w:szCs w:val="18"/>
          <w:color w:val="auto"/>
        </w:rPr>
        <w:t>Accounts receivable represents balances arising from services provided to customers and are recorded on an accrual basis, net of any allowance for credit losses.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w:t>
      </w:r>
    </w:p>
    <w:p>
      <w:pPr>
        <w:spacing w:after="0" w:line="3" w:lineRule="exact"/>
        <w:rPr>
          <w:sz w:val="20"/>
          <w:szCs w:val="20"/>
          <w:color w:val="auto"/>
        </w:rPr>
      </w:pPr>
    </w:p>
    <w:p>
      <w:pPr>
        <w:ind w:right="1900"/>
        <w:spacing w:after="0" w:line="365" w:lineRule="auto"/>
        <w:rPr>
          <w:sz w:val="20"/>
          <w:szCs w:val="20"/>
          <w:color w:val="auto"/>
        </w:rPr>
      </w:pPr>
      <w:r>
        <w:rPr>
          <w:rFonts w:ascii="Times New Roman" w:cs="Times New Roman" w:eastAsia="Times New Roman" w:hAnsi="Times New Roman"/>
          <w:sz w:val="18"/>
          <w:szCs w:val="18"/>
          <w:color w:val="auto"/>
        </w:rPr>
        <w:t xml:space="preserve">Accordingly, our Consolidated Financial Statements include neither an allowance for credit losses, nor provision for credit losses. </w:t>
      </w:r>
      <w:r>
        <w:rPr>
          <w:rFonts w:ascii="Times New Roman" w:cs="Times New Roman" w:eastAsia="Times New Roman" w:hAnsi="Times New Roman"/>
          <w:sz w:val="18"/>
          <w:szCs w:val="18"/>
          <w:b w:val="1"/>
          <w:bCs w:val="1"/>
          <w:color w:val="auto"/>
        </w:rPr>
        <w:t>Investments</w:t>
      </w: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Investments that are measured at fair market value are classified as trading securities and are carried at quoted market values on the accompanying Consolidated Balance Sheets. Net unrealized holding gains or losses on investments classified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trading securities are reflected as a component of other revenues. We measure realized gains and losses on investments using the specific identification method.</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For an investment without a readily determinable fair value, the Company has elected to apply the measurement alternative of cost minus impairment, if any, plus or minus changes resulting from observable price changes. The Company will reassess whether such an investment qualifies for the measurement alternative at each reporting period. In evaluating an investment for impairment or observable price changes, we will use inputs including recent financing events, as well as other available information regarding the investee's historical and forecasted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We determined the estimated fair values of our financial instruments using available information. The fair value amounts discussed in Notes 6 “Investments” and 7 “Fair Value Measurements” are not necessarily indicative of either the amounts realizable upon disposition of these instruments or of our intent or ability to dispose of these assets. The estimated fair value of cash and cash equivalents, included in Level 1 of the fair value hierarchy as discussed in Note 7 "Fair Value Measurements", approximates their carrying value due to their short-term maturities. The carrying amount of investments designated as “trading” securities, primarily U.S. Government securities, money market funds, equity funds, equities and exchange-traded bond funds, equals fair value based on prices quoted in active markets and, with respect to funds, the reported net asset value (“NAV”) of the shares held. Market values of our money market holdings generally do not fluctuate.</w:t>
      </w:r>
    </w:p>
    <w:p>
      <w:pPr>
        <w:spacing w:after="0" w:line="7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investments in InvestCloud and Vista are measured at cost minus impairment, if any, plus or minus changes resulting from observable price changes.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investment in Westwood Hospitality is measured at fair value using NAV as a practical expedient.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liabilities assumed at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at least annually for impairment.</w:t>
      </w:r>
    </w:p>
    <w:p>
      <w:pPr>
        <w:spacing w:after="0" w:line="9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An impairment charge would be recognized for the amount by which the carrying amount exceeds the reporting unit’s fair value; however, the loss recognized should not exceed the total amount of goodwill allocated to that reporting unit. The fair value of each reporting unit is estimated using a market multiple approach and an income approach.</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completed our most recent annual goodwill impairment assessment during the third quarter of 2023, and determined that no goodwill impairment related to the Advisory and Trust segments was required. There was no goodwill impairment in either segment during the years ended December 31, 2023, 2022 or 2021.</w:t>
      </w:r>
    </w:p>
    <w:p>
      <w:pPr>
        <w:spacing w:after="0" w:line="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the acquired client relationships, trade names, non-compete agreements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11 “Goodwill and Other Intangible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 We include depreciation in the “General and administrative” line on our Consolidated Statements of Comprehensive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net investment strategies. The "Other, net” revenues on our Consolidated Statements of Comprehensive Income (Loss) are the unrealized gains and losses on our seed money investments, and our seed money investments are included in "Investments, at fair value" on our Consolidated Balance Sheets. Our seed money investments were $3.0 million and $7.3 million at December 31, 2023 and 2022, respectively. Advisory and Trust fees are calculated based on a percentage of AUM and AUA, and the performance obligation is realized over the then-current calendar quarter. Once clients receive our investment advisory services we have an enforceable right to payment.</w:t>
      </w:r>
    </w:p>
    <w:p>
      <w:pPr>
        <w:spacing w:after="0" w:line="8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Incremental costs to obtain a contract are eligible to be capitalized if the costs are expected to be recovered over the service period. We incur certain incremental costs in obtaining new business and continually evaluate whether costs should be capitalized and amortized over the expected period of benefit of the asset. Certain costs used to fulfill a contract such as the distribution services utilized to sell our Westwood Funds® are expensed as incurred. We recognize the incremental costs of obtaining a contract as an expense when incurred if the amortization period of the asset that the entity otherwise would have recognized is one year or less.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have issued restricted stock to certain U.S. employees and Board of Directors (the "Board") in accordance with our Ninth Amended and Restated Westwood Holdings Group, Inc. Stock Incentive Plan (the “Plan”).</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 We account for restricted stock forfeitures as they occur.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We file a U. S. federal income tax return as a consolidated group for Westwood and its U.S.-based subsidiaries. Deferred income tax assets and liabilities are determined based on temporary differences between the financial statements and income tax bases of assets and liabilities as measured at enacted income tax rates.</w:t>
      </w:r>
    </w:p>
    <w:p>
      <w:pPr>
        <w:spacing w:after="0" w:line="6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(Loss). See Note 9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and leases are classified as either operating or finance leases at the lease commencement date. An arrangement contains a lease if it implicitly or explicitly identifies an asset to be used and conveys the right to control the use of the identified asset in exchange for consideration.</w:t>
      </w:r>
    </w:p>
    <w:p>
      <w:pPr>
        <w:spacing w:after="0" w:line="68"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lease liabilities are recognized upon commencement of the lease based on the present value of the lease payments over the lease term. As most of our leases do not provide an implicit interest rate, we generally use our estimated incremental borrowing rate at commencement date to determine the present value of lease payments. When readily determinable, we use the rate implicit in the lease.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w:t>
      </w:r>
    </w:p>
    <w:p>
      <w:pPr>
        <w:spacing w:after="0" w:line="117"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leases and short-term leases is recognized on a straight-line basis over the lease term. Expenses associated with operating leases are recorded in “General and administrative” expenses on our Consolidated Statements of Comprehensive Income (Loss). Short-term leases with a term of 12 months or less are not capitalized.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In allocating the purchase price of a business combination, the Company records all assets acquired and liabilities assumed at fair value, with the excess of the purchase price over the aggregate fair values recorded as goodwill.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acquisition and are expensed as incurred.</w:t>
      </w:r>
    </w:p>
    <w:p>
      <w:pPr>
        <w:spacing w:after="0" w:line="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acquired client relationships, trade names and non-compete agreements are subject to fair value measurements based primarily on significant inputs not observable in the market and thus represent level 3 measurements. The valuation of an acquired client relationship utilizes an income approach, which provides an estimate of the fair value of an asset based on discounted cash flows and management estimates, including the estimated growth associated with existing clients, market growth and client attrition. The valuation of acquired trade names uses a relief from royalty method in which the fair value of the intangible asset is estimated to be the present value of royalties saved because the Company owns the intangible asset. Revenue projections and estimated useful lives are used in estimating the fair value of the trade names. The non-compete agreements are calculated using the differential cash flow method (with-or-without method), which utilizes the probability of certain employees competing with the Company and revenue projections to calculate the valuation of non-competition agreements.</w:t>
      </w:r>
    </w:p>
    <w:p>
      <w:pPr>
        <w:spacing w:after="0" w:line="84"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payment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Comprehensive Income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Investments in entities where we have the ability to exercise significant influence, but do not control, are accounted for under the equity method of accounting and are included in "Equity method investments" on our Consolidated Balance Sheets. Significant influence typically exists if we have a 20% to 50% ownership interest in the investee.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w:t>
      </w:r>
    </w:p>
    <w:p>
      <w:pPr>
        <w:spacing w:after="0" w:line="75"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Company’s proportionate share of the net income or loss of equity method investments is included in "Other income" on the Consolidated Statements of Comprehensive Income (Loss), and any dividends received reduce the carrying value of the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w:t>
      </w:r>
    </w:p>
    <w:p>
      <w:pPr>
        <w:spacing w:after="0" w:line="115"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ASU 2023-07, </w:t>
      </w:r>
      <w:r>
        <w:rPr>
          <w:rFonts w:ascii="Times New Roman" w:cs="Times New Roman" w:eastAsia="Times New Roman" w:hAnsi="Times New Roman"/>
          <w:sz w:val="17"/>
          <w:szCs w:val="17"/>
          <w:i w:val="1"/>
          <w:iCs w:val="1"/>
          <w:color w:val="auto"/>
        </w:rPr>
        <w:t>Segment Reporting (Topic 280):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Reportable Segment Disclosures</w:t>
      </w:r>
      <w:r>
        <w:rPr>
          <w:rFonts w:ascii="Times New Roman" w:cs="Times New Roman" w:eastAsia="Times New Roman" w:hAnsi="Times New Roman"/>
          <w:sz w:val="17"/>
          <w:szCs w:val="17"/>
          <w:color w:val="auto"/>
        </w:rPr>
        <w:t>, which requires an entity to disclose significant segment expenses and other segment items on an annual and interim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provide in interim periods all disclosures about a reportable segment’s profit or loss and assets that are currently required annually. Additionally, it requires an entity to disclose the title and position of the Chief Operating Decision Maker. This ASU does not change how an entity identifies its operating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An entity should apply the amendments in this ASU retrospectively to all prior periods presented in the financial statements. We expect this ASU to impact our disclosures, with no impact to our results of operations, cash flows or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income tax rate reconciliation and income taxes paid. ASU 2023-09 requires an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entities are required to disclose income taxes paid, net of refunds received disaggregated by federal, state/local, and foreign, and by jurisdiction if the amount is at least 5% of total income tax payments, net of refunds received.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impact our disclosures, with no impact to our results of operations, cash flows, or financial condition.</w:t>
      </w:r>
    </w:p>
    <w:p>
      <w:pPr>
        <w:spacing w:after="0" w:line="78" w:lineRule="exact"/>
        <w:rPr>
          <w:sz w:val="20"/>
          <w:szCs w:val="20"/>
          <w:color w:val="auto"/>
        </w:rPr>
      </w:pPr>
    </w:p>
    <w:p>
      <w:pPr>
        <w:ind w:right="8700" w:firstLine="8"/>
        <w:spacing w:after="0" w:line="377"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Broadmark</w:t>
      </w:r>
    </w:p>
    <w:p>
      <w:pPr>
        <w:spacing w:after="0" w:line="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Westwood completed the Broadmark Acquisition in January 2023, increasing our investment by approximately 32%, to 80%, giving Westwood a controlling interest and requiring an allocation of the Broadmark Acquisition purchase price. The total consideration recorded for accounting purposes consisted of $1.2 million in cash (net of cash acquired).</w:t>
      </w:r>
    </w:p>
    <w:p>
      <w:pPr>
        <w:spacing w:after="0" w:line="6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Prior to the Broadmark Acquisition, Westwood had a $2.4 million equity method investment in Broadmark, the fair value of which was estimated using recent market transactions. Westwood's equity method investment was derecognized without gain or loss following the Broadmark Acquisition, however there was a corresponding increase to goodwill.</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Broadmark Acquisition was accounted for using the acquisition method of accounting. Accordingly, the purchase price was allocated to tangible assets acquired and liabilities assumed based on their estimated fair values as of the acquisition date. The total consideration of $1.6 million has been allocated based on valuations of acquired assets and assumed liabilities in connection with the acquisition.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allocation of the Broadmark Acquisition purchase price was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2"/>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consideration, net of cash acquired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57"/>
        </w:trPr>
        <w:tc>
          <w:tcPr>
            <w:tcW w:w="9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Westwood's investment in Broadmark before the business combination</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noncontrolling interest in Broadmark</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59"/>
        </w:trPr>
        <w:tc>
          <w:tcPr>
            <w:tcW w:w="9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14"/>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0"/>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39"/>
        </w:trPr>
        <w:tc>
          <w:tcPr>
            <w:tcW w:w="9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r>
    </w:tbl>
    <w:p>
      <w:pPr>
        <w:spacing w:after="0" w:line="200" w:lineRule="exact"/>
        <w:rPr>
          <w:sz w:val="20"/>
          <w:szCs w:val="20"/>
          <w:color w:val="auto"/>
        </w:rPr>
      </w:pPr>
    </w:p>
    <w:p>
      <w:pPr>
        <w:spacing w:after="0" w:line="33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Westwood recognized approximately $1.0 million of a noncontrolling interest in a consolidated subsidiary at the acquisition date. Fair value of this interest was estimated using recent market transactions.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is not expected to be deductible for tax purposes.</w:t>
      </w:r>
    </w:p>
    <w:p>
      <w:pPr>
        <w:spacing w:after="0" w:line="6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has included $4.4 million of revenue and $4.1 million of net income related to Broadmark in its Consolidated Statements of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results of operations for the years ended December 31, 2023 and 2022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89,781</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73,058</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10,571</w:t>
            </w: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Salient</w:t>
      </w:r>
    </w:p>
    <w:p>
      <w:pPr>
        <w:spacing w:after="0" w:line="12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Westwood completed the Salient Acquisition on November 18, 2022. The total consideration recorded for accounting purposes consisted of (i) $33.4 million in cash (net of cash acquired) and (ii) estimated contingent consideration of $12.9 million.</w:t>
      </w:r>
    </w:p>
    <w:p>
      <w:pPr>
        <w:spacing w:after="0" w:line="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Salient Acquisition was accounted for using the acquisition method of accounting. Accordingly, the purchase price was allocated to the tangible and intangible assets acquired and the liabilities assumed based on their estimated fair values as of the acquisition date. The total consideration of $46.3 million was allocated at November 18, 2022 based on valuations of acquired assets and assumed liabilities in connection with the acquisition.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allocation of the Salient Acquisition purchase price was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33,953</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contingent consideration</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7"/>
        </w:trPr>
        <w:tc>
          <w:tcPr>
            <w:tcW w:w="9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consideration, net of cash acquired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46,320</w:t>
            </w:r>
          </w:p>
        </w:tc>
      </w:tr>
      <w:tr>
        <w:trPr>
          <w:trHeight w:val="205"/>
        </w:trPr>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4"/>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9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19"/>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07"/>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r>
      <w:tr>
        <w:trPr>
          <w:trHeight w:val="207"/>
        </w:trPr>
        <w:tc>
          <w:tcPr>
            <w:tcW w:w="9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28,785</w:t>
            </w:r>
          </w:p>
        </w:tc>
      </w:tr>
      <w:tr>
        <w:trPr>
          <w:trHeight w:val="165"/>
        </w:trPr>
        <w:tc>
          <w:tcPr>
            <w:tcW w:w="9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14"/>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07"/>
        </w:trPr>
        <w:tc>
          <w:tcPr>
            <w:tcW w:w="9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05"/>
        </w:trPr>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4"/>
        </w:trPr>
        <w:tc>
          <w:tcPr>
            <w:tcW w:w="9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Less: Net Assets Acquired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26,989</w:t>
            </w:r>
          </w:p>
        </w:tc>
      </w:tr>
      <w:tr>
        <w:trPr>
          <w:trHeight w:val="204"/>
        </w:trPr>
        <w:tc>
          <w:tcPr>
            <w:tcW w:w="9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2"/>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r>
    </w:tbl>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$12.9 million of contingent consideration, as of the acquisition date, relates to two separate earn-outs: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Revenue retention earn-out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right="20" w:firstLine="324"/>
        <w:spacing w:after="0" w:line="261" w:lineRule="auto"/>
        <w:rPr>
          <w:sz w:val="20"/>
          <w:szCs w:val="20"/>
          <w:color w:val="auto"/>
        </w:rPr>
      </w:pPr>
      <w:r>
        <w:rPr>
          <w:rFonts w:ascii="Times New Roman" w:cs="Times New Roman" w:eastAsia="Times New Roman" w:hAnsi="Times New Roman"/>
          <w:sz w:val="18"/>
          <w:szCs w:val="18"/>
          <w:color w:val="auto"/>
        </w:rPr>
        <w:t>The Salient Acquisition contains contingent consideration related to revenue retention, which has a maximum payment amount of $15.0 million. The gross amount is based on the retention of a minimum level of net revenue in the fifteen, eighteen, twenty-one and twenty-four months following the close of the Salient Acquisition. As this earn-out is expected to be settled with cash it was accounted for as a liability on our Consolidated Balance Sheets.</w:t>
      </w:r>
    </w:p>
    <w:p>
      <w:pPr>
        <w:spacing w:after="0" w:line="72" w:lineRule="exact"/>
        <w:rPr>
          <w:sz w:val="20"/>
          <w:szCs w:val="20"/>
          <w:color w:val="auto"/>
        </w:rPr>
      </w:pPr>
    </w:p>
    <w:p>
      <w:pPr>
        <w:ind w:left="500" w:right="40" w:firstLine="324"/>
        <w:spacing w:after="0" w:line="261" w:lineRule="auto"/>
        <w:rPr>
          <w:sz w:val="20"/>
          <w:szCs w:val="20"/>
          <w:color w:val="auto"/>
        </w:rPr>
      </w:pPr>
      <w:r>
        <w:rPr>
          <w:rFonts w:ascii="Times New Roman" w:cs="Times New Roman" w:eastAsia="Times New Roman" w:hAnsi="Times New Roman"/>
          <w:sz w:val="18"/>
          <w:szCs w:val="18"/>
          <w:color w:val="auto"/>
        </w:rPr>
        <w:t>The acquisition-date fair value of the revenue retention earn-out was estimated by using overall revenue growth projections combined with existing customer base revenues, both discounted and probability-weighted. Fair value measurement of the revenue retention earn-out was estimated using Monte Carlo simulation models and was based primarily on significant inputs not observable in the market and thus represents a level 3 measurement as defined in ASC 820. See further discussion in Note 7 "Fair Value Measurements."</w:t>
      </w:r>
    </w:p>
    <w:p>
      <w:pPr>
        <w:spacing w:after="0" w:line="72" w:lineRule="exact"/>
        <w:rPr>
          <w:sz w:val="20"/>
          <w:szCs w:val="20"/>
          <w:color w:val="auto"/>
        </w:rPr>
      </w:pPr>
    </w:p>
    <w:p>
      <w:pPr>
        <w:ind w:left="500"/>
        <w:spacing w:after="0"/>
        <w:tabs>
          <w:tab w:leader="none" w:pos="780" w:val="left"/>
        </w:tabs>
        <w:rPr>
          <w:sz w:val="20"/>
          <w:szCs w:val="20"/>
          <w:color w:val="auto"/>
        </w:rPr>
      </w:pPr>
      <w:r>
        <w:rPr>
          <w:rFonts w:ascii="Times New Roman" w:cs="Times New Roman" w:eastAsia="Times New Roman" w:hAnsi="Times New Roman"/>
          <w:sz w:val="18"/>
          <w:szCs w:val="18"/>
          <w:color w:val="auto"/>
        </w:rPr>
        <w:t>2.</w:t>
        <w:tab/>
        <w:t>Growth earn-out</w:t>
      </w:r>
    </w:p>
    <w:p>
      <w:pPr>
        <w:spacing w:after="0" w:line="117" w:lineRule="exact"/>
        <w:rPr>
          <w:sz w:val="20"/>
          <w:szCs w:val="20"/>
          <w:color w:val="auto"/>
        </w:rPr>
      </w:pPr>
    </w:p>
    <w:p>
      <w:pPr>
        <w:ind w:left="500" w:right="100" w:firstLine="324"/>
        <w:spacing w:after="0" w:line="258" w:lineRule="auto"/>
        <w:rPr>
          <w:sz w:val="20"/>
          <w:szCs w:val="20"/>
          <w:color w:val="auto"/>
        </w:rPr>
      </w:pPr>
      <w:r>
        <w:rPr>
          <w:rFonts w:ascii="Times New Roman" w:cs="Times New Roman" w:eastAsia="Times New Roman" w:hAnsi="Times New Roman"/>
          <w:sz w:val="18"/>
          <w:szCs w:val="18"/>
          <w:color w:val="auto"/>
        </w:rPr>
        <w:t>The Salient Acquisition contains contingent consideration related to growth, which has a maximum payment amount of $10.0 million. The growth earn-out payment is based on growth in net revenue in the second and third years following the close of the Salient Acquisition. The growth earn-out payment, if any, would be paid in shares of the Company’s common stock in amounts equivalent to the dollar value of the earn-out. As this earn-out did not satisfy the equity classification criteria of ASC 805</w:t>
      </w:r>
      <w:r>
        <w:rPr>
          <w:rFonts w:ascii="Times New Roman" w:cs="Times New Roman" w:eastAsia="Times New Roman" w:hAnsi="Times New Roman"/>
          <w:sz w:val="18"/>
          <w:szCs w:val="18"/>
          <w:i w:val="1"/>
          <w:iCs w:val="1"/>
          <w:color w:val="auto"/>
        </w:rPr>
        <w:t>, Business Combinations</w:t>
      </w:r>
      <w:r>
        <w:rPr>
          <w:rFonts w:ascii="Times New Roman" w:cs="Times New Roman" w:eastAsia="Times New Roman" w:hAnsi="Times New Roman"/>
          <w:sz w:val="18"/>
          <w:szCs w:val="18"/>
          <w:color w:val="auto"/>
        </w:rPr>
        <w:t xml:space="preserve"> it was accounted for as a liability on our Consolidated Balance Sheets.</w:t>
      </w:r>
    </w:p>
    <w:p>
      <w:pPr>
        <w:spacing w:after="0" w:line="75" w:lineRule="exact"/>
        <w:rPr>
          <w:sz w:val="20"/>
          <w:szCs w:val="20"/>
          <w:color w:val="auto"/>
        </w:rPr>
      </w:pPr>
    </w:p>
    <w:p>
      <w:pPr>
        <w:ind w:left="500" w:right="20" w:firstLine="324"/>
        <w:spacing w:after="0" w:line="261" w:lineRule="auto"/>
        <w:rPr>
          <w:sz w:val="20"/>
          <w:szCs w:val="20"/>
          <w:color w:val="auto"/>
        </w:rPr>
      </w:pPr>
      <w:r>
        <w:rPr>
          <w:rFonts w:ascii="Times New Roman" w:cs="Times New Roman" w:eastAsia="Times New Roman" w:hAnsi="Times New Roman"/>
          <w:sz w:val="18"/>
          <w:szCs w:val="18"/>
          <w:color w:val="auto"/>
        </w:rPr>
        <w:t>The acquisition-date fair value of the growth earn-out was estimated by using overall revenue growth projections combined with existing customer base revenues, both discounted and probability-weighted. Fair value measurement of the growth earn-out was estimated using Monte Carlo simulation models and was based primarily on significant inputs not observable in the market and thus represents a level 3 measurement as defined in ASC 820. See further discussion in Note 7 "Fair Value Measurements."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the identifiable intangible assets acquired (in thousands) and their respective useful lives: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Period</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4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14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client relationships asset was valued using the income approach (multi-period excess earnings method) and is amortized to “General and administrative” expense on our Consolidated Statements of Comprehensive Income (Loss) over an estimated useful life of fifteen years. Significant assumptions and estimates utilized in the model include the revenue growth projections, earnings growth rates, contributory asset charges and the selection of discount rates.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trade name asset was valued using the relief-of-royalty method and is amortized to "General and administrative" expense on our Consolidated Statements of Comprehensive Income (Loss) over an estimated useful life of three years. Significant assumptions and estimates utilized in the model include the revenue growth projections, earnings growth rates, royalty rates and the selection of discount rates.</w:t>
      </w:r>
    </w:p>
    <w:p>
      <w:pPr>
        <w:spacing w:after="0" w:line="68"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non-compete agreements asset was valued using the differential discounted cash flow method (with and without method) and is amortized to "General and administrative" expense on our Consolidated Statements of Comprehensive Income (Loss) over an estimated useful life of three years. Significant assumptions and estimates utilized in the model include the revenue growth projections, earnings growth rates, length of the non-compete agreements, ability to compete, the impact of competition and the selection of discount rates.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time of the acquisition, the Company believed that its enhanced size, expanded range of investment strategies and expected realization of synergies were the primary factors that contributed to a total purchase price that resulted in the recognition of goodwill. As of December 31, 2022, $5.9 million of the goodwill arising from the acquisition was expected to be deductible for tax purposes. During the year ended December 31, 2023, the Company reduced the Salient Acquisition goodwill by $0.4 million due to post-acquisition adjustments.</w:t>
      </w:r>
    </w:p>
    <w:p>
      <w:pPr>
        <w:spacing w:after="0" w:line="72"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included $3.1 million of revenue and $0.1 million of net loss related to Salient in its Consolidated Statements of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Financial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results of operations for the twelve months ended December 31, 2022 and 2021 assume the Salient Acquisition had occurred on January 1, 2021, after giving effect to acquisition accounting adjustments relating to amortization of the valued intangible assets and to record additional compensation costs related to restricted stock granted as a result of the acquisition. These unaudited pro forma results exclude one-time, non-recurring costs related to the acquisition, including $7.1 million of acquisition expenses in 2022. This unaudited pro forma information should not be relied upon as being necessarily indicative of the historical results that would have been obtained if the Salient Acquisition had actually occurred on that date, nor of the results that may be obtained in the future.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95,094</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99,467</w:t>
            </w: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(2,310)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(1,664)</w:t>
            </w:r>
          </w:p>
        </w:tc>
      </w:tr>
    </w:tbl>
    <w:p>
      <w:pPr>
        <w:spacing w:after="0" w:line="200" w:lineRule="exact"/>
        <w:rPr>
          <w:sz w:val="20"/>
          <w:szCs w:val="20"/>
          <w:color w:val="auto"/>
        </w:rPr>
      </w:pPr>
    </w:p>
    <w:p>
      <w:pPr>
        <w:spacing w:after="0" w:line="229" w:lineRule="exact"/>
        <w:rPr>
          <w:sz w:val="20"/>
          <w:szCs w:val="20"/>
          <w:color w:val="auto"/>
        </w:rPr>
      </w:pPr>
    </w:p>
    <w:p>
      <w:pPr>
        <w:ind w:right="9440" w:firstLine="8"/>
        <w:spacing w:after="0" w:line="378"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Advisory Fee Revenues</w:t>
      </w: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6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72"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and are paid monthly and quarterly in arrears. Since billing periods for most of Westwood Trust’s clients coincide with the calendar quarter, revenue is fully recognized within the quarter and our Consolidated Financial Statements contain no deferred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are excluded from revenues. The following table presents our revenue disaggregated by account type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11"/>
        </w:trPr>
        <w:tc>
          <w:tcPr>
            <w:tcW w:w="7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37,738</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26,653</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31,069</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17,507</w:t>
            </w:r>
          </w:p>
        </w:tc>
      </w:tr>
      <w:tr>
        <w:trPr>
          <w:trHeight w:val="229"/>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24,131</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48"/>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firstLine="486"/>
        <w:spacing w:after="0" w:line="275" w:lineRule="auto"/>
        <w:rPr>
          <w:sz w:val="20"/>
          <w:szCs w:val="20"/>
          <w:color w:val="auto"/>
        </w:rPr>
      </w:pPr>
      <w:r>
        <w:rPr>
          <w:rFonts w:ascii="Times New Roman" w:cs="Times New Roman" w:eastAsia="Times New Roman" w:hAnsi="Times New Roman"/>
          <w:sz w:val="18"/>
          <w:szCs w:val="18"/>
          <w:color w:val="auto"/>
        </w:rPr>
        <w:t>We have clients in various locations around the world. The following table presents our revenue disaggregated by our clients' geographical locations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88,676</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89,781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6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(708)</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67,510</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(708)</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68,681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6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70,991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(339)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73,054</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6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our Chief Executive Officer, evaluates the performance of our segments based primarily on fee revenues.</w:t>
      </w:r>
    </w:p>
    <w:p>
      <w:pPr>
        <w:spacing w:after="0" w:line="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Salient and Westwood Management, which provide investment advisory services to similar clients, are included in our Advisory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380" w:firstLine="486"/>
        <w:spacing w:after="0" w:line="270"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49"/>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Westwood</w:t>
            </w: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89,247</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7"/>
        </w:trPr>
        <w:tc>
          <w:tcPr>
            <w:tcW w:w="4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75,460</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285,179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155,167</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 method investments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long-lived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69,389</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07"/>
        </w:trPr>
        <w:tc>
          <w:tcPr>
            <w:tcW w:w="4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49,075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68,681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283,027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146,427</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35,732</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 method investments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long-lived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73,393</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7"/>
        </w:trPr>
        <w:tc>
          <w:tcPr>
            <w:tcW w:w="4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51,338</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73,054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222,335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139,605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Expenditures for long-lived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Refer to Note 4, “Revenue” for our revenue disaggregated by our clients' geographical location. As of December 31, 2023 and 2022, all of our property and equipment was in the United States.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2018, the Company has made strategic investments to enhance the services we provide our customers. Each of these investments is discussed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made a strategic investment during 2018 in InvestCloud, which is included in “Investments” on our Consolidated Balance Sheets at its carrying value of $4.4 million. This investment represents an equity interest in a private company without a readily determinable fair value. The Company has elected to apply the measurement alternative of cost minus impairment, if any, plus or minus changes resulting from observable price changes. Following InvestCloud's recapitalization in the first quarter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of 2021, we re-invested $4.4 million of our proceeds into newly-issued shares of InvestCloud. No impairments of this investment were recorded during the years ended December 31, 2023, 2022 or 2021.</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Vista is included in “Investments” on our Consolidated Balance Sheets at its carrying value of $2.8 million. This investment represents an equity interest in a private company without a readily determinable fair value. The Company has elected to apply the measurement alternative of cost minus impairment, if any, plus or minus changes resulting from observable price changes. No impairments of this investment were recorded during the years ended December 31, 2023, 2022 or 2021.</w:t>
      </w:r>
    </w:p>
    <w:p>
      <w:pPr>
        <w:spacing w:after="0" w:line="7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investment in Charis was included in “Noncurrent investments at fair value” on our December 31, 2022 Consolidated Balance Sheets and was measured at fair value on a recurring basis. On April 3, 2023, Charis was acquired by Vista Bank ("Vista") in a transaction in which the Company exchanged its shares in Charis for shares in Vista.</w:t>
      </w:r>
    </w:p>
    <w:p>
      <w:pPr>
        <w:spacing w:after="0" w:line="68" w:lineRule="exact"/>
        <w:rPr>
          <w:sz w:val="20"/>
          <w:szCs w:val="20"/>
          <w:color w:val="auto"/>
        </w:rPr>
      </w:pPr>
    </w:p>
    <w:p>
      <w:pPr>
        <w:ind w:right="66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Private Equity Funding</w:t>
      </w:r>
      <w:r>
        <w:rPr>
          <w:rFonts w:ascii="Times New Roman" w:cs="Times New Roman" w:eastAsia="Times New Roman" w:hAnsi="Times New Roman"/>
          <w:sz w:val="18"/>
          <w:szCs w:val="18"/>
          <w:color w:val="auto"/>
        </w:rPr>
        <w:t>. In 2019, we made a $0.3 million investment in Westwood Hospitality. Our investment is included in “Noncurrent investments at fair value” on our Consolidated Balance Sheets and is measured at fair value on a recurring basis using net asset value ("NAV") as a practical expedient.</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Zarvona Energy Fund GP, L.P. and Zarvona Energy Fund II-A, L.P.</w:t>
      </w:r>
      <w:r>
        <w:rPr>
          <w:rFonts w:ascii="Times New Roman" w:cs="Times New Roman" w:eastAsia="Times New Roman" w:hAnsi="Times New Roman"/>
          <w:sz w:val="18"/>
          <w:szCs w:val="18"/>
          <w:color w:val="auto"/>
        </w:rPr>
        <w:t xml:space="preserve"> These investments represent ownership interests in non-controlled partnerships. These investments are included in “Equity method investments” on our Consolidated Balance Sheets and are measured based on our share of the net earnings or losses of the investees.</w:t>
      </w:r>
    </w:p>
    <w:p>
      <w:pPr>
        <w:spacing w:after="0" w:line="68"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u w:val="single" w:color="auto"/>
          <w:color w:val="auto"/>
        </w:rPr>
        <w:t>Broadmark Asset Management LLC</w:t>
      </w:r>
      <w:r>
        <w:rPr>
          <w:rFonts w:ascii="Times New Roman" w:cs="Times New Roman" w:eastAsia="Times New Roman" w:hAnsi="Times New Roman"/>
          <w:sz w:val="18"/>
          <w:szCs w:val="18"/>
          <w:color w:val="auto"/>
        </w:rPr>
        <w:t>. This investment represented a 47.5% ownership interest in a non-controlled corporation prior to the Broadmark Acquisition in 2023. This investment was included in “Equity method investments” on our Consolidated Balance Sheets at December 31, 2022. In January 2023, as a result of the Broadmark Acquisition, we acquired additional equity interests in Broadmark and subsequently have accounted for that investment as a consolidated subsidiary.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6"/>
                <w:szCs w:val="16"/>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4"/>
                <w:szCs w:val="14"/>
                <w:color w:val="auto"/>
              </w:rPr>
            </w:pPr>
          </w:p>
        </w:tc>
        <w:tc>
          <w:tcPr>
            <w:tcW w:w="1000" w:type="dxa"/>
            <w:vAlign w:val="bottom"/>
          </w:tcPr>
          <w:p>
            <w:pPr>
              <w:jc w:val="center"/>
              <w:ind w:right="91"/>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investments shown below are included in our Consolidated Balance Sheets as Equity method investments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21590</wp:posOffset>
            </wp:positionV>
            <wp:extent cx="21342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50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21590</wp:posOffset>
            </wp:positionV>
            <wp:extent cx="2143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48"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Zarvona Energy Fund GP , L.P .</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46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50.0 %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Zarvona Energy Fund II-A, L.P .</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Broadmark Asset Management LLC</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Salient MLP Total Return Fund, L.P.</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MLP Total Return TE Fund, L.P.</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76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following amounts represent income from all investments, except for income tax amounts, are included in our Consolidated Statements of Comprehensive Income (Loss) under the headings “Other revenues, net," "Net change in unrealized appreciation (depreciation) on private investments," or "Investment Income"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7"/>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33"/>
        </w:trPr>
        <w:tc>
          <w:tcPr>
            <w:tcW w:w="7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from gains (losses)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 trading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gains/(losses)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and requires additional disclosures regarding certain fair value measurements. ASC 820 establishes a three-tier hierarchy for measuring fair value, as follows:</w:t>
      </w:r>
    </w:p>
    <w:p>
      <w:pPr>
        <w:spacing w:after="0" w:line="108" w:lineRule="exact"/>
        <w:rPr>
          <w:sz w:val="20"/>
          <w:szCs w:val="20"/>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there is little or no market activity</w:t>
      </w:r>
    </w:p>
    <w:p>
      <w:pPr>
        <w:spacing w:after="0" w:line="11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strategic investments in InvestCloud and Vista, discussed in Note 6 "Investments" are excluded from the recurring fair value table shown below, as we have elected to apply the measurement alternative for those investments.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4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assets and liabilities measured at fair value on a recurring basis, as of the dates indicated within the fair value hierarchy (in thousands):</w:t>
      </w:r>
    </w:p>
    <w:tbl>
      <w:tblPr>
        <w:tblLayout w:type="fixed"/>
        <w:tblInd w:w="0" w:type="dxa"/>
        <w:tblCellMar>
          <w:top w:w="0" w:type="dxa"/>
          <w:left w:w="0" w:type="dxa"/>
          <w:bottom w:w="0" w:type="dxa"/>
          <w:right w:w="0" w:type="dxa"/>
        </w:tblCellMar>
      </w:tblPr>
      <w:tr>
        <w:trPr>
          <w:trHeight w:val="165"/>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b w:val="1"/>
                <w:bCs w:val="1"/>
                <w:color w:val="auto"/>
                <w:w w:val="87"/>
                <w:vertAlign w:val="superscript"/>
              </w:rPr>
              <w:t>(1)</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60" w:right="640" w:hanging="234"/>
        <w:spacing w:after="0" w:line="228" w:lineRule="auto"/>
        <w:tabs>
          <w:tab w:leader="none" w:pos="1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Comprised of certain investments measured at fair value using NAV as a practical expedient. The fair value amounts presented in this table are intended to allow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-226695</wp:posOffset>
            </wp:positionV>
            <wp:extent cx="42259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17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Prior to our exchange of Charis shares for shares in Vista, our investment in Charis was included within Level 3 of the fair value hierarchy as we valued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in a transaction in which the Company exchanged its shares in Charis for shares in Vista.</w:t>
      </w:r>
    </w:p>
    <w:p>
      <w:pPr>
        <w:spacing w:after="0" w:line="207" w:lineRule="exact"/>
        <w:rPr>
          <w:sz w:val="20"/>
          <w:szCs w:val="20"/>
          <w:color w:val="auto"/>
        </w:rPr>
      </w:pPr>
    </w:p>
    <w:p>
      <w:pPr>
        <w:ind w:right="68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1"/>
        </w:trPr>
        <w:tc>
          <w:tcPr>
            <w:tcW w:w="8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0"/>
        </w:trPr>
        <w:tc>
          <w:tcPr>
            <w:tcW w:w="8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8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Level 3 liabilities measured at fair value on a recurring basis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1"/>
        </w:trPr>
        <w:tc>
          <w:tcPr>
            <w:tcW w:w="8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 losses included in earnings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0"/>
        </w:trPr>
        <w:tc>
          <w:tcPr>
            <w:tcW w:w="8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December 31, 2023 contingent consideration fair value of $10.1 million was valued based upon updated revenue growth projections and financial inputs. The fair value of contingent consideration related to both the revenue retention earn-out and the growth earn-out is measured using the Monte Carlo simulation model, which considered assumptions including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 Fluctuations in any of the inputs may result in a significantly lower or higher fair value measurement.</w:t>
      </w:r>
    </w:p>
    <w:p>
      <w:pPr>
        <w:spacing w:after="0" w:line="7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range of the unobservable inputs utilized in the December 31, 2023 fair value measurement of the contingent consideration classified as level 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4"/>
              </w:rPr>
              <w:t>11.5%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11.75%</w:t>
            </w:r>
          </w:p>
        </w:tc>
      </w:t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8.3%</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16.3%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11.30%</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12.8%</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13.3%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14.9%</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24.9%</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19.90%</w:t>
            </w:r>
          </w:p>
        </w:tc>
      </w:tr>
    </w:tbl>
    <w:p>
      <w:pPr>
        <w:spacing w:after="0" w:line="200" w:lineRule="exact"/>
        <w:rPr>
          <w:sz w:val="20"/>
          <w:szCs w:val="20"/>
          <w:color w:val="auto"/>
        </w:rPr>
      </w:pPr>
    </w:p>
    <w:p>
      <w:pPr>
        <w:spacing w:after="0" w:line="331" w:lineRule="exact"/>
        <w:rPr>
          <w:sz w:val="20"/>
          <w:szCs w:val="20"/>
          <w:color w:val="auto"/>
        </w:rPr>
      </w:pPr>
    </w:p>
    <w:p>
      <w:pPr>
        <w:ind w:right="9020" w:firstLine="8"/>
        <w:spacing w:after="0" w:line="377"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 Restricted Stock Awards</w:t>
      </w:r>
    </w:p>
    <w:p>
      <w:pPr>
        <w:spacing w:after="0" w:line="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have issued restricted shares to certain employees and non-employee directors. The Ninth Amended and Restated Westwood Holdings Group, Inc. Stock Incentive Plan ("the Plan") reserves shares of Westwood common stock for issuance to eligible employees, directors and consultants of Westwood or its subsidiaries in the form of restricted stock and stock options. In April 2023, stockholders approved an additional 350,000 shares to be authorized under the Plan, increasing the total number of shares issuable under the Plan (including predecessor plans to the Plan) to 6,248,100 shares. In the event of a change in control of Westwood, the Plan contains provisions providing for the acceleration of the vesting of restricted stock. At December 31, 2023, approximately 646,000 shares remain available for issuance under the Plan.</w:t>
      </w:r>
    </w:p>
    <w:p>
      <w:pPr>
        <w:spacing w:after="0" w:line="7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stock-based compensation expense recorded and the total income tax benefit recognized for stock-based compensation arrangements for the years indicated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condition restricted stock expense</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income tax benefit recognized related to stock-based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240" w:firstLine="486"/>
        <w:spacing w:after="0" w:line="255" w:lineRule="auto"/>
        <w:rPr>
          <w:sz w:val="20"/>
          <w:szCs w:val="20"/>
          <w:color w:val="auto"/>
        </w:rPr>
      </w:pPr>
      <w:r>
        <w:rPr>
          <w:rFonts w:ascii="Times New Roman" w:cs="Times New Roman" w:eastAsia="Times New Roman" w:hAnsi="Times New Roman"/>
          <w:sz w:val="18"/>
          <w:szCs w:val="18"/>
          <w:color w:val="auto"/>
        </w:rPr>
        <w:t>Under the Plan, we have granted to certain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2023, we had $1.7 million and $0.7 million in "Dividends payable" and "Accrued dividends", respectively, and the Dividends payable were related to unvested restricted stock. At December 31, 2022, we had $1.7 million and $0.7 million in Dividends payable and Accrued dividends, respectively.</w:t>
      </w:r>
    </w:p>
    <w:p>
      <w:pPr>
        <w:spacing w:after="0" w:line="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2023, there was approximately $9.4 million of unrecognized compensation cost for restricted stock grants under the Plan, which we expect to recognize over a weighted-average period of 2.4 years. In order to satisfy tax liabilities that employees will owe on shares that vest, we may withhold a sufficient number of vested shares from employees on the date vesting occurs to cover minimum tax withholding requirements. We withheld 67,743 shares in 2023 for this purpose. Our two types of restricted stock grants under the Plan are discussed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Only to a Service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2022 and 2021, we granted restricted stock to certain employees and non-employee directors. Employee shares generally vest over three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that are subject only to a service condition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0" w:type="dxa"/>
            <w:vAlign w:val="bottom"/>
          </w:tcPr>
          <w:p>
            <w:pPr>
              <w:spacing w:after="0"/>
              <w:rPr>
                <w:sz w:val="14"/>
                <w:szCs w:val="14"/>
                <w:color w:val="auto"/>
              </w:rPr>
            </w:pPr>
          </w:p>
        </w:tc>
        <w:tc>
          <w:tcPr>
            <w:tcW w:w="158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76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2023</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(178,051)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weighted-average grant date fair value for shares granted and the total fair value of shares vested during the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 vested (in thousands)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6,081</w:t>
            </w:r>
          </w:p>
        </w:tc>
        <w:tc>
          <w:tcPr>
            <w:tcW w:w="10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10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7,630</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to Service and Performance Conditions</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Under the Plan, certain key employees were provided agreements for grants of restricted shares that vest over multiple year periods subject to achieving annual performance goals established by the Compensation Committee of Westwood’s Board.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to service and performance conditions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4"/>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4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2023</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shows the total fair value of shares vested during the years indicated:</w:t>
            </w: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4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 (in thousands)</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Mutual Fund Share Incentive Awards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may grant mutual fund incentive awards, which are annual bonus awards based on our mutual funds achieving specific performance goals, to specific employees. Awards granted are notionally credited to a participant account maintained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We account for these awards similarly to stock-based compensation awards. As of December 31, 2023 and 2022, approximately $2.0 million of unvested mutual fund awards was included under "Investments, at fair value" on our Consolidated Balance Sheets.</w:t>
      </w:r>
    </w:p>
    <w:p>
      <w:pPr>
        <w:spacing w:after="0" w:line="7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During the year in which the amount of the award is determined, we record expense based on its expected value.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mutual fund share awards adjusted for earnings or losses attributable to the underlying mutual funds. For the years ended December 31, 2023 and 2022, we recorded expense of $0.7 million and $0.6 million, respectively, related to mutual fund share incentive awards. For the year ended December 31, 2021, mutual fund share incentive award activity was insignificant. As of December 31, 2023 and 2022, approximately $1.5 million and $1.0 million, respectively, of mutual funds award liability was included under "Compensation and benefits payable" on our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Westwood has a defined contribution and profit-sharing plan that was established in July 2002 and covers substantially all employees. Discretionary employer profit-sharing contributions become fully vested after four years of service by the participant. For U.S. employees, Westwood provides a 401(k) match of up to 6% of eligible compensation and contributions vest immediately.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our profit-sharing and retirement plan contributions for the periods presented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0"/>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Profit-sharing contributions, net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plan matching contributions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1,616</w:t>
            </w:r>
          </w:p>
        </w:tc>
        <w:tc>
          <w:tcPr>
            <w:tcW w:w="1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819"/>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before income taxes by jurisdiction was as follows (in thousands):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3"/>
        </w:trPr>
        <w:tc>
          <w:tcPr>
            <w:tcW w:w="7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11"/>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20" w:type="dxa"/>
            <w:vAlign w:val="bottom"/>
            <w:tcBorders>
              <w:bottom w:val="single" w:sz="8" w:color="auto"/>
            </w:tcBorders>
          </w:tcPr>
          <w:p>
            <w:pPr>
              <w:spacing w:after="0"/>
              <w:rPr>
                <w:sz w:val="22"/>
                <w:szCs w:val="22"/>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that would otherwise have been calculated by applying the U.S. Federal corporate tax rate of 21% to income before income taxes. The difference between the Federal corporate tax rate and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 is comprised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computed at US federal statutory rate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Canadian rate differential</w:t>
            </w:r>
          </w:p>
        </w:tc>
        <w:tc>
          <w:tcPr>
            <w:tcW w:w="300" w:type="dxa"/>
            <w:vAlign w:val="bottom"/>
          </w:tcPr>
          <w:p>
            <w:pPr>
              <w:spacing w:after="0"/>
              <w:rPr>
                <w:sz w:val="18"/>
                <w:szCs w:val="18"/>
                <w:color w:val="auto"/>
              </w:rPr>
            </w:pPr>
          </w:p>
        </w:tc>
        <w:tc>
          <w:tcPr>
            <w:tcW w:w="12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income taxes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subject to Section 162(m)</w:t>
            </w: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ind w:right="60" w:firstLine="486"/>
        <w:spacing w:after="0" w:line="282" w:lineRule="auto"/>
        <w:rPr>
          <w:sz w:val="20"/>
          <w:szCs w:val="20"/>
          <w:color w:val="auto"/>
        </w:rPr>
      </w:pPr>
      <w:r>
        <w:rPr>
          <w:rFonts w:ascii="Times New Roman" w:cs="Times New Roman" w:eastAsia="Times New Roman" w:hAnsi="Times New Roman"/>
          <w:sz w:val="18"/>
          <w:szCs w:val="18"/>
          <w:color w:val="auto"/>
        </w:rPr>
        <w:t>We include penalties and interest on income-based taxes in the “General and administrative” line on our Consolidated Statements of Comprehensive Income (Loss). Penalties and interest were insignificant for the years ended December 31, 2023, 2022 and 2021.</w:t>
      </w:r>
    </w:p>
    <w:p>
      <w:pPr>
        <w:spacing w:after="0" w:line="54"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Income tax provision as set forth in the Consolidated Statements of Comprehensive Income (Loss) consisted of the following components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1,370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taxes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1"/>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taxes: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taxes</w:t>
            </w:r>
          </w:p>
        </w:tc>
        <w:tc>
          <w:tcPr>
            <w:tcW w:w="8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and deferred tax liabilities are presented below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9"/>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 unrecognized tax benefit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Acquisition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21"/>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2"/>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30"/>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1"/>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 S. and various state and foreign jurisdictions. As of December 31, 2023, the Company’s 2020, 2021 and 2022 tax years are open for examination by the Internal Revenue Service, and various state and foreign jurisdiction tax years remain open to examination.</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At December 31, 2023 and 2022, the Company's gross liability related to uncertain tax positions was de minimis.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are reversed as a reduction of income tax expense, net of federal tax effects, in the period such determination is made. A reconciliation of the change in recorded uncertain tax positions during the years ended December 31, 2023 and 2022 follows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(LOSS) PER SHARE:</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comprehensive income (loss) attributable to Westwood Holdings Group, Inc. by the weighted average number of shares outstanding for the applicable period. Diluted earnings (loss) per share is computed based on the weighted average number of shares outstanding plus the effect of any dilutive shares of restricted stock granted to employees and non-employee directors using the treasury stock method. There were approximately 63,000, 120,000 and 116,000 anti-dilutive restricted shares as of December 31, 2023, 2022 and 2021, respectively, which were excluded from weighted average shares outstanding.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(in thousands, except per share and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Westwood Holdings Group, Inc.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r>
      <w:tr>
        <w:trPr>
          <w:trHeight w:val="216"/>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7,875,395</w:t>
            </w: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potential shares from unvested restricted shares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52,577</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8,112,139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7,844,363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7,927,972</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0" w:lineRule="exact"/>
        <w:rPr>
          <w:sz w:val="20"/>
          <w:szCs w:val="20"/>
          <w:color w:val="auto"/>
        </w:rPr>
      </w:pPr>
    </w:p>
    <w:p>
      <w:pPr>
        <w:spacing w:after="0" w:line="218" w:lineRule="exact"/>
        <w:rPr>
          <w:sz w:val="20"/>
          <w:szCs w:val="20"/>
          <w:color w:val="auto"/>
        </w:rPr>
      </w:pPr>
    </w:p>
    <w:p>
      <w:pPr>
        <w:ind w:right="6840" w:firstLine="8"/>
        <w:spacing w:after="0" w:line="378" w:lineRule="auto"/>
        <w:tabs>
          <w:tab w:leader="none" w:pos="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left="500"/>
        <w:spacing w:after="0"/>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liabilities assumed at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Trust Segment</w:t>
            </w: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Advisory Segment</w:t>
            </w:r>
          </w:p>
        </w:tc>
        <w:tc>
          <w:tcPr>
            <w:tcW w:w="480" w:type="dxa"/>
            <w:vAlign w:val="bottom"/>
          </w:tcPr>
          <w:p>
            <w:pPr>
              <w:spacing w:after="0"/>
              <w:rPr>
                <w:sz w:val="20"/>
                <w:szCs w:val="20"/>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Salient Acquisition</w:t>
            </w:r>
          </w:p>
        </w:tc>
        <w:tc>
          <w:tcPr>
            <w:tcW w:w="3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19,331</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3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35,732</w:t>
            </w:r>
          </w:p>
        </w:tc>
      </w:tr>
      <w:tr>
        <w:trPr>
          <w:trHeight w:val="229"/>
        </w:trPr>
        <w:tc>
          <w:tcPr>
            <w:tcW w:w="4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Salient Acquisition adjustment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Broadmark Acquisition</w:t>
            </w:r>
          </w:p>
        </w:tc>
        <w:tc>
          <w:tcPr>
            <w:tcW w:w="3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w:t>
            </w:r>
          </w:p>
        </w:tc>
      </w:tr>
      <w:tr>
        <w:trPr>
          <w:trHeight w:val="21"/>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00" w:hanging="92"/>
        <w:spacing w:after="0"/>
        <w:tabs>
          <w:tab w:leader="none" w:pos="10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subsequent purchase price adjustments for the Salient Acquisition.</w:t>
      </w:r>
    </w:p>
    <w:p>
      <w:pPr>
        <w:spacing w:after="0" w:line="96"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tested for impairment at least annually. We completed our annual goodwill impairment assessment during the third quarter of 2023 and determined that no impairment loss was required. No impairments were recorded during the years ended December 31, 2023, 2022 or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internally-developed software, non-compete agreements and trade names, and are reflected net of amortization. In valuing these assets, we made significant estimates regarding their useful lives, growth rates and potential attrition.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2023 and 2022 (in thousands, except years):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6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Non-compete agreements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19"/>
        </w:trPr>
        <w:tc>
          <w:tcPr>
            <w:tcW w:w="5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Non-compete agreements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0" w:type="dxa"/>
            <w:vAlign w:val="bottom"/>
          </w:tcPr>
          <w:p>
            <w:pPr>
              <w:spacing w:after="0"/>
              <w:rPr>
                <w:sz w:val="1"/>
                <w:szCs w:val="1"/>
                <w:color w:val="auto"/>
              </w:rPr>
            </w:pPr>
          </w:p>
        </w:tc>
      </w:tr>
      <w:tr>
        <w:trPr>
          <w:trHeight w:val="219"/>
        </w:trPr>
        <w:tc>
          <w:tcPr>
            <w:tcW w:w="5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28,952</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which is included in “General and administrative” expense on our Consolidated Statements of Comprehensive Income (Loss), was $4.1 million, $1.9 million and $1.6 million for the years ended December 31, 2023, 2022 and 2021,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amortization expense for intangible assets over the next five years, and thereafter,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180" w:type="dxa"/>
            <w:vAlign w:val="bottom"/>
          </w:tcPr>
          <w:p>
            <w:pPr>
              <w:spacing w:after="0"/>
              <w:rPr>
                <w:sz w:val="14"/>
                <w:szCs w:val="14"/>
                <w:color w:val="auto"/>
              </w:rPr>
            </w:pPr>
          </w:p>
        </w:tc>
        <w:tc>
          <w:tcPr>
            <w:tcW w:w="126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6"/>
        </w:trPr>
        <w:tc>
          <w:tcPr>
            <w:tcW w:w="98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9,890</w:t>
            </w:r>
          </w:p>
        </w:tc>
        <w:tc>
          <w:tcPr>
            <w:tcW w:w="0" w:type="dxa"/>
            <w:vAlign w:val="bottom"/>
          </w:tcPr>
          <w:p>
            <w:pPr>
              <w:spacing w:after="0"/>
              <w:rPr>
                <w:sz w:val="1"/>
                <w:szCs w:val="1"/>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24,803</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have operating leases for corporate offices and certain office equipment. The lease terms of our corporate offices vary and have remaining lease terms ranging from one to six years. The corporate office lease payments are fixed and are based upon contractual monthly rates. The majority of our corporate office leases do not include options to extend or terminate the leases. We lease office equipment for a period of two years, and the incremental borrowing rate was 5%.</w:t>
      </w:r>
    </w:p>
    <w:p>
      <w:pPr>
        <w:spacing w:after="0" w:line="7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In 2022, we expanded our Houston, Texas office space and extended that lease through September 2029. We evaluated the corporate debt environment in 2022 to determine a collateralized discount rate of 7%. In 2023 we leased additional office space in Chicago, Illinois through the second quarter of 2029.</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components of lease costs related to our leases (amounts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Sublease income relates to subleasing a portion of our corporate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our leases (amounts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1,217</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46"/>
        </w:trPr>
        <w:tc>
          <w:tcPr>
            <w:tcW w:w="1124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Operating lease costs are included in "General and administrative" expense on our Consolidated Statements of Comprehensive Income (Loss). We</w:t>
            </w:r>
          </w:p>
        </w:tc>
      </w:tr>
      <w:tr>
        <w:trPr>
          <w:trHeight w:val="234"/>
        </w:trPr>
        <w:tc>
          <w:tcPr>
            <w:tcW w:w="8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 our offices under non-cancelable operating lease agreements with expiration dates that run through 2029.</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24"/>
        </w:trPr>
        <w:tc>
          <w:tcPr>
            <w:tcW w:w="87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operating leases (in thousands, except years and rates):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0"/>
                <w:szCs w:val="20"/>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3,673</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4,976</w:t>
            </w:r>
          </w:p>
        </w:tc>
      </w:tr>
      <w:tr>
        <w:trPr>
          <w:trHeight w:val="270"/>
        </w:trPr>
        <w:tc>
          <w:tcPr>
            <w:tcW w:w="7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3,266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4,563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4,552</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6,065</w:t>
            </w:r>
          </w:p>
        </w:tc>
      </w:tr>
      <w:tr>
        <w:trPr>
          <w:trHeight w:val="270"/>
        </w:trPr>
        <w:tc>
          <w:tcPr>
            <w:tcW w:w="7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751"/>
        </w:trPr>
        <w:tc>
          <w:tcPr>
            <w:tcW w:w="7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maturities of lease liabilities are as follows (in thousands):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6"/>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48"/>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information about our property and equipment as of December 31, 2023 and 2022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rPr>
              <w:t>4,921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rPr>
              <w:t>2,786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office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rPr>
              <w:t>3,317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7"/>
                <w:szCs w:val="17"/>
                <w:color w:val="auto"/>
              </w:rPr>
              <w:t>(9,196)</w:t>
            </w:r>
          </w:p>
        </w:tc>
      </w:tr>
      <w:tr>
        <w:trPr>
          <w:trHeight w:val="244"/>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rPr>
              <w:t>1,828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commitments</w:t>
      </w:r>
    </w:p>
    <w:p>
      <w:pPr>
        <w:spacing w:after="0" w:line="11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Our purchase commitments primarily consist of outsourced information technology services, software licenses and commitments for financial research tools. As of December 31, 2023, our purchase commitments for the next five years and thereafter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Payments due in: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24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did not have any material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REGULATORY CAPITAL REQUIREMENTS:</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2023, Westwood Trust had approximately $11.1 million in excess of its minimum capital requirement.</w:t>
      </w:r>
    </w:p>
    <w:p>
      <w:pPr>
        <w:spacing w:after="0" w:line="6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Westwood Trust may make quarterly and special dividend payments, or other distributions, to Westwood out of its undivided profits. No dividend payments were made in 2023, 2022 or 2021.</w:t>
      </w:r>
    </w:p>
    <w:p>
      <w:pPr>
        <w:spacing w:after="0" w:line="7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SCLP, a broker-dealer of the Company, is registered with the SEC as broker-dealers and members of FINRA. The Company’s broker-dealer subsidiaries are subject to SEC Uniform Net Capital Rule (Rule 15c3-1) which requires the maintenance of minimum net capital and requires that the ratio of aggregate indebtedness to net capital, both as defined, to not exceed 15 to 1. As such, they are subject to the minimum net capital requirements promulgated by the SEC. As of December 31, 2023, SCLP had net capital of $558,000 which was $526,000 in excess of its required minimum net capital of $32,000. As of December 31, 2022, SCLP had net capital of $320,000, which was $315,000 in excess of its required minimum net capital of $5,000.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VARIABLE INTEREST ENTITIES: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discussed in Note 2 “Summary of Significant Accounting Policies,” the CTFs and Private Funds (together the “Westwood VIEs”) are considered VIEs, and the Westwood Funds® and Private Equity are considered VOEs (together the “Westwood VOEs”). We receive fees for managing assets in these entities commensurate with market rates. As of December 31, 2023 and 2022,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Consolidated Financial Statements for the years ended December 31, 2023 or 2022.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6 “Investments.”</w:t>
      </w:r>
    </w:p>
    <w:p>
      <w:pPr>
        <w:spacing w:after="0" w:line="6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recognized fee revenue from the Westwood VIEs and Westwood VOEs of approximately $32.4 million, $23.2 million and $22.8 million for the years ended December 31, 2023, 2022 and 2021, respectively.</w:t>
      </w:r>
    </w:p>
    <w:p>
      <w:pPr>
        <w:spacing w:after="0" w:line="54" w:lineRule="exact"/>
        <w:rPr>
          <w:sz w:val="20"/>
          <w:szCs w:val="20"/>
          <w:color w:val="auto"/>
        </w:rPr>
      </w:pPr>
    </w:p>
    <w:p>
      <w:pPr>
        <w:ind w:right="26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displays the AUM, the amount of our seed investments that are included in “Investments” and “Investments, at fair value” on the Consolidated Balance Sheets, and the financial risk of loss in each vehicle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973"/>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Amount at Risk</w:t>
            </w:r>
          </w:p>
        </w:tc>
        <w:tc>
          <w:tcPr>
            <w:tcW w:w="0" w:type="dxa"/>
            <w:vAlign w:val="bottom"/>
          </w:tcPr>
          <w:p>
            <w:pPr>
              <w:spacing w:after="0"/>
              <w:rPr>
                <w:sz w:val="1"/>
                <w:szCs w:val="1"/>
                <w:color w:val="auto"/>
              </w:rPr>
            </w:pPr>
          </w:p>
        </w:tc>
      </w:tr>
      <w:tr>
        <w:trPr>
          <w:trHeight w:val="214"/>
        </w:trPr>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AUM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Some of our directors, executive officers and their affiliates invest personal funds directly in trust accounts that we manage. At both December 31, 2023 and at December 31, 2022, there was approximately $0.1 million in fees due from these accounts. For the years ended December 31, 2023 and 2022 we recorded trust fees from these accounts of $0.3 million. For the year ended December 31, 2021 we recorded trust fees from these accounts of $0.4 million.</w:t>
      </w:r>
    </w:p>
    <w:p>
      <w:pPr>
        <w:spacing w:after="0" w:line="72"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One director serves as a consultant to the Company under a consulting agreement for which we recorded expenses of $0.1 million for each of the years ended December 31, 2023, 2022 and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CONCENTRATION:</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our ten largest clients accounted for approximately 21% of our fee revenue. For the years ended December 31, 2022 and 2021, our ten largest clients accounted for approximately 22% of our fee revenue. No single customer accounted for 10% or more of our fee revenues in any of these years. The following table presents advisory fee revenue received from our single largest client in each year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11"/>
        </w:trPr>
        <w:tc>
          <w:tcPr>
            <w:tcW w:w="7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Advisory fees from our largest client: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Asset-based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2,682</w:t>
            </w:r>
          </w:p>
        </w:tc>
      </w:tr>
      <w:tr>
        <w:trPr>
          <w:trHeight w:val="23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 of fee revenue</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1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 February 14, 2024, the Board of Directors declared a quarterly cash dividend of $0.15 per share of common stock payable on April 3, 2024 to stockholders of record on March 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Grants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February 23, 2024 we issued approximately $3.2 million of restricted stock to employees, or approximately 268,000 shares based on the closing price of our stock on February 23, 2024. The shares are subject to vesting conditions described in Note 8 “Employee Benefits” of our Consolidated Financial Statements in this Report.</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76" w:name="page77"/>
    <w:bookmarkEnd w:id="76"/>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7372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10.3.8</w:t>
      </w:r>
    </w:p>
    <w:p>
      <w:pPr>
        <w:spacing w:after="0" w:line="20" w:lineRule="exact"/>
        <w:rPr>
          <w:sz w:val="20"/>
          <w:szCs w:val="20"/>
          <w:color w:val="auto"/>
        </w:rPr>
      </w:pPr>
      <w:r>
        <w:rPr>
          <w:sz w:val="20"/>
          <w:szCs w:val="20"/>
          <w:color w:val="auto"/>
        </w:rPr>
        <w:br w:type="column"/>
      </w:r>
    </w:p>
    <w:p>
      <w:pPr>
        <w:ind w:left="318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61633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41"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Securities Purchase Agreement by and among Westwood Holdings Group, Inc., McCarthy Group Advisors, LLC, MGA Holdings,</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LLC, and The Members of MGA Holdings, LLC (incorporated by reference from the Form 10-K filed with the SEC on February 28,</w:t>
        </w:r>
      </w:hyperlink>
    </w:p>
    <w:p>
      <w:pPr>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2013)</w:t>
        </w:r>
      </w:hyperlink>
    </w:p>
    <w:p>
      <w:pPr>
        <w:spacing w:after="0" w:line="7" w:lineRule="exact"/>
        <w:rPr>
          <w:sz w:val="20"/>
          <w:szCs w:val="20"/>
          <w:color w:val="auto"/>
        </w:rPr>
      </w:pPr>
    </w:p>
    <w:p>
      <w:pPr>
        <w:spacing w:after="0" w:line="233"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Reorganization Agreement and Agreement and Plan of Merger dated as of January 15, 2015 by and among Westwood Holdings</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Group, Inc., Westwood Trust, Woodway Financial Advisors, A Trust Company and the Shareholders of Woodway Financial Advisors,</w:t>
        </w:r>
      </w:hyperlink>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 Trust Company (incorporated by reference from the Form 8-K filed with the SEC on January 16, 2015)</w:t>
        </w:r>
      </w:hyperlink>
    </w:p>
    <w:p>
      <w:pPr>
        <w:spacing w:after="0" w:line="7" w:lineRule="exact"/>
        <w:rPr>
          <w:sz w:val="20"/>
          <w:szCs w:val="20"/>
          <w:color w:val="auto"/>
        </w:rPr>
      </w:pPr>
    </w:p>
    <w:p>
      <w:pPr>
        <w:spacing w:after="0" w:line="233"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Purchase Agreement, dated May 25, 2022, by and among Westwood Holdings Group, Inc., Salient Capital Management, LLC, Salient</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Partners, L.P. and the other Seller parties identified on Annex I (incorporated by reference from the Form 8-K filed with the SEC on</w:t>
        </w:r>
      </w:hyperlink>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May 26, 2022)</w:t>
        </w:r>
      </w:hyperlink>
    </w:p>
    <w:p>
      <w:pPr>
        <w:spacing w:after="0" w:line="7" w:lineRule="exact"/>
        <w:rPr>
          <w:sz w:val="20"/>
          <w:szCs w:val="20"/>
          <w:color w:val="auto"/>
        </w:rPr>
      </w:pPr>
    </w:p>
    <w:p>
      <w:pPr>
        <w:ind w:right="60"/>
        <w:spacing w:after="0" w:line="234"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Amended and Restated Certificate of Incorporation of Westwood Holdings Group, Inc. (incorporated by reference from the Form S-8</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filed with the SEC on September 28, 2022)</w:t>
        </w:r>
      </w:hyperlink>
    </w:p>
    <w:p>
      <w:pPr>
        <w:spacing w:after="0" w:line="10"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Amended and Restated Bylaws of Westwood Holdings Group, Inc. (incorporated by reference from the Form 8-K filed with the SEC</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on November 2, 2021)</w:t>
        </w:r>
      </w:hyperlink>
    </w:p>
    <w:p>
      <w:pPr>
        <w:spacing w:after="0" w:line="10" w:lineRule="exact"/>
        <w:rPr>
          <w:sz w:val="20"/>
          <w:szCs w:val="20"/>
          <w:color w:val="auto"/>
        </w:rPr>
      </w:pPr>
    </w:p>
    <w:p>
      <w:pPr>
        <w:ind w:right="580" w:firstLine="45"/>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Form of Common Stock Certificate of Westwood Holdings Group, Inc. (incorporated by reference from Amendment No. 2 to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Registration Statement on Form 10/A filed with the SEC on April 30, 2002)</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Eighth Amended and Restated Westwood Holdings Group, Inc. Stock Incentive Plan, as amended (incorporated by reference from the</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Schedule 14A filed with the SEC on March 22, 2022)</w:t>
        </w:r>
      </w:hyperlink>
    </w:p>
    <w:p>
      <w:pPr>
        <w:spacing w:after="0" w:line="10" w:lineRule="exact"/>
        <w:rPr>
          <w:sz w:val="20"/>
          <w:szCs w:val="20"/>
          <w:color w:val="auto"/>
        </w:rPr>
      </w:pPr>
    </w:p>
    <w:p>
      <w:pPr>
        <w:ind w:right="780"/>
        <w:spacing w:after="0" w:line="237"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Tax Separation Agreement between SWS Group, Inc. and Westwood Holdings Group, Inc. (incorporated by reference from</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Amendment No. 5 to Registration Statement on Form 10/A filed with the SEC on June 6, 2002)</w:t>
        </w:r>
      </w:hyperlink>
    </w:p>
    <w:p>
      <w:pPr>
        <w:spacing w:after="0" w:line="10" w:lineRule="exact"/>
        <w:rPr>
          <w:sz w:val="20"/>
          <w:szCs w:val="20"/>
          <w:color w:val="auto"/>
        </w:rPr>
      </w:pPr>
    </w:p>
    <w:p>
      <w:pPr>
        <w:ind w:right="140"/>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Office Lease between Westwood Management Corp. and Crescent Real Estate Funding I, L.P., dated as of April 4, 1990, and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amendment thereto (incorporated by reference from the Registration Statement on Form 10 filed with the SEC on February 8, 2002)</w:t>
        </w:r>
      </w:hyperlink>
    </w:p>
    <w:p>
      <w:pPr>
        <w:spacing w:after="0" w:line="10" w:lineRule="exact"/>
        <w:rPr>
          <w:sz w:val="20"/>
          <w:szCs w:val="20"/>
          <w:color w:val="auto"/>
        </w:rPr>
      </w:pPr>
    </w:p>
    <w:p>
      <w:pPr>
        <w:ind w:right="780"/>
        <w:spacing w:after="0" w:line="237"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Ninth Modification of Office Lease between Westwood Management Corp. and Crescent Real Estate Funding I, dated as of</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November 25, 2003 (incorporated by reference from the Form 10-K filed with the SEC on February 27, 2004)</w:t>
        </w:r>
      </w:hyperlink>
    </w:p>
    <w:p>
      <w:pPr>
        <w:spacing w:after="0" w:line="10"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Tenth Modification of Office Lease between Westwood Management Corp. and Crescent Real Estate Funding I, dated as of February</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23, 2004 (incorporated by reference from the Form 10-K filed with the SEC on February 27, 2004)</w:t>
        </w:r>
      </w:hyperlink>
    </w:p>
    <w:p>
      <w:pPr>
        <w:spacing w:after="0" w:line="10" w:lineRule="exact"/>
        <w:rPr>
          <w:sz w:val="20"/>
          <w:szCs w:val="20"/>
          <w:color w:val="auto"/>
        </w:rPr>
      </w:pPr>
    </w:p>
    <w:p>
      <w:pPr>
        <w:ind w:right="540"/>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Eleventh Modification of Office Lease between Westwood Management Corp. and Crescent Real Estate Funding I, dated as of</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December 9, 2010 (incorporated by reference from the Form 10-K filed with the SEC on February 25, 2011)</w:t>
        </w:r>
      </w:hyperlink>
    </w:p>
    <w:p>
      <w:pPr>
        <w:spacing w:after="0" w:line="10"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Twelfth Modification of Office Lease between Westwood Management Corp. and Crescent TC Investors LP, dated as of August 17,</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2012 (incorporated by reference from the Form 10-K filed with the SEC on February 28, 2013)</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Thirteenth Modification of Office Lease between Westwood Management Corp. and Crescent TC Investors LP, dated as of October 9,</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2014 (incorporated by reference from the Form 10-K filed with the SEC on February 25, 2016)</w:t>
        </w:r>
      </w:hyperlink>
    </w:p>
    <w:p>
      <w:pPr>
        <w:spacing w:after="0" w:line="10"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Fourteenth Modification of Office Lease between Westwood Management Corp. and Crescent TC Investors LP, dated as of February</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5, 2015 (incorporated by reference from the Form 10-K filed with the SEC on February 25, 2016)</w:t>
        </w:r>
      </w:hyperlink>
    </w:p>
    <w:p>
      <w:pPr>
        <w:spacing w:after="0" w:line="10" w:lineRule="exact"/>
        <w:rPr>
          <w:sz w:val="20"/>
          <w:szCs w:val="20"/>
          <w:color w:val="auto"/>
        </w:rPr>
      </w:pPr>
    </w:p>
    <w:p>
      <w:pPr>
        <w:ind w:right="32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Fifteenth Modification of Office Lease between Westwood Management Corp. and Crescent TC Investors LP, dated as of July 30,</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2015 (incorporated by reference from the Form 10-K filed with the SEC on February 25, 2016)</w:t>
        </w:r>
      </w:hyperlink>
    </w:p>
    <w:p>
      <w:pPr>
        <w:spacing w:after="0" w:line="10"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Sixteenth Modification of Office Lease between Westwood Management Corp. and Crescent TC Investors LP, dated as of July 5,</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2018 (incorporated by reference from the Form 10-Q filed with the SEC on October 24, 2018)</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20" w:space="680"/>
            <w:col w:w="9660"/>
          </w:cols>
          <w:pgMar w:left="360" w:top="887" w:right="379"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7372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61633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3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Software License and Support Agreement between Advent Software, Inc. and Westwood Management Corp., dated as of</w:t>
        </w:r>
      </w:hyperlink>
    </w:p>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December 30, 1996 (incorporated by reference from the Registration Statement on Form 10 filed with the SEC on February 8, 2002)</w:t>
        </w:r>
      </w:hyperlink>
    </w:p>
    <w:p>
      <w:pPr>
        <w:spacing w:after="0" w:line="16"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Investment Sub-advisory Agreement between Teton Advisers, LLC and Westwood Management Corp., dated as of October 6, 1994</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(incorporated by reference from the Form 10-K filed with the SEC on February 28, 2013)</w:t>
        </w:r>
      </w:hyperlink>
    </w:p>
    <w:p>
      <w:pPr>
        <w:spacing w:after="0" w:line="10"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Form of Indemnification Agreement for Westwood Holdings Group, Inc. (incorporated by reference from the Form 10-K filed with</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the SEC on February 27, 2004)</w:t>
        </w:r>
      </w:hyperlink>
    </w:p>
    <w:p>
      <w:pPr>
        <w:spacing w:after="0" w:line="10"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Form of Indemnification Agreement for Westwood Management Corp. (incorporated by reference from the Form 10-K filed with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SEC on February 27, 2004)</w:t>
        </w:r>
      </w:hyperlink>
    </w:p>
    <w:p>
      <w:pPr>
        <w:spacing w:after="0" w:line="10" w:lineRule="exact"/>
        <w:rPr>
          <w:sz w:val="20"/>
          <w:szCs w:val="20"/>
          <w:color w:val="auto"/>
        </w:rPr>
      </w:pPr>
    </w:p>
    <w:p>
      <w:pPr>
        <w:ind w:right="500"/>
        <w:spacing w:after="0" w:line="237"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Form of Indemnification Agreement for Westwood Trust (incorporated by reference from the Form 10-K filed with the SEC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February 27, 2004)</w:t>
        </w:r>
      </w:hyperlink>
    </w:p>
    <w:p>
      <w:pPr>
        <w:spacing w:after="0" w:line="10"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Executive Employment Agreement between Westwood Holdings Group, Inc. and Brian O. Casey (incorporated by reference from the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Form 8-K filed with the SEC on December 18, 2015)</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Form of Performance Share Agreement between Westwood Holdings Group, Inc. and Brian O. Casey (incorporated by reference from</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the Form 8-K filed with the SEC on March 14, 2016)</w:t>
        </w:r>
      </w:hyperlink>
    </w:p>
    <w:p>
      <w:pPr>
        <w:spacing w:after="0" w:line="10"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One-Time Performance Share Agreement, dated as of March 10, 2016, between Westwood Holdings Group, Inc. and Brian O. Casey</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(incorporated by reference from the Form 8-K filed with the SEC on March 14, 2016)</w:t>
        </w:r>
      </w:hyperlink>
    </w:p>
    <w:p>
      <w:pPr>
        <w:spacing w:after="0" w:line="10"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Waiver of Certain Performance Shares Under the Performance Share Agreement, dated as of February 22, 2017 (incorporated by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reference from the Form 8-K filed with the SEC on February 28, 2017)</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Form of Performance Share Agreement (incorporated by reference from the Form 8-K filed with the SEC on March 10, 2017)</w:t>
        </w:r>
      </w:hyperlink>
    </w:p>
    <w:p>
      <w:pPr>
        <w:spacing w:after="0" w:line="27" w:lineRule="exact"/>
        <w:rPr>
          <w:sz w:val="20"/>
          <w:szCs w:val="20"/>
          <w:color w:val="auto"/>
        </w:rPr>
      </w:pPr>
    </w:p>
    <w:p>
      <w:pPr>
        <w:ind w:right="220"/>
        <w:spacing w:after="0" w:line="234"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Share Award Plan of Westwood Holdings Group, Inc. for Service Provided in Canada to its Subsidiaries (incorporated by reference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from the Registration Statement on Form S-8 filed with the SEC on April 18, 2013)</w:t>
        </w:r>
      </w:hyperlink>
    </w:p>
    <w:p>
      <w:pPr>
        <w:spacing w:after="0" w:line="10" w:lineRule="exact"/>
        <w:rPr>
          <w:sz w:val="20"/>
          <w:szCs w:val="20"/>
          <w:color w:val="auto"/>
        </w:rPr>
      </w:pPr>
    </w:p>
    <w:p>
      <w:pPr>
        <w:ind w:right="400"/>
        <w:spacing w:after="0" w:line="237"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Consulting Agreement, dated as of March 17, 2015, between Westwood Holdings Group, Inc. and Susan Byrne (incorporated by</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reference from the Form 10-Q filed with the SEC on July 29, 2015)</w:t>
        </w:r>
      </w:hyperlink>
    </w:p>
    <w:p>
      <w:pPr>
        <w:spacing w:after="0" w:line="10"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Severance Agreement, dated as of February 9, 2018, between Westwood Holdings Group, Inc. and Fabian Gomez (incorporated by</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reference from the Form 8-K filed with the SEC on February 3, 2018)</w:t>
        </w:r>
      </w:hyperlink>
    </w:p>
    <w:p>
      <w:pPr>
        <w:spacing w:after="0" w:line="10"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Employee Confidentiality and Non-compete Agreement, effective November 1, 2018, between Westwood Holdings Group, Inc. and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Murray "Terry" Forbes III (incorporated by reference from the Form 8-K/A filed with the SEC on October 29, 2018)</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Employee Confidentiality and Non-Compete Agreement dated as of May 25, 2022 by and between Fabian Gomez and Westwood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Holdings Group, Inc. (incorporated by reference from the Form 8-K filed with the SEC on May 26, 2022)</w:t>
        </w:r>
      </w:hyperlink>
    </w:p>
    <w:p>
      <w:pPr>
        <w:spacing w:after="0" w:line="10"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Side Letter Agreement dated as of May 25, 2022 by and between Fabian Gomez and Westwood Holdings Group, Inc. (incorporated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by reference from the Form 8-K filed with the SEC on May 26, 2022)</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Employee Confidentiality and Non-Compete Agreement dated as of April 8, 2021 by and between Porter Montgomery and Westwood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Holdings Group, Inc. (incorporated by reference from the Form 8-K filed with the SEC on May 26, 2022)</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Subsidiaries (incorporated by reference from the Form 10-K filed with the SEC on February 28, 2013)</w:t>
        </w:r>
      </w:hyperlink>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P.C.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first signature page)</w:t>
      </w:r>
    </w:p>
    <w:p>
      <w:pPr>
        <w:spacing w:after="0" w:line="23" w:lineRule="exact"/>
        <w:rPr>
          <w:sz w:val="20"/>
          <w:szCs w:val="20"/>
          <w:color w:val="auto"/>
        </w:rPr>
      </w:pPr>
    </w:p>
    <w:p>
      <w:pPr>
        <w:ind w:right="1200"/>
        <w:spacing w:after="0" w:line="323" w:lineRule="auto"/>
        <w:rPr>
          <w:sz w:val="20"/>
          <w:szCs w:val="20"/>
          <w:color w:val="auto"/>
        </w:rPr>
      </w:pPr>
      <w:r>
        <w:rPr>
          <w:rFonts w:ascii="Times New Roman" w:cs="Times New Roman" w:eastAsia="Times New Roman" w:hAnsi="Times New Roman"/>
          <w:sz w:val="17"/>
          <w:szCs w:val="17"/>
          <w:u w:val="single" w:color="auto"/>
          <w:color w:val="0000FF"/>
        </w:rPr>
        <w:t>Certification of the Chief Executive Officer of Westwood required by Section 302 of the Sarbanes-Oxley Act of 2002 Certification of the Chief Financial Officer of Westwood required by 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20" w:space="680"/>
            <w:col w:w="9660"/>
          </w:cols>
          <w:pgMar w:left="360" w:top="925" w:right="379" w:bottom="1440" w:gutter="0" w:footer="0" w:header="0"/>
        </w:sectPr>
      </w:pPr>
    </w:p>
    <w:bookmarkStart w:id="78" w:name="page79"/>
    <w:bookmarkEnd w:id="78"/>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wp:posOffset>
            </wp:positionV>
            <wp:extent cx="7372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61633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41"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10"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Compensation Recovery Policy</w:t>
      </w:r>
    </w:p>
    <w:p>
      <w:pPr>
        <w:spacing w:after="0" w:line="27" w:lineRule="exact"/>
        <w:rPr>
          <w:sz w:val="20"/>
          <w:szCs w:val="20"/>
          <w:color w:val="auto"/>
        </w:rPr>
      </w:pPr>
    </w:p>
    <w:p>
      <w:pPr>
        <w:ind w:right="280"/>
        <w:spacing w:after="0" w:line="220" w:lineRule="auto"/>
        <w:rPr>
          <w:sz w:val="20"/>
          <w:szCs w:val="20"/>
          <w:color w:val="auto"/>
        </w:rPr>
      </w:pPr>
      <w:r>
        <w:rPr>
          <w:rFonts w:ascii="Times New Roman" w:cs="Times New Roman" w:eastAsia="Times New Roman" w:hAnsi="Times New Roman"/>
          <w:sz w:val="18"/>
          <w:szCs w:val="18"/>
          <w:color w:val="auto"/>
        </w:rPr>
        <w:t>The following financial information from Westwood Holdings Group, Inc.'s Annual Report on Form 10-K for the year ended December 31, 2023, formatted in Inline eXtensible Business Reporting Language (iXBRL): (i) Consolidated Balance Sheets as of</w:t>
      </w:r>
    </w:p>
    <w:p>
      <w:pPr>
        <w:spacing w:after="0" w:line="220" w:lineRule="auto"/>
        <w:rPr>
          <w:sz w:val="20"/>
          <w:szCs w:val="20"/>
          <w:color w:val="auto"/>
        </w:rPr>
      </w:pPr>
      <w:r>
        <w:rPr>
          <w:rFonts w:ascii="Times New Roman" w:cs="Times New Roman" w:eastAsia="Times New Roman" w:hAnsi="Times New Roman"/>
          <w:sz w:val="17"/>
          <w:szCs w:val="17"/>
          <w:color w:val="auto"/>
        </w:rPr>
        <w:t>December 31, 2023 and 2022; (ii) Consolidated Statements of Comprehensive Income (Loss) for the years ended December 31, 2023, 2022 and 2021; (iii) Consolidated Statements of Stockholders' Equity for the years ended December 31, 2023, 2022 and 2021; (iv) Consolidated Statements of Cash Flows for the years ended December 31, 2023, 2022 and 2021; and (v) Notes to the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sz w:val="20"/>
          <w:szCs w:val="20"/>
          <w:color w:val="auto"/>
        </w:rPr>
      </w:pPr>
    </w:p>
    <w:p>
      <w:pPr>
        <w:sectPr>
          <w:pgSz w:w="11900" w:h="16838" w:orient="portrait"/>
          <w:cols w:equalWidth="0" w:num="2">
            <w:col w:w="820" w:space="680"/>
            <w:col w:w="9640"/>
          </w:cols>
          <w:pgMar w:left="360" w:top="925" w:right="399" w:bottom="1440" w:gutter="0" w:footer="0" w:header="0"/>
        </w:sectPr>
      </w:pPr>
    </w:p>
    <w:p>
      <w:pPr>
        <w:spacing w:after="0" w:line="236" w:lineRule="exact"/>
        <w:rPr>
          <w:sz w:val="20"/>
          <w:szCs w:val="20"/>
          <w:color w:val="auto"/>
        </w:rPr>
      </w:pPr>
    </w:p>
    <w:p>
      <w:pPr>
        <w:ind w:left="140"/>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ind w:left="420" w:hanging="290"/>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compensation plan, contract or arrangement.</w:t>
      </w:r>
    </w:p>
    <w:p>
      <w:pPr>
        <w:spacing w:after="0" w:line="117" w:lineRule="exact"/>
        <w:rPr>
          <w:sz w:val="20"/>
          <w:szCs w:val="20"/>
          <w:color w:val="auto"/>
        </w:rPr>
      </w:pPr>
    </w:p>
    <w:p>
      <w:pPr>
        <w:ind w:left="5500" w:right="2480" w:hanging="5370"/>
        <w:spacing w:after="0" w:line="923" w:lineRule="auto"/>
        <w:tabs>
          <w:tab w:leader="none" w:pos="4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 of SEC Regulation S-K, these exhibits are furnished rather than filed with this Report. 36</w:t>
      </w:r>
    </w:p>
    <w:p>
      <w:pPr>
        <w:sectPr>
          <w:pgSz w:w="11900" w:h="16838" w:orient="portrait"/>
          <w:cols w:equalWidth="0" w:num="1">
            <w:col w:w="11140"/>
          </w:cols>
          <w:pgMar w:left="360" w:top="925" w:right="399" w:bottom="1440" w:gutter="0" w:footer="0" w:header="0"/>
          <w:type w:val="continuous"/>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333-27720, 333-269604, 333-267641 333-258305, 333-238965, 333-232595, 333-228335, 333-224886, 333-218080, 333-203728, 333-188002, 333-187998, 333-175696, 333-160377, 333-133963, and 333-98841) of Westwood Holdings Group, Inc., of our report dated March 7, 2024, relating to the consolidated financial statements, which appears in this Annual Report on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Nos. 333-187998, 333-238965, 333-232595, 333-228335, 333-224886, 333-218080, 333-203728, 333-188002, 333-175696, 333-160377, 333-133963, 333-98841, 333-258305, 333-267641, 333-269604</w:t>
      </w:r>
    </w:p>
    <w:p>
      <w:pPr>
        <w:spacing w:after="0" w:line="227" w:lineRule="auto"/>
        <w:rPr>
          <w:sz w:val="20"/>
          <w:szCs w:val="20"/>
          <w:color w:val="auto"/>
        </w:rPr>
      </w:pPr>
      <w:r>
        <w:rPr>
          <w:rFonts w:ascii="Times New Roman" w:cs="Times New Roman" w:eastAsia="Times New Roman" w:hAnsi="Times New Roman"/>
          <w:sz w:val="20"/>
          <w:szCs w:val="20"/>
          <w:color w:val="auto"/>
        </w:rPr>
        <w:t>and 333-277220 on Form S-8 of our report dated March 4, 2022 relating to the consolidated financial statements of Westwood Holdings</w:t>
      </w:r>
    </w:p>
    <w:p>
      <w:pPr>
        <w:ind w:right="140"/>
        <w:spacing w:after="0" w:line="228" w:lineRule="auto"/>
        <w:rPr>
          <w:sz w:val="20"/>
          <w:szCs w:val="20"/>
          <w:color w:val="auto"/>
        </w:rPr>
      </w:pPr>
      <w:r>
        <w:rPr>
          <w:rFonts w:ascii="Times New Roman" w:cs="Times New Roman" w:eastAsia="Times New Roman" w:hAnsi="Times New Roman"/>
          <w:sz w:val="20"/>
          <w:szCs w:val="20"/>
          <w:color w:val="auto"/>
        </w:rPr>
        <w:t>Group, Inc. and subsidiaries (the “Company”), appearing in the Annual Report on Form 10-K of the Company for the year ended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7, 2024</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O. Casey, certify that:</w:t>
      </w:r>
    </w:p>
    <w:p>
      <w:pPr>
        <w:spacing w:after="0" w:line="25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Westwood Holdings Group, Inc.;</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1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220" w:hanging="320"/>
        <w:spacing w:after="0" w:line="265"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50"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250"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320"/>
        <w:spacing w:after="0" w:line="260"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Forbes III, certify that:</w:t>
      </w:r>
    </w:p>
    <w:p>
      <w:pPr>
        <w:spacing w:after="0" w:line="36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Westwood Holdings Group,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38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Westwood Holdings Group, Inc. (the “Company”) on Form 10-K for the year ended December 31, 2023,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1140" w:right="40" w:hanging="484"/>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53" w:lineRule="exact"/>
        <w:rPr>
          <w:rFonts w:ascii="Times New Roman" w:cs="Times New Roman" w:eastAsia="Times New Roman" w:hAnsi="Times New Roman"/>
          <w:sz w:val="18"/>
          <w:szCs w:val="18"/>
          <w:color w:val="auto"/>
        </w:rPr>
      </w:pPr>
    </w:p>
    <w:p>
      <w:pPr>
        <w:ind w:left="1140" w:right="540" w:hanging="484"/>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Westwood Holdings Group, Inc. (the “Company”) on Form 10-K for the year ended December 31, 2023,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1140" w:right="40" w:hanging="484"/>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53" w:lineRule="exact"/>
        <w:rPr>
          <w:rFonts w:ascii="Times New Roman" w:cs="Times New Roman" w:eastAsia="Times New Roman" w:hAnsi="Times New Roman"/>
          <w:sz w:val="18"/>
          <w:szCs w:val="18"/>
          <w:color w:val="auto"/>
        </w:rPr>
      </w:pPr>
    </w:p>
    <w:p>
      <w:pPr>
        <w:ind w:left="1140" w:right="540" w:hanging="484"/>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17"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0240" cy="720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720090"/>
                    </a:xfrm>
                    <a:prstGeom prst="rect">
                      <a:avLst/>
                    </a:prstGeom>
                    <a:noFill/>
                  </pic:spPr>
                </pic:pic>
              </a:graphicData>
            </a:graphic>
          </wp:anchor>
        </w:drawing>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808080"/>
        </w:rPr>
        <w:t>Westwood Holdings Group, Inc.</w:t>
      </w:r>
    </w:p>
    <w:p>
      <w:pPr>
        <w:ind w:left="4000"/>
        <w:spacing w:after="0"/>
        <w:rPr>
          <w:sz w:val="20"/>
          <w:szCs w:val="20"/>
          <w:color w:val="auto"/>
        </w:rPr>
      </w:pPr>
      <w:r>
        <w:rPr>
          <w:rFonts w:ascii="Arial" w:cs="Arial" w:eastAsia="Arial" w:hAnsi="Arial"/>
          <w:sz w:val="22"/>
          <w:szCs w:val="22"/>
          <w:b w:val="1"/>
          <w:bCs w:val="1"/>
          <w:color w:val="808080"/>
        </w:rPr>
        <w:t>Compensation Recovery Policy</w:t>
      </w:r>
    </w:p>
    <w:p>
      <w:pPr>
        <w:spacing w:after="0" w:line="157" w:lineRule="exact"/>
        <w:rPr>
          <w:sz w:val="20"/>
          <w:szCs w:val="20"/>
          <w:color w:val="auto"/>
        </w:rPr>
      </w:pPr>
    </w:p>
    <w:p>
      <w:pPr>
        <w:jc w:val="both"/>
        <w:ind w:firstLine="656"/>
        <w:spacing w:after="0" w:line="217" w:lineRule="auto"/>
        <w:tabs>
          <w:tab w:leader="none" w:pos="1296" w:val="left"/>
        </w:tabs>
        <w:numPr>
          <w:ilvl w:val="0"/>
          <w:numId w:val="32"/>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Purpose</w:t>
      </w:r>
      <w:r>
        <w:rPr>
          <w:rFonts w:ascii="Arial" w:cs="Arial" w:eastAsia="Arial" w:hAnsi="Arial"/>
          <w:sz w:val="22"/>
          <w:szCs w:val="22"/>
          <w:color w:val="808080"/>
        </w:rPr>
        <w:t>. The purpose of this Policy is to describe the circumstances in which Executive Officers will be</w:t>
      </w:r>
      <w:r>
        <w:rPr>
          <w:rFonts w:ascii="Arial" w:cs="Arial" w:eastAsia="Arial" w:hAnsi="Arial"/>
          <w:sz w:val="22"/>
          <w:szCs w:val="22"/>
          <w:b w:val="1"/>
          <w:bCs w:val="1"/>
          <w:color w:val="808080"/>
        </w:rPr>
        <w:t xml:space="preserve"> </w:t>
      </w:r>
      <w:r>
        <w:rPr>
          <w:rFonts w:ascii="Arial" w:cs="Arial" w:eastAsia="Arial" w:hAnsi="Arial"/>
          <w:sz w:val="22"/>
          <w:szCs w:val="22"/>
          <w:color w:val="808080"/>
        </w:rPr>
        <w:t xml:space="preserve">required to repay or return Erroneously Awarded Compensation to the Company Group. Each Executive Officer shall be required to sign and return to the Company the Acknowledgement Form attached hereto as </w:t>
      </w:r>
      <w:r>
        <w:rPr>
          <w:rFonts w:ascii="Arial" w:cs="Arial" w:eastAsia="Arial" w:hAnsi="Arial"/>
          <w:sz w:val="22"/>
          <w:szCs w:val="22"/>
          <w:u w:val="single" w:color="auto"/>
          <w:color w:val="808080"/>
        </w:rPr>
        <w:t>Exhibit A</w:t>
      </w:r>
      <w:r>
        <w:rPr>
          <w:rFonts w:ascii="Arial" w:cs="Arial" w:eastAsia="Arial" w:hAnsi="Arial"/>
          <w:sz w:val="22"/>
          <w:szCs w:val="22"/>
          <w:color w:val="808080"/>
        </w:rPr>
        <w:t xml:space="preserve"> pursuant to which such Executive Officer will agree to be bound by the terms of and to comply with this Policy. This Policy replaces the Clawback Policy adopted by the Committee effective December 17, 2015 (the “</w:t>
      </w:r>
      <w:r>
        <w:rPr>
          <w:rFonts w:ascii="Arial" w:cs="Arial" w:eastAsia="Arial" w:hAnsi="Arial"/>
          <w:sz w:val="22"/>
          <w:szCs w:val="22"/>
          <w:i w:val="1"/>
          <w:iCs w:val="1"/>
          <w:color w:val="808080"/>
        </w:rPr>
        <w:t>Prior Policy</w:t>
      </w:r>
      <w:r>
        <w:rPr>
          <w:rFonts w:ascii="Arial" w:cs="Arial" w:eastAsia="Arial" w:hAnsi="Arial"/>
          <w:sz w:val="22"/>
          <w:szCs w:val="22"/>
          <w:color w:val="808080"/>
        </w:rPr>
        <w:t>”).</w:t>
      </w:r>
    </w:p>
    <w:p>
      <w:pPr>
        <w:spacing w:after="0" w:line="151" w:lineRule="exact"/>
        <w:rPr>
          <w:rFonts w:ascii="Times New Roman" w:cs="Times New Roman" w:eastAsia="Times New Roman" w:hAnsi="Times New Roman"/>
          <w:sz w:val="22"/>
          <w:szCs w:val="22"/>
          <w:color w:val="808080"/>
        </w:rPr>
      </w:pPr>
    </w:p>
    <w:p>
      <w:pPr>
        <w:ind w:firstLine="656"/>
        <w:spacing w:after="0" w:line="237" w:lineRule="auto"/>
        <w:tabs>
          <w:tab w:leader="none" w:pos="1296" w:val="left"/>
        </w:tabs>
        <w:numPr>
          <w:ilvl w:val="0"/>
          <w:numId w:val="32"/>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Administration</w:t>
      </w:r>
      <w:r>
        <w:rPr>
          <w:rFonts w:ascii="Arial" w:cs="Arial" w:eastAsia="Arial" w:hAnsi="Arial"/>
          <w:sz w:val="22"/>
          <w:szCs w:val="22"/>
          <w:color w:val="808080"/>
        </w:rPr>
        <w:t>. This Policy shall be administered by the Committee. Any determinations made by the</w:t>
      </w:r>
      <w:r>
        <w:rPr>
          <w:rFonts w:ascii="Arial" w:cs="Arial" w:eastAsia="Arial" w:hAnsi="Arial"/>
          <w:sz w:val="22"/>
          <w:szCs w:val="22"/>
          <w:b w:val="1"/>
          <w:bCs w:val="1"/>
          <w:color w:val="808080"/>
        </w:rPr>
        <w:t xml:space="preserve"> </w:t>
      </w:r>
      <w:r>
        <w:rPr>
          <w:rFonts w:ascii="Arial" w:cs="Arial" w:eastAsia="Arial" w:hAnsi="Arial"/>
          <w:sz w:val="22"/>
          <w:szCs w:val="22"/>
          <w:color w:val="808080"/>
        </w:rPr>
        <w:t>Committee shall be final and binding on all affected individuals.</w:t>
      </w:r>
    </w:p>
    <w:p>
      <w:pPr>
        <w:spacing w:after="0" w:line="131" w:lineRule="exact"/>
        <w:rPr>
          <w:rFonts w:ascii="Times New Roman" w:cs="Times New Roman" w:eastAsia="Times New Roman" w:hAnsi="Times New Roman"/>
          <w:sz w:val="22"/>
          <w:szCs w:val="22"/>
          <w:color w:val="808080"/>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Definitions</w:t>
      </w:r>
      <w:r>
        <w:rPr>
          <w:rFonts w:ascii="Arial" w:cs="Arial" w:eastAsia="Arial" w:hAnsi="Arial"/>
          <w:sz w:val="22"/>
          <w:szCs w:val="22"/>
          <w:color w:val="808080"/>
        </w:rPr>
        <w:t>. For purposes of this Policy, the following capitalized terms shall have the meanings set</w:t>
      </w:r>
    </w:p>
    <w:p>
      <w:pPr>
        <w:spacing w:after="0"/>
        <w:rPr>
          <w:rFonts w:ascii="Times New Roman" w:cs="Times New Roman" w:eastAsia="Times New Roman" w:hAnsi="Times New Roman"/>
          <w:sz w:val="22"/>
          <w:szCs w:val="22"/>
          <w:color w:val="808080"/>
        </w:rPr>
      </w:pPr>
      <w:r>
        <w:rPr>
          <w:rFonts w:ascii="Arial" w:cs="Arial" w:eastAsia="Arial" w:hAnsi="Arial"/>
          <w:sz w:val="22"/>
          <w:szCs w:val="22"/>
          <w:color w:val="808080"/>
        </w:rPr>
        <w:t>forth below.</w:t>
      </w:r>
    </w:p>
    <w:p>
      <w:pPr>
        <w:spacing w:after="0" w:line="159" w:lineRule="exact"/>
        <w:rPr>
          <w:rFonts w:ascii="Times New Roman" w:cs="Times New Roman" w:eastAsia="Times New Roman" w:hAnsi="Times New Roman"/>
          <w:sz w:val="22"/>
          <w:szCs w:val="22"/>
          <w:color w:val="808080"/>
        </w:rPr>
      </w:pPr>
    </w:p>
    <w:p>
      <w:pPr>
        <w:jc w:val="both"/>
        <w:ind w:left="660" w:firstLine="644"/>
        <w:spacing w:after="0" w:line="225" w:lineRule="auto"/>
        <w:tabs>
          <w:tab w:leader="none" w:pos="1953" w:val="left"/>
        </w:tabs>
        <w:numPr>
          <w:ilvl w:val="1"/>
          <w:numId w:val="32"/>
        </w:numPr>
        <w:rPr>
          <w:rFonts w:ascii="Times New Roman" w:cs="Times New Roman" w:eastAsia="Times New Roman" w:hAnsi="Times New Roman"/>
          <w:sz w:val="21"/>
          <w:szCs w:val="21"/>
          <w:color w:val="808080"/>
        </w:rPr>
      </w:pPr>
      <w:r>
        <w:rPr>
          <w:rFonts w:ascii="Arial" w:cs="Arial" w:eastAsia="Arial" w:hAnsi="Arial"/>
          <w:sz w:val="21"/>
          <w:szCs w:val="21"/>
          <w:color w:val="808080"/>
        </w:rPr>
        <w:t>“</w:t>
      </w:r>
      <w:r>
        <w:rPr>
          <w:rFonts w:ascii="Arial" w:cs="Arial" w:eastAsia="Arial" w:hAnsi="Arial"/>
          <w:sz w:val="21"/>
          <w:szCs w:val="21"/>
          <w:i w:val="1"/>
          <w:iCs w:val="1"/>
          <w:color w:val="808080"/>
        </w:rPr>
        <w:t>Accounting Restatement</w:t>
      </w:r>
      <w:r>
        <w:rPr>
          <w:rFonts w:ascii="Arial" w:cs="Arial" w:eastAsia="Arial" w:hAnsi="Arial"/>
          <w:sz w:val="21"/>
          <w:szCs w:val="21"/>
          <w:color w:val="808080"/>
        </w:rPr>
        <w:t>” shall mean an accounting restatement due to the material noncompliance of the Company with any financial reporting requirement under the securities laws, including any required accounting restatement (i)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spacing w:after="0" w:line="153" w:lineRule="exact"/>
        <w:rPr>
          <w:sz w:val="20"/>
          <w:szCs w:val="20"/>
          <w:color w:val="auto"/>
        </w:rPr>
      </w:pPr>
    </w:p>
    <w:p>
      <w:pPr>
        <w:jc w:val="both"/>
        <w:ind w:left="660" w:firstLine="648"/>
        <w:spacing w:after="0" w:line="212" w:lineRule="auto"/>
        <w:rPr>
          <w:sz w:val="20"/>
          <w:szCs w:val="20"/>
          <w:color w:val="auto"/>
        </w:rPr>
      </w:pPr>
      <w:r>
        <w:rPr>
          <w:rFonts w:ascii="Arial" w:cs="Arial" w:eastAsia="Arial" w:hAnsi="Arial"/>
          <w:sz w:val="22"/>
          <w:szCs w:val="22"/>
          <w:color w:val="808080"/>
        </w:rPr>
        <w:t>For purposes of this policy, an Accounting Restatement shall not be deemed to occur in the event of a revision of the Company’s financial statements due to an out-of-period adjustment (</w:t>
      </w:r>
      <w:r>
        <w:rPr>
          <w:rFonts w:ascii="Arial" w:cs="Arial" w:eastAsia="Arial" w:hAnsi="Arial"/>
          <w:sz w:val="22"/>
          <w:szCs w:val="22"/>
          <w:i w:val="1"/>
          <w:iCs w:val="1"/>
          <w:color w:val="808080"/>
        </w:rPr>
        <w:t>i.e.</w:t>
      </w:r>
      <w:r>
        <w:rPr>
          <w:rFonts w:ascii="Arial" w:cs="Arial" w:eastAsia="Arial" w:hAnsi="Arial"/>
          <w:sz w:val="22"/>
          <w:szCs w:val="22"/>
          <w:color w:val="808080"/>
        </w:rPr>
        <w:t>, when the error is immaterial to the previously issued financial statements and the correction of the error is also immaterial to the current period) or a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or (v) revision for stock splits, reverse stock splits, stock dividends, or other changes in capital structure.</w:t>
      </w:r>
    </w:p>
    <w:p>
      <w:pPr>
        <w:spacing w:after="0" w:line="156" w:lineRule="exact"/>
        <w:rPr>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Board</w:t>
      </w:r>
      <w:r>
        <w:rPr>
          <w:rFonts w:ascii="Arial" w:cs="Arial" w:eastAsia="Arial" w:hAnsi="Arial"/>
          <w:sz w:val="22"/>
          <w:szCs w:val="22"/>
          <w:color w:val="808080"/>
        </w:rPr>
        <w:t>” shall mean the Board of Directors of the Company.</w:t>
      </w:r>
    </w:p>
    <w:p>
      <w:pPr>
        <w:spacing w:after="0" w:line="178" w:lineRule="exact"/>
        <w:rPr>
          <w:rFonts w:ascii="Times New Roman" w:cs="Times New Roman" w:eastAsia="Times New Roman" w:hAnsi="Times New Roman"/>
          <w:sz w:val="22"/>
          <w:szCs w:val="22"/>
          <w:color w:val="808080"/>
        </w:rPr>
      </w:pPr>
    </w:p>
    <w:p>
      <w:pPr>
        <w:jc w:val="both"/>
        <w:ind w:left="660" w:firstLine="644"/>
        <w:spacing w:after="0" w:line="220" w:lineRule="auto"/>
        <w:tabs>
          <w:tab w:leader="none" w:pos="1953" w:val="left"/>
        </w:tabs>
        <w:numPr>
          <w:ilvl w:val="0"/>
          <w:numId w:val="33"/>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Clawback Period</w:t>
      </w:r>
      <w:r>
        <w:rPr>
          <w:rFonts w:ascii="Arial" w:cs="Arial" w:eastAsia="Arial" w:hAnsi="Arial"/>
          <w:sz w:val="22"/>
          <w:szCs w:val="22"/>
          <w:color w:val="808080"/>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51" w:lineRule="exact"/>
        <w:rPr>
          <w:rFonts w:ascii="Times New Roman" w:cs="Times New Roman" w:eastAsia="Times New Roman" w:hAnsi="Times New Roman"/>
          <w:sz w:val="22"/>
          <w:szCs w:val="22"/>
          <w:color w:val="808080"/>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Committee</w:t>
      </w:r>
      <w:r>
        <w:rPr>
          <w:rFonts w:ascii="Arial" w:cs="Arial" w:eastAsia="Arial" w:hAnsi="Arial"/>
          <w:sz w:val="22"/>
          <w:szCs w:val="22"/>
          <w:color w:val="808080"/>
        </w:rPr>
        <w:t>” shall mean the Compensation and Human Capital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71897166.1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42" w:lineRule="exact"/>
        <w:rPr>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Company</w:t>
      </w:r>
      <w:r>
        <w:rPr>
          <w:rFonts w:ascii="Arial" w:cs="Arial" w:eastAsia="Arial" w:hAnsi="Arial"/>
          <w:sz w:val="22"/>
          <w:szCs w:val="22"/>
          <w:color w:val="808080"/>
        </w:rPr>
        <w:t>” shall mean Westwood Holdings Group, Inc., a Delaware corporation.</w:t>
      </w:r>
    </w:p>
    <w:p>
      <w:pPr>
        <w:spacing w:after="0" w:line="160" w:lineRule="exact"/>
        <w:rPr>
          <w:rFonts w:ascii="Times New Roman" w:cs="Times New Roman" w:eastAsia="Times New Roman" w:hAnsi="Times New Roman"/>
          <w:sz w:val="22"/>
          <w:szCs w:val="22"/>
          <w:color w:val="808080"/>
        </w:rPr>
      </w:pPr>
    </w:p>
    <w:p>
      <w:pPr>
        <w:ind w:left="1960" w:hanging="656"/>
        <w:spacing w:after="0"/>
        <w:tabs>
          <w:tab w:leader="none" w:pos="1960"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Company Group</w:t>
      </w:r>
      <w:r>
        <w:rPr>
          <w:rFonts w:ascii="Arial" w:cs="Arial" w:eastAsia="Arial" w:hAnsi="Arial"/>
          <w:sz w:val="22"/>
          <w:szCs w:val="22"/>
          <w:color w:val="808080"/>
        </w:rPr>
        <w:t>” shall mean the Company, together with each of its direct and indirect</w:t>
      </w:r>
    </w:p>
    <w:p>
      <w:pPr>
        <w:ind w:left="660"/>
        <w:spacing w:after="0"/>
        <w:rPr>
          <w:rFonts w:ascii="Times New Roman" w:cs="Times New Roman" w:eastAsia="Times New Roman" w:hAnsi="Times New Roman"/>
          <w:sz w:val="22"/>
          <w:szCs w:val="22"/>
          <w:color w:val="808080"/>
        </w:rPr>
      </w:pPr>
      <w:r>
        <w:rPr>
          <w:rFonts w:ascii="Arial" w:cs="Arial" w:eastAsia="Arial" w:hAnsi="Arial"/>
          <w:sz w:val="22"/>
          <w:szCs w:val="22"/>
          <w:color w:val="808080"/>
        </w:rPr>
        <w:t>subsidiaries.</w:t>
      </w:r>
    </w:p>
    <w:p>
      <w:pPr>
        <w:spacing w:after="0" w:line="159" w:lineRule="exact"/>
        <w:rPr>
          <w:rFonts w:ascii="Times New Roman" w:cs="Times New Roman" w:eastAsia="Times New Roman" w:hAnsi="Times New Roman"/>
          <w:sz w:val="22"/>
          <w:szCs w:val="22"/>
          <w:color w:val="808080"/>
        </w:rPr>
      </w:pPr>
    </w:p>
    <w:p>
      <w:pPr>
        <w:jc w:val="both"/>
        <w:ind w:left="660" w:firstLine="644"/>
        <w:spacing w:after="0" w:line="224" w:lineRule="auto"/>
        <w:tabs>
          <w:tab w:leader="none" w:pos="1951" w:val="left"/>
        </w:tabs>
        <w:numPr>
          <w:ilvl w:val="0"/>
          <w:numId w:val="34"/>
        </w:numPr>
        <w:rPr>
          <w:rFonts w:ascii="Times New Roman" w:cs="Times New Roman" w:eastAsia="Times New Roman" w:hAnsi="Times New Roman"/>
          <w:sz w:val="21"/>
          <w:szCs w:val="21"/>
          <w:color w:val="808080"/>
        </w:rPr>
      </w:pPr>
      <w:r>
        <w:rPr>
          <w:rFonts w:ascii="Arial" w:cs="Arial" w:eastAsia="Arial" w:hAnsi="Arial"/>
          <w:sz w:val="21"/>
          <w:szCs w:val="21"/>
          <w:color w:val="808080"/>
        </w:rPr>
        <w:t>“</w:t>
      </w:r>
      <w:r>
        <w:rPr>
          <w:rFonts w:ascii="Arial" w:cs="Arial" w:eastAsia="Arial" w:hAnsi="Arial"/>
          <w:sz w:val="21"/>
          <w:szCs w:val="21"/>
          <w:i w:val="1"/>
          <w:iCs w:val="1"/>
          <w:color w:val="808080"/>
        </w:rPr>
        <w:t>Covered Incentive Compensation</w:t>
      </w:r>
      <w:r>
        <w:rPr>
          <w:rFonts w:ascii="Arial" w:cs="Arial" w:eastAsia="Arial" w:hAnsi="Arial"/>
          <w:sz w:val="21"/>
          <w:szCs w:val="21"/>
          <w:color w:val="808080"/>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October 2, 2023, (ii) after beginning service as an Executive Officer, (iii) while the Company has a class of securities listed on a national securities exchange or a national securities association, and (iv) during the applicable Clawback Period.</w:t>
      </w:r>
    </w:p>
    <w:p>
      <w:pPr>
        <w:spacing w:after="0" w:line="149" w:lineRule="exact"/>
        <w:rPr>
          <w:rFonts w:ascii="Times New Roman" w:cs="Times New Roman" w:eastAsia="Times New Roman" w:hAnsi="Times New Roman"/>
          <w:sz w:val="21"/>
          <w:szCs w:val="21"/>
          <w:color w:val="808080"/>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Effective Date</w:t>
      </w:r>
      <w:r>
        <w:rPr>
          <w:rFonts w:ascii="Arial" w:cs="Arial" w:eastAsia="Arial" w:hAnsi="Arial"/>
          <w:sz w:val="22"/>
          <w:szCs w:val="22"/>
          <w:color w:val="808080"/>
        </w:rPr>
        <w:t>” shall mean December 1, 2023.</w:t>
      </w:r>
    </w:p>
    <w:p>
      <w:pPr>
        <w:spacing w:after="0" w:line="178" w:lineRule="exact"/>
        <w:rPr>
          <w:rFonts w:ascii="Times New Roman" w:cs="Times New Roman" w:eastAsia="Times New Roman" w:hAnsi="Times New Roman"/>
          <w:sz w:val="22"/>
          <w:szCs w:val="22"/>
          <w:color w:val="808080"/>
        </w:rPr>
      </w:pPr>
    </w:p>
    <w:p>
      <w:pPr>
        <w:jc w:val="both"/>
        <w:ind w:left="660" w:firstLine="644"/>
        <w:spacing w:after="0" w:line="220" w:lineRule="auto"/>
        <w:tabs>
          <w:tab w:leader="none" w:pos="1944"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Erroneously Awarded Compensation</w:t>
      </w:r>
      <w:r>
        <w:rPr>
          <w:rFonts w:ascii="Arial" w:cs="Arial" w:eastAsia="Arial" w:hAnsi="Arial"/>
          <w:sz w:val="22"/>
          <w:szCs w:val="22"/>
          <w:color w:val="808080"/>
        </w:rPr>
        <w:t>” shall mean, with respect to each Executive Officer in connection with an Accounting Restatement, the amount of Covered Incentive Compensation that exceeds the amount of Incentive-based Compensation that otherwise would have been Received had it been determined based on the restated amounts, computed on a pre-tax basis.</w:t>
      </w:r>
    </w:p>
    <w:p>
      <w:pPr>
        <w:spacing w:after="0" w:line="151" w:lineRule="exact"/>
        <w:rPr>
          <w:rFonts w:ascii="Times New Roman" w:cs="Times New Roman" w:eastAsia="Times New Roman" w:hAnsi="Times New Roman"/>
          <w:sz w:val="22"/>
          <w:szCs w:val="22"/>
          <w:color w:val="808080"/>
        </w:rPr>
      </w:pPr>
    </w:p>
    <w:p>
      <w:pPr>
        <w:jc w:val="both"/>
        <w:ind w:left="660" w:firstLine="644"/>
        <w:spacing w:after="0" w:line="225" w:lineRule="auto"/>
        <w:tabs>
          <w:tab w:leader="none" w:pos="1944"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Executive Officer</w:t>
      </w:r>
      <w:r>
        <w:rPr>
          <w:rFonts w:ascii="Arial" w:cs="Arial" w:eastAsia="Arial" w:hAnsi="Arial"/>
          <w:sz w:val="22"/>
          <w:szCs w:val="22"/>
          <w:color w:val="808080"/>
        </w:rPr>
        <w:t>” shall mean each individual who is or was designated as an “officer” of the Company in accordance with 17 C.F.R. 240.16a-1(f). Identification of an executive officer for purposes of this Policy would include at a minimum executive officers identified pursuant to 17 C.F.R. 229.401(b).</w:t>
      </w:r>
    </w:p>
    <w:p>
      <w:pPr>
        <w:spacing w:after="0" w:line="151" w:lineRule="exact"/>
        <w:rPr>
          <w:rFonts w:ascii="Times New Roman" w:cs="Times New Roman" w:eastAsia="Times New Roman" w:hAnsi="Times New Roman"/>
          <w:sz w:val="22"/>
          <w:szCs w:val="22"/>
          <w:color w:val="808080"/>
        </w:rPr>
      </w:pPr>
    </w:p>
    <w:p>
      <w:pPr>
        <w:jc w:val="both"/>
        <w:ind w:left="660" w:firstLine="644"/>
        <w:spacing w:after="0" w:line="225" w:lineRule="auto"/>
        <w:tabs>
          <w:tab w:leader="none" w:pos="1951" w:val="left"/>
        </w:tabs>
        <w:numPr>
          <w:ilvl w:val="0"/>
          <w:numId w:val="34"/>
        </w:numPr>
        <w:rPr>
          <w:rFonts w:ascii="Times New Roman" w:cs="Times New Roman" w:eastAsia="Times New Roman" w:hAnsi="Times New Roman"/>
          <w:sz w:val="21"/>
          <w:szCs w:val="21"/>
          <w:color w:val="808080"/>
        </w:rPr>
      </w:pPr>
      <w:r>
        <w:rPr>
          <w:rFonts w:ascii="Arial" w:cs="Arial" w:eastAsia="Arial" w:hAnsi="Arial"/>
          <w:sz w:val="21"/>
          <w:szCs w:val="21"/>
          <w:color w:val="808080"/>
        </w:rPr>
        <w:t>“</w:t>
      </w:r>
      <w:r>
        <w:rPr>
          <w:rFonts w:ascii="Arial" w:cs="Arial" w:eastAsia="Arial" w:hAnsi="Arial"/>
          <w:sz w:val="21"/>
          <w:szCs w:val="21"/>
          <w:i w:val="1"/>
          <w:iCs w:val="1"/>
          <w:color w:val="808080"/>
        </w:rPr>
        <w:t>Financial Reporting Measures</w:t>
      </w:r>
      <w:r>
        <w:rPr>
          <w:rFonts w:ascii="Arial" w:cs="Arial" w:eastAsia="Arial" w:hAnsi="Arial"/>
          <w:sz w:val="21"/>
          <w:szCs w:val="21"/>
          <w:color w:val="808080"/>
        </w:rPr>
        <w:t>” shall mean measures that are determined and presented in accordance with the accounting principles used in preparing the Company’s financial statements, and all other measures that are derived wholly or in part from such measures. Stock price and total stockholder return (and any measures that are derived wholly or in part from stock price or total stockholder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52" w:lineRule="exact"/>
        <w:rPr>
          <w:rFonts w:ascii="Times New Roman" w:cs="Times New Roman" w:eastAsia="Times New Roman" w:hAnsi="Times New Roman"/>
          <w:sz w:val="21"/>
          <w:szCs w:val="21"/>
          <w:color w:val="808080"/>
        </w:rPr>
      </w:pPr>
    </w:p>
    <w:p>
      <w:pPr>
        <w:ind w:left="660" w:firstLine="644"/>
        <w:spacing w:after="0" w:line="236" w:lineRule="auto"/>
        <w:tabs>
          <w:tab w:leader="none" w:pos="1944"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Incentive-based Compensation</w:t>
      </w:r>
      <w:r>
        <w:rPr>
          <w:rFonts w:ascii="Arial" w:cs="Arial" w:eastAsia="Arial" w:hAnsi="Arial"/>
          <w:sz w:val="22"/>
          <w:szCs w:val="22"/>
          <w:color w:val="808080"/>
        </w:rPr>
        <w:t>” shall mean any compensation that is granted, earned or vested based wholly or in part upon the attainment of a Financial Reporting Measure.</w:t>
      </w:r>
    </w:p>
    <w:p>
      <w:pPr>
        <w:spacing w:after="0" w:line="149" w:lineRule="exact"/>
        <w:rPr>
          <w:rFonts w:ascii="Times New Roman" w:cs="Times New Roman" w:eastAsia="Times New Roman" w:hAnsi="Times New Roman"/>
          <w:sz w:val="22"/>
          <w:szCs w:val="22"/>
          <w:color w:val="808080"/>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i w:val="1"/>
          <w:iCs w:val="1"/>
          <w:color w:val="808080"/>
        </w:rPr>
        <w:t>“NYSE</w:t>
      </w:r>
      <w:r>
        <w:rPr>
          <w:rFonts w:ascii="Arial" w:cs="Arial" w:eastAsia="Arial" w:hAnsi="Arial"/>
          <w:sz w:val="22"/>
          <w:szCs w:val="22"/>
          <w:color w:val="808080"/>
        </w:rPr>
        <w:t>” shall mean the New York Stock Exchange.</w:t>
      </w:r>
    </w:p>
    <w:p>
      <w:pPr>
        <w:spacing w:after="0" w:line="178" w:lineRule="exact"/>
        <w:rPr>
          <w:rFonts w:ascii="Times New Roman" w:cs="Times New Roman" w:eastAsia="Times New Roman" w:hAnsi="Times New Roman"/>
          <w:sz w:val="22"/>
          <w:szCs w:val="22"/>
          <w:color w:val="808080"/>
        </w:rPr>
      </w:pPr>
    </w:p>
    <w:p>
      <w:pPr>
        <w:ind w:left="660" w:firstLine="644"/>
        <w:spacing w:after="0" w:line="236" w:lineRule="auto"/>
        <w:tabs>
          <w:tab w:leader="none" w:pos="1951" w:val="left"/>
        </w:tabs>
        <w:numPr>
          <w:ilvl w:val="0"/>
          <w:numId w:val="34"/>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Policy</w:t>
      </w:r>
      <w:r>
        <w:rPr>
          <w:rFonts w:ascii="Arial" w:cs="Arial" w:eastAsia="Arial" w:hAnsi="Arial"/>
          <w:sz w:val="22"/>
          <w:szCs w:val="22"/>
          <w:color w:val="808080"/>
        </w:rPr>
        <w:t>” shall mean this Compensation Recovery Policy, as the same may be amended and/or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71897166.1</w:t>
      </w:r>
      <w:r>
        <w:rPr>
          <w:sz w:val="20"/>
          <w:szCs w:val="20"/>
          <w:color w:val="auto"/>
        </w:rPr>
        <w:tab/>
      </w: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42" w:lineRule="exact"/>
        <w:rPr>
          <w:sz w:val="20"/>
          <w:szCs w:val="20"/>
          <w:color w:val="auto"/>
        </w:rPr>
      </w:pPr>
    </w:p>
    <w:p>
      <w:pPr>
        <w:jc w:val="both"/>
        <w:ind w:left="660" w:firstLine="644"/>
        <w:spacing w:after="0" w:line="220" w:lineRule="auto"/>
        <w:tabs>
          <w:tab w:leader="none" w:pos="1951" w:val="left"/>
        </w:tabs>
        <w:numPr>
          <w:ilvl w:val="1"/>
          <w:numId w:val="35"/>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Received</w:t>
      </w:r>
      <w:r>
        <w:rPr>
          <w:rFonts w:ascii="Arial" w:cs="Arial" w:eastAsia="Arial" w:hAnsi="Arial"/>
          <w:sz w:val="22"/>
          <w:szCs w:val="22"/>
          <w:color w:val="808080"/>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51" w:lineRule="exact"/>
        <w:rPr>
          <w:rFonts w:ascii="Times New Roman" w:cs="Times New Roman" w:eastAsia="Times New Roman" w:hAnsi="Times New Roman"/>
          <w:sz w:val="22"/>
          <w:szCs w:val="22"/>
          <w:color w:val="808080"/>
        </w:rPr>
      </w:pPr>
    </w:p>
    <w:p>
      <w:pPr>
        <w:jc w:val="both"/>
        <w:ind w:left="660" w:firstLine="644"/>
        <w:spacing w:after="0" w:line="221" w:lineRule="auto"/>
        <w:tabs>
          <w:tab w:leader="none" w:pos="1951" w:val="left"/>
        </w:tabs>
        <w:numPr>
          <w:ilvl w:val="1"/>
          <w:numId w:val="35"/>
        </w:numPr>
        <w:rPr>
          <w:rFonts w:ascii="Times New Roman" w:cs="Times New Roman" w:eastAsia="Times New Roman" w:hAnsi="Times New Roman"/>
          <w:sz w:val="21"/>
          <w:szCs w:val="21"/>
          <w:color w:val="808080"/>
        </w:rPr>
      </w:pPr>
      <w:r>
        <w:rPr>
          <w:rFonts w:ascii="Arial" w:cs="Arial" w:eastAsia="Arial" w:hAnsi="Arial"/>
          <w:sz w:val="21"/>
          <w:szCs w:val="21"/>
          <w:color w:val="808080"/>
        </w:rPr>
        <w:t>“</w:t>
      </w:r>
      <w:r>
        <w:rPr>
          <w:rFonts w:ascii="Arial" w:cs="Arial" w:eastAsia="Arial" w:hAnsi="Arial"/>
          <w:sz w:val="21"/>
          <w:szCs w:val="21"/>
          <w:i w:val="1"/>
          <w:iCs w:val="1"/>
          <w:color w:val="808080"/>
        </w:rPr>
        <w:t>Restatement Date</w:t>
      </w:r>
      <w:r>
        <w:rPr>
          <w:rFonts w:ascii="Arial" w:cs="Arial" w:eastAsia="Arial" w:hAnsi="Arial"/>
          <w:sz w:val="21"/>
          <w:szCs w:val="21"/>
          <w:color w:val="808080"/>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w:t>
      </w:r>
    </w:p>
    <w:p>
      <w:pPr>
        <w:ind w:left="660" w:hanging="4"/>
        <w:spacing w:after="0" w:line="227" w:lineRule="auto"/>
        <w:tabs>
          <w:tab w:leader="none" w:pos="973" w:val="left"/>
        </w:tabs>
        <w:numPr>
          <w:ilvl w:val="0"/>
          <w:numId w:val="36"/>
        </w:numPr>
        <w:rPr>
          <w:rFonts w:ascii="Arial" w:cs="Arial" w:eastAsia="Arial" w:hAnsi="Arial"/>
          <w:sz w:val="22"/>
          <w:szCs w:val="22"/>
          <w:color w:val="808080"/>
        </w:rPr>
      </w:pPr>
      <w:r>
        <w:rPr>
          <w:rFonts w:ascii="Arial" w:cs="Arial" w:eastAsia="Arial" w:hAnsi="Arial"/>
          <w:sz w:val="22"/>
          <w:szCs w:val="22"/>
          <w:color w:val="808080"/>
        </w:rPr>
        <w:t>the date a court, regulator or other legally authorized body directs the Company to prepare an Accounting Restatement.</w:t>
      </w:r>
    </w:p>
    <w:p>
      <w:pPr>
        <w:spacing w:after="0" w:line="149" w:lineRule="exact"/>
        <w:rPr>
          <w:rFonts w:ascii="Arial" w:cs="Arial" w:eastAsia="Arial" w:hAnsi="Arial"/>
          <w:sz w:val="22"/>
          <w:szCs w:val="22"/>
          <w:color w:val="808080"/>
        </w:rPr>
      </w:pPr>
    </w:p>
    <w:p>
      <w:pPr>
        <w:ind w:left="1940" w:hanging="636"/>
        <w:spacing w:after="0"/>
        <w:tabs>
          <w:tab w:leader="none" w:pos="1940" w:val="left"/>
        </w:tabs>
        <w:numPr>
          <w:ilvl w:val="1"/>
          <w:numId w:val="36"/>
        </w:numPr>
        <w:rPr>
          <w:rFonts w:ascii="Times New Roman" w:cs="Times New Roman" w:eastAsia="Times New Roman" w:hAnsi="Times New Roman"/>
          <w:sz w:val="22"/>
          <w:szCs w:val="22"/>
          <w:color w:val="808080"/>
        </w:rPr>
      </w:pPr>
      <w:r>
        <w:rPr>
          <w:rFonts w:ascii="Arial" w:cs="Arial" w:eastAsia="Arial" w:hAnsi="Arial"/>
          <w:sz w:val="22"/>
          <w:szCs w:val="22"/>
          <w:color w:val="808080"/>
        </w:rPr>
        <w:t>“</w:t>
      </w:r>
      <w:r>
        <w:rPr>
          <w:rFonts w:ascii="Arial" w:cs="Arial" w:eastAsia="Arial" w:hAnsi="Arial"/>
          <w:sz w:val="22"/>
          <w:szCs w:val="22"/>
          <w:i w:val="1"/>
          <w:iCs w:val="1"/>
          <w:color w:val="808080"/>
        </w:rPr>
        <w:t>SEC</w:t>
      </w:r>
      <w:r>
        <w:rPr>
          <w:rFonts w:ascii="Arial" w:cs="Arial" w:eastAsia="Arial" w:hAnsi="Arial"/>
          <w:sz w:val="22"/>
          <w:szCs w:val="22"/>
          <w:color w:val="808080"/>
        </w:rPr>
        <w:t>” shall mean the U.S. Securities and Exchange Commission.</w:t>
      </w:r>
    </w:p>
    <w:p>
      <w:pPr>
        <w:spacing w:after="0" w:line="176"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Repayment of Erroneously Awarded Compensation</w:t>
      </w:r>
      <w:r>
        <w:rPr>
          <w:rFonts w:ascii="Arial" w:cs="Arial" w:eastAsia="Arial" w:hAnsi="Arial"/>
          <w:sz w:val="22"/>
          <w:szCs w:val="22"/>
          <w:color w:val="808080"/>
        </w:rPr>
        <w:t>.</w:t>
      </w:r>
    </w:p>
    <w:p>
      <w:pPr>
        <w:spacing w:after="0" w:line="180" w:lineRule="exact"/>
        <w:rPr>
          <w:rFonts w:ascii="Times New Roman" w:cs="Times New Roman" w:eastAsia="Times New Roman" w:hAnsi="Times New Roman"/>
          <w:sz w:val="22"/>
          <w:szCs w:val="22"/>
          <w:color w:val="808080"/>
        </w:rPr>
      </w:pPr>
    </w:p>
    <w:p>
      <w:pPr>
        <w:jc w:val="both"/>
        <w:ind w:left="660" w:firstLine="644"/>
        <w:spacing w:after="0" w:line="220" w:lineRule="auto"/>
        <w:tabs>
          <w:tab w:leader="none" w:pos="1953" w:val="left"/>
        </w:tabs>
        <w:numPr>
          <w:ilvl w:val="1"/>
          <w:numId w:val="37"/>
        </w:numPr>
        <w:rPr>
          <w:rFonts w:ascii="Times New Roman" w:cs="Times New Roman" w:eastAsia="Times New Roman" w:hAnsi="Times New Roman"/>
          <w:sz w:val="21"/>
          <w:szCs w:val="21"/>
          <w:color w:val="808080"/>
        </w:rPr>
      </w:pPr>
      <w:r>
        <w:rPr>
          <w:rFonts w:ascii="Arial" w:cs="Arial" w:eastAsia="Arial" w:hAnsi="Arial"/>
          <w:sz w:val="21"/>
          <w:szCs w:val="21"/>
          <w:color w:val="808080"/>
        </w:rPr>
        <w:t>In the event of an Accounting Restatement, the Committee shall promptly (and in all events within ninety (90) days after the Restatement Date) determine the amount of any Erroneously Awarded Compensation for each Executive Officer in connection with such Accounting Restatement and shall promptly thereafter provide each Executive Officer with a written notice containing the amount of Erroneously Awarded Compensation and a demand for repayment or return, as applicable. For Incentive-based Compensation based on (or derived from) stock price or total stockholder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stockholder return upon which the Incentive-based Compensation was Received (in which case, the Company shall maintain documentation of such determination of that reasonable estimate and provide such documentation to NYSE).</w:t>
      </w:r>
    </w:p>
    <w:p>
      <w:pPr>
        <w:spacing w:after="0" w:line="156" w:lineRule="exact"/>
        <w:rPr>
          <w:rFonts w:ascii="Times New Roman" w:cs="Times New Roman" w:eastAsia="Times New Roman" w:hAnsi="Times New Roman"/>
          <w:sz w:val="21"/>
          <w:szCs w:val="21"/>
          <w:color w:val="808080"/>
        </w:rPr>
      </w:pPr>
    </w:p>
    <w:p>
      <w:pPr>
        <w:jc w:val="both"/>
        <w:ind w:left="660" w:firstLine="644"/>
        <w:spacing w:after="0" w:line="209" w:lineRule="auto"/>
        <w:tabs>
          <w:tab w:leader="none" w:pos="1951" w:val="left"/>
        </w:tabs>
        <w:numPr>
          <w:ilvl w:val="1"/>
          <w:numId w:val="37"/>
        </w:numPr>
        <w:rPr>
          <w:rFonts w:ascii="Times New Roman" w:cs="Times New Roman" w:eastAsia="Times New Roman" w:hAnsi="Times New Roman"/>
          <w:sz w:val="22"/>
          <w:szCs w:val="22"/>
          <w:color w:val="808080"/>
        </w:rPr>
      </w:pPr>
      <w:r>
        <w:rPr>
          <w:rFonts w:ascii="Arial" w:cs="Arial" w:eastAsia="Arial" w:hAnsi="Arial"/>
          <w:sz w:val="22"/>
          <w:szCs w:val="22"/>
          <w:color w:val="808080"/>
        </w:rPr>
        <w:t>The Committee shall have broad discretion to determine the appropriate means of recovery of Erroneously Awarded Compensation based on all applicable facts and circumstances and taking into account the time value of money and the cost to stockholders of delaying recovery. To the extent that the Committee determines that any method of recovery (other than repayment by the Executive Officer in a lump sum in cash or property) is appropriate, the Company shall offer to enter into a repayment agreement (in a form reasonable acceptable to the Committee) with the Executive Officer. If the Executive Officer accepts such offer and signs the repayment agreement within thirty (30) days after such offer is extended, the Company shall countersign such repayment agreement. If the Executive Officer fails to sign the repayment agreement within thirty (30) days after such offer is extended, the Executive Officer will be required to repay the Erroneously Awarded Compensation in a lump sum in cash (or such property as the Committee agrees to accept with a value equal to such Erroneously Awarded Compensation) on or prior to the date that is one hundred twenty (120) days following the Restatement Date. For the avoidance of doubt, except as set forth in Section 4(d) below, in no event may the Company Group accept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71897166.1</w:t>
      </w:r>
      <w:r>
        <w:rPr>
          <w:sz w:val="20"/>
          <w:szCs w:val="20"/>
          <w:color w:val="auto"/>
        </w:rPr>
        <w:tab/>
      </w: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42" w:lineRule="exact"/>
        <w:rPr>
          <w:sz w:val="20"/>
          <w:szCs w:val="20"/>
          <w:color w:val="auto"/>
        </w:rPr>
      </w:pPr>
    </w:p>
    <w:p>
      <w:pPr>
        <w:jc w:val="both"/>
        <w:ind w:left="660"/>
        <w:spacing w:after="0" w:line="212" w:lineRule="auto"/>
        <w:rPr>
          <w:sz w:val="20"/>
          <w:szCs w:val="20"/>
          <w:color w:val="auto"/>
        </w:rPr>
      </w:pPr>
      <w:r>
        <w:rPr>
          <w:rFonts w:ascii="Arial" w:cs="Arial" w:eastAsia="Arial" w:hAnsi="Arial"/>
          <w:sz w:val="22"/>
          <w:szCs w:val="22"/>
          <w:color w:val="808080"/>
        </w:rPr>
        <w:t>that is less than the amount of Erroneously Awarded Compensation in satisfaction of an Executive Officer’s obligations hereunder. Notwithstanding anything to the contrary herein, the Committee has no obligation to seek recoupment of amounts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and compensation awarded solely at the discretion of the Committee, the Board, or a group composed entirely of independent members of the Board; provided that such amounts are in no way contingent on, and were not in any way granted on the basis of, the achievement of any Financial Reporting Measure.</w:t>
      </w:r>
    </w:p>
    <w:p>
      <w:pPr>
        <w:spacing w:after="0" w:line="149" w:lineRule="exact"/>
        <w:rPr>
          <w:sz w:val="20"/>
          <w:szCs w:val="20"/>
          <w:color w:val="auto"/>
        </w:rPr>
      </w:pPr>
    </w:p>
    <w:p>
      <w:pPr>
        <w:jc w:val="both"/>
        <w:ind w:left="660" w:firstLine="644"/>
        <w:spacing w:after="0" w:line="213" w:lineRule="auto"/>
        <w:tabs>
          <w:tab w:leader="none" w:pos="1953" w:val="left"/>
        </w:tabs>
        <w:numPr>
          <w:ilvl w:val="1"/>
          <w:numId w:val="38"/>
        </w:numPr>
        <w:rPr>
          <w:rFonts w:ascii="Times New Roman" w:cs="Times New Roman" w:eastAsia="Times New Roman" w:hAnsi="Times New Roman"/>
          <w:sz w:val="22"/>
          <w:szCs w:val="22"/>
          <w:color w:val="808080"/>
        </w:rPr>
      </w:pPr>
      <w:r>
        <w:rPr>
          <w:rFonts w:ascii="Arial" w:cs="Arial" w:eastAsia="Arial" w:hAnsi="Arial"/>
          <w:sz w:val="22"/>
          <w:szCs w:val="22"/>
          <w:color w:val="808080"/>
        </w:rPr>
        <w:t>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55" w:lineRule="exact"/>
        <w:rPr>
          <w:rFonts w:ascii="Times New Roman" w:cs="Times New Roman" w:eastAsia="Times New Roman" w:hAnsi="Times New Roman"/>
          <w:sz w:val="22"/>
          <w:szCs w:val="22"/>
          <w:color w:val="808080"/>
        </w:rPr>
      </w:pPr>
    </w:p>
    <w:p>
      <w:pPr>
        <w:jc w:val="both"/>
        <w:ind w:left="660" w:firstLine="644"/>
        <w:spacing w:after="0" w:line="225" w:lineRule="auto"/>
        <w:tabs>
          <w:tab w:leader="none" w:pos="1951" w:val="left"/>
        </w:tabs>
        <w:numPr>
          <w:ilvl w:val="1"/>
          <w:numId w:val="38"/>
        </w:numPr>
        <w:rPr>
          <w:rFonts w:ascii="Times New Roman" w:cs="Times New Roman" w:eastAsia="Times New Roman" w:hAnsi="Times New Roman"/>
          <w:sz w:val="22"/>
          <w:szCs w:val="22"/>
          <w:color w:val="808080"/>
        </w:rPr>
      </w:pPr>
      <w:r>
        <w:rPr>
          <w:rFonts w:ascii="Arial" w:cs="Arial" w:eastAsia="Arial" w:hAnsi="Arial"/>
          <w:sz w:val="22"/>
          <w:szCs w:val="22"/>
          <w:color w:val="808080"/>
        </w:rPr>
        <w:t>Notwithstanding anything herein to the contrary, the Company shall not be required to take the actions contemplated by Section 4(b) above if the following conditions are met and the Committee determines that recovery would be impracticable:</w:t>
      </w:r>
    </w:p>
    <w:p>
      <w:pPr>
        <w:spacing w:after="0" w:line="151" w:lineRule="exact"/>
        <w:rPr>
          <w:rFonts w:ascii="Times New Roman" w:cs="Times New Roman" w:eastAsia="Times New Roman" w:hAnsi="Times New Roman"/>
          <w:sz w:val="22"/>
          <w:szCs w:val="22"/>
          <w:color w:val="808080"/>
        </w:rPr>
      </w:pPr>
    </w:p>
    <w:p>
      <w:pPr>
        <w:jc w:val="both"/>
        <w:ind w:left="1300" w:firstLine="652"/>
        <w:spacing w:after="0" w:line="220" w:lineRule="auto"/>
        <w:tabs>
          <w:tab w:leader="none" w:pos="2584" w:val="left"/>
        </w:tabs>
        <w:numPr>
          <w:ilvl w:val="2"/>
          <w:numId w:val="38"/>
        </w:numPr>
        <w:rPr>
          <w:rFonts w:ascii="Times New Roman" w:cs="Times New Roman" w:eastAsia="Times New Roman" w:hAnsi="Times New Roman"/>
          <w:sz w:val="22"/>
          <w:szCs w:val="22"/>
          <w:color w:val="808080"/>
        </w:rPr>
      </w:pPr>
      <w:r>
        <w:rPr>
          <w:rFonts w:ascii="Arial" w:cs="Arial" w:eastAsia="Arial" w:hAnsi="Arial"/>
          <w:sz w:val="22"/>
          <w:szCs w:val="22"/>
          <w:color w:val="808080"/>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NYSE;</w:t>
      </w:r>
    </w:p>
    <w:p>
      <w:pPr>
        <w:spacing w:after="0" w:line="151" w:lineRule="exact"/>
        <w:rPr>
          <w:rFonts w:ascii="Times New Roman" w:cs="Times New Roman" w:eastAsia="Times New Roman" w:hAnsi="Times New Roman"/>
          <w:sz w:val="22"/>
          <w:szCs w:val="22"/>
          <w:color w:val="808080"/>
        </w:rPr>
      </w:pPr>
    </w:p>
    <w:p>
      <w:pPr>
        <w:jc w:val="both"/>
        <w:ind w:left="1300" w:firstLine="652"/>
        <w:spacing w:after="0" w:line="217" w:lineRule="auto"/>
        <w:tabs>
          <w:tab w:leader="none" w:pos="2590" w:val="left"/>
        </w:tabs>
        <w:numPr>
          <w:ilvl w:val="2"/>
          <w:numId w:val="38"/>
        </w:numPr>
        <w:rPr>
          <w:rFonts w:ascii="Times New Roman" w:cs="Times New Roman" w:eastAsia="Times New Roman" w:hAnsi="Times New Roman"/>
          <w:sz w:val="22"/>
          <w:szCs w:val="22"/>
          <w:color w:val="808080"/>
        </w:rPr>
      </w:pPr>
      <w:r>
        <w:rPr>
          <w:rFonts w:ascii="Arial" w:cs="Arial" w:eastAsia="Arial" w:hAnsi="Arial"/>
          <w:sz w:val="22"/>
          <w:szCs w:val="22"/>
          <w:color w:val="808080"/>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and a copy of the opinion is provided to NYSE; or</w:t>
      </w:r>
    </w:p>
    <w:p>
      <w:pPr>
        <w:spacing w:after="0" w:line="151" w:lineRule="exact"/>
        <w:rPr>
          <w:rFonts w:ascii="Times New Roman" w:cs="Times New Roman" w:eastAsia="Times New Roman" w:hAnsi="Times New Roman"/>
          <w:sz w:val="22"/>
          <w:szCs w:val="22"/>
          <w:color w:val="808080"/>
        </w:rPr>
      </w:pPr>
    </w:p>
    <w:p>
      <w:pPr>
        <w:jc w:val="both"/>
        <w:ind w:left="1300" w:firstLine="652"/>
        <w:spacing w:after="0" w:line="225" w:lineRule="auto"/>
        <w:tabs>
          <w:tab w:leader="none" w:pos="2596" w:val="left"/>
        </w:tabs>
        <w:numPr>
          <w:ilvl w:val="2"/>
          <w:numId w:val="38"/>
        </w:numPr>
        <w:rPr>
          <w:rFonts w:ascii="Times New Roman" w:cs="Times New Roman" w:eastAsia="Times New Roman" w:hAnsi="Times New Roman"/>
          <w:sz w:val="22"/>
          <w:szCs w:val="22"/>
          <w:color w:val="808080"/>
        </w:rPr>
      </w:pPr>
      <w:r>
        <w:rPr>
          <w:rFonts w:ascii="Arial" w:cs="Arial" w:eastAsia="Arial" w:hAnsi="Arial"/>
          <w:sz w:val="22"/>
          <w:szCs w:val="22"/>
          <w:color w:val="808080"/>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49" w:lineRule="exact"/>
        <w:rPr>
          <w:rFonts w:ascii="Times New Roman" w:cs="Times New Roman" w:eastAsia="Times New Roman" w:hAnsi="Times New Roman"/>
          <w:sz w:val="22"/>
          <w:szCs w:val="22"/>
          <w:color w:val="808080"/>
        </w:rPr>
      </w:pPr>
    </w:p>
    <w:p>
      <w:pPr>
        <w:jc w:val="both"/>
        <w:ind w:firstLine="656"/>
        <w:spacing w:after="0" w:line="226" w:lineRule="auto"/>
        <w:tabs>
          <w:tab w:leader="none" w:pos="1296" w:val="left"/>
        </w:tabs>
        <w:numPr>
          <w:ilvl w:val="0"/>
          <w:numId w:val="39"/>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Reporting and Disclosure</w:t>
      </w:r>
      <w:r>
        <w:rPr>
          <w:rFonts w:ascii="Arial" w:cs="Arial" w:eastAsia="Arial" w:hAnsi="Arial"/>
          <w:sz w:val="22"/>
          <w:szCs w:val="22"/>
          <w:color w:val="808080"/>
        </w:rPr>
        <w:t>. The Company shall file all disclosures with respect to this Policy in</w:t>
      </w:r>
      <w:r>
        <w:rPr>
          <w:rFonts w:ascii="Arial" w:cs="Arial" w:eastAsia="Arial" w:hAnsi="Arial"/>
          <w:sz w:val="22"/>
          <w:szCs w:val="22"/>
          <w:b w:val="1"/>
          <w:bCs w:val="1"/>
          <w:color w:val="808080"/>
        </w:rPr>
        <w:t xml:space="preserve"> </w:t>
      </w:r>
      <w:r>
        <w:rPr>
          <w:rFonts w:ascii="Arial" w:cs="Arial" w:eastAsia="Arial" w:hAnsi="Arial"/>
          <w:sz w:val="22"/>
          <w:szCs w:val="22"/>
          <w:color w:val="808080"/>
        </w:rPr>
        <w:t>accordance with the requirement of the federal securities laws, including the disclosure required by the applicable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71897166.1</w:t>
      </w:r>
      <w:r>
        <w:rPr>
          <w:sz w:val="20"/>
          <w:szCs w:val="20"/>
          <w:color w:val="auto"/>
        </w:rPr>
        <w:tab/>
      </w: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40" w:lineRule="exact"/>
        <w:rPr>
          <w:sz w:val="20"/>
          <w:szCs w:val="20"/>
          <w:color w:val="auto"/>
        </w:rPr>
      </w:pPr>
    </w:p>
    <w:p>
      <w:pPr>
        <w:jc w:val="both"/>
        <w:ind w:firstLine="656"/>
        <w:spacing w:after="0" w:line="214" w:lineRule="auto"/>
        <w:tabs>
          <w:tab w:leader="none" w:pos="1296" w:val="left"/>
        </w:tabs>
        <w:numPr>
          <w:ilvl w:val="0"/>
          <w:numId w:val="40"/>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Indemnification Prohibition</w:t>
      </w:r>
      <w:r>
        <w:rPr>
          <w:rFonts w:ascii="Arial" w:cs="Arial" w:eastAsia="Arial" w:hAnsi="Arial"/>
          <w:sz w:val="22"/>
          <w:szCs w:val="22"/>
          <w:color w:val="808080"/>
        </w:rPr>
        <w:t>. No member of the Company Group shall be permitted to indemnify any</w:t>
      </w:r>
      <w:r>
        <w:rPr>
          <w:rFonts w:ascii="Arial" w:cs="Arial" w:eastAsia="Arial" w:hAnsi="Arial"/>
          <w:sz w:val="22"/>
          <w:szCs w:val="22"/>
          <w:b w:val="1"/>
          <w:bCs w:val="1"/>
          <w:color w:val="808080"/>
        </w:rPr>
        <w:t xml:space="preserve"> </w:t>
      </w:r>
      <w:r>
        <w:rPr>
          <w:rFonts w:ascii="Arial" w:cs="Arial" w:eastAsia="Arial" w:hAnsi="Arial"/>
          <w:sz w:val="22"/>
          <w:szCs w:val="22"/>
          <w:color w:val="808080"/>
        </w:rPr>
        <w:t>Executive Officer against (a) the loss of any Erroneously Awarded Compensation that is repaid, returned or recovered pursuant to the terms of this Policy, or (b)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48" w:lineRule="exact"/>
        <w:rPr>
          <w:rFonts w:ascii="Times New Roman" w:cs="Times New Roman" w:eastAsia="Times New Roman" w:hAnsi="Times New Roman"/>
          <w:sz w:val="22"/>
          <w:szCs w:val="22"/>
          <w:color w:val="808080"/>
        </w:rPr>
      </w:pPr>
    </w:p>
    <w:p>
      <w:pPr>
        <w:ind w:firstLine="656"/>
        <w:spacing w:after="0" w:line="237" w:lineRule="auto"/>
        <w:tabs>
          <w:tab w:leader="none" w:pos="1296" w:val="left"/>
        </w:tabs>
        <w:numPr>
          <w:ilvl w:val="0"/>
          <w:numId w:val="40"/>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Interpretation</w:t>
      </w:r>
      <w:r>
        <w:rPr>
          <w:rFonts w:ascii="Arial" w:cs="Arial" w:eastAsia="Arial" w:hAnsi="Arial"/>
          <w:sz w:val="22"/>
          <w:szCs w:val="22"/>
          <w:color w:val="808080"/>
        </w:rPr>
        <w:t>. The Committee is authorized to interpret and construe this Policy and to make all</w:t>
      </w:r>
      <w:r>
        <w:rPr>
          <w:rFonts w:ascii="Arial" w:cs="Arial" w:eastAsia="Arial" w:hAnsi="Arial"/>
          <w:sz w:val="22"/>
          <w:szCs w:val="22"/>
          <w:b w:val="1"/>
          <w:bCs w:val="1"/>
          <w:color w:val="808080"/>
        </w:rPr>
        <w:t xml:space="preserve"> </w:t>
      </w:r>
      <w:r>
        <w:rPr>
          <w:rFonts w:ascii="Arial" w:cs="Arial" w:eastAsia="Arial" w:hAnsi="Arial"/>
          <w:sz w:val="22"/>
          <w:szCs w:val="22"/>
          <w:color w:val="808080"/>
        </w:rPr>
        <w:t>determinations necessary, appropriate, or advisable for the administration of this Policy.</w:t>
      </w:r>
    </w:p>
    <w:p>
      <w:pPr>
        <w:spacing w:after="0" w:line="147" w:lineRule="exact"/>
        <w:rPr>
          <w:rFonts w:ascii="Times New Roman" w:cs="Times New Roman" w:eastAsia="Times New Roman" w:hAnsi="Times New Roman"/>
          <w:sz w:val="22"/>
          <w:szCs w:val="22"/>
          <w:color w:val="808080"/>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Effective Date</w:t>
      </w:r>
      <w:r>
        <w:rPr>
          <w:rFonts w:ascii="Arial" w:cs="Arial" w:eastAsia="Arial" w:hAnsi="Arial"/>
          <w:sz w:val="22"/>
          <w:szCs w:val="22"/>
          <w:color w:val="808080"/>
        </w:rPr>
        <w:t>. This Policy shall be effective as of the Effective Date.</w:t>
      </w:r>
    </w:p>
    <w:p>
      <w:pPr>
        <w:spacing w:after="0" w:line="178" w:lineRule="exact"/>
        <w:rPr>
          <w:rFonts w:ascii="Times New Roman" w:cs="Times New Roman" w:eastAsia="Times New Roman" w:hAnsi="Times New Roman"/>
          <w:sz w:val="22"/>
          <w:szCs w:val="22"/>
          <w:color w:val="808080"/>
        </w:rPr>
      </w:pPr>
    </w:p>
    <w:p>
      <w:pPr>
        <w:jc w:val="both"/>
        <w:ind w:firstLine="656"/>
        <w:spacing w:after="0" w:line="212" w:lineRule="auto"/>
        <w:tabs>
          <w:tab w:leader="none" w:pos="1296" w:val="left"/>
        </w:tabs>
        <w:numPr>
          <w:ilvl w:val="0"/>
          <w:numId w:val="40"/>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Amendment</w:t>
      </w:r>
      <w:r>
        <w:rPr>
          <w:rFonts w:ascii="Arial" w:cs="Arial" w:eastAsia="Arial" w:hAnsi="Arial"/>
          <w:sz w:val="22"/>
          <w:szCs w:val="22"/>
          <w:color w:val="808080"/>
        </w:rPr>
        <w:t>;</w:t>
      </w:r>
      <w:r>
        <w:rPr>
          <w:rFonts w:ascii="Arial" w:cs="Arial" w:eastAsia="Arial" w:hAnsi="Arial"/>
          <w:sz w:val="22"/>
          <w:szCs w:val="22"/>
          <w:b w:val="1"/>
          <w:bCs w:val="1"/>
          <w:color w:val="808080"/>
        </w:rPr>
        <w:t xml:space="preserve"> Termination</w:t>
      </w:r>
      <w:r>
        <w:rPr>
          <w:rFonts w:ascii="Arial" w:cs="Arial" w:eastAsia="Arial" w:hAnsi="Arial"/>
          <w:sz w:val="22"/>
          <w:szCs w:val="22"/>
          <w:color w:val="808080"/>
        </w:rPr>
        <w:t>. The Committee may amend this Policy from time to time in its discretion</w:t>
      </w:r>
      <w:r>
        <w:rPr>
          <w:rFonts w:ascii="Arial" w:cs="Arial" w:eastAsia="Arial" w:hAnsi="Arial"/>
          <w:sz w:val="22"/>
          <w:szCs w:val="22"/>
          <w:b w:val="1"/>
          <w:bCs w:val="1"/>
          <w:color w:val="808080"/>
        </w:rPr>
        <w:t xml:space="preserve"> </w:t>
      </w:r>
      <w:r>
        <w:rPr>
          <w:rFonts w:ascii="Arial" w:cs="Arial" w:eastAsia="Arial" w:hAnsi="Arial"/>
          <w:sz w:val="22"/>
          <w:szCs w:val="22"/>
          <w:color w:val="808080"/>
        </w:rPr>
        <w:t>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48" w:lineRule="exact"/>
        <w:rPr>
          <w:rFonts w:ascii="Times New Roman" w:cs="Times New Roman" w:eastAsia="Times New Roman" w:hAnsi="Times New Roman"/>
          <w:sz w:val="22"/>
          <w:szCs w:val="22"/>
          <w:color w:val="808080"/>
        </w:rPr>
      </w:pPr>
    </w:p>
    <w:p>
      <w:pPr>
        <w:jc w:val="both"/>
        <w:ind w:firstLine="656"/>
        <w:spacing w:after="0" w:line="212" w:lineRule="auto"/>
        <w:tabs>
          <w:tab w:leader="none" w:pos="1296" w:val="left"/>
        </w:tabs>
        <w:numPr>
          <w:ilvl w:val="0"/>
          <w:numId w:val="40"/>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Other Recoupment Rights</w:t>
      </w:r>
      <w:r>
        <w:rPr>
          <w:rFonts w:ascii="Arial" w:cs="Arial" w:eastAsia="Arial" w:hAnsi="Arial"/>
          <w:sz w:val="22"/>
          <w:szCs w:val="22"/>
          <w:color w:val="808080"/>
        </w:rPr>
        <w:t>;</w:t>
      </w:r>
      <w:r>
        <w:rPr>
          <w:rFonts w:ascii="Arial" w:cs="Arial" w:eastAsia="Arial" w:hAnsi="Arial"/>
          <w:sz w:val="22"/>
          <w:szCs w:val="22"/>
          <w:b w:val="1"/>
          <w:bCs w:val="1"/>
          <w:color w:val="808080"/>
        </w:rPr>
        <w:t xml:space="preserve"> No Additional Payments</w:t>
      </w:r>
      <w:r>
        <w:rPr>
          <w:rFonts w:ascii="Arial" w:cs="Arial" w:eastAsia="Arial" w:hAnsi="Arial"/>
          <w:sz w:val="22"/>
          <w:szCs w:val="22"/>
          <w:color w:val="808080"/>
        </w:rPr>
        <w:t>. The Committee intends that this Policy will be</w:t>
      </w:r>
      <w:r>
        <w:rPr>
          <w:rFonts w:ascii="Arial" w:cs="Arial" w:eastAsia="Arial" w:hAnsi="Arial"/>
          <w:sz w:val="22"/>
          <w:szCs w:val="22"/>
          <w:b w:val="1"/>
          <w:bCs w:val="1"/>
          <w:color w:val="808080"/>
        </w:rPr>
        <w:t xml:space="preserve"> </w:t>
      </w:r>
      <w:r>
        <w:rPr>
          <w:rFonts w:ascii="Arial" w:cs="Arial" w:eastAsia="Arial" w:hAnsi="Arial"/>
          <w:sz w:val="22"/>
          <w:szCs w:val="22"/>
          <w:color w:val="808080"/>
        </w:rPr>
        <w:t>applied to the fullest extent of the law.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 For avoidance of doubt, any excess compensation received prior to October 2, 2023, shall be subject to the terms of the Prior Policy.</w:t>
      </w:r>
    </w:p>
    <w:p>
      <w:pPr>
        <w:spacing w:after="0" w:line="148" w:lineRule="exact"/>
        <w:rPr>
          <w:rFonts w:ascii="Times New Roman" w:cs="Times New Roman" w:eastAsia="Times New Roman" w:hAnsi="Times New Roman"/>
          <w:sz w:val="22"/>
          <w:szCs w:val="22"/>
          <w:color w:val="808080"/>
        </w:rPr>
      </w:pPr>
    </w:p>
    <w:p>
      <w:pPr>
        <w:ind w:firstLine="656"/>
        <w:spacing w:after="0" w:line="237" w:lineRule="auto"/>
        <w:tabs>
          <w:tab w:leader="none" w:pos="1288" w:val="left"/>
        </w:tabs>
        <w:numPr>
          <w:ilvl w:val="0"/>
          <w:numId w:val="40"/>
        </w:numPr>
        <w:rPr>
          <w:rFonts w:ascii="Times New Roman" w:cs="Times New Roman" w:eastAsia="Times New Roman" w:hAnsi="Times New Roman"/>
          <w:sz w:val="22"/>
          <w:szCs w:val="22"/>
          <w:color w:val="808080"/>
        </w:rPr>
      </w:pPr>
      <w:r>
        <w:rPr>
          <w:rFonts w:ascii="Arial" w:cs="Arial" w:eastAsia="Arial" w:hAnsi="Arial"/>
          <w:sz w:val="22"/>
          <w:szCs w:val="22"/>
          <w:b w:val="1"/>
          <w:bCs w:val="1"/>
          <w:color w:val="808080"/>
        </w:rPr>
        <w:t>Successors</w:t>
      </w:r>
      <w:r>
        <w:rPr>
          <w:rFonts w:ascii="Arial" w:cs="Arial" w:eastAsia="Arial" w:hAnsi="Arial"/>
          <w:sz w:val="22"/>
          <w:szCs w:val="22"/>
          <w:color w:val="808080"/>
        </w:rPr>
        <w:t>. This Policy shall be binding and enforceable against all Executive Officers and their</w:t>
      </w:r>
      <w:r>
        <w:rPr>
          <w:rFonts w:ascii="Arial" w:cs="Arial" w:eastAsia="Arial" w:hAnsi="Arial"/>
          <w:sz w:val="22"/>
          <w:szCs w:val="22"/>
          <w:b w:val="1"/>
          <w:bCs w:val="1"/>
          <w:color w:val="808080"/>
        </w:rPr>
        <w:t xml:space="preserve"> </w:t>
      </w:r>
      <w:r>
        <w:rPr>
          <w:rFonts w:ascii="Arial" w:cs="Arial" w:eastAsia="Arial" w:hAnsi="Arial"/>
          <w:sz w:val="22"/>
          <w:szCs w:val="22"/>
          <w:color w:val="808080"/>
        </w:rPr>
        <w:t>beneficiaries, heirs, executors, administrators or other legal representatives.</w:t>
      </w:r>
    </w:p>
    <w:p>
      <w:pPr>
        <w:spacing w:after="0" w:line="392" w:lineRule="exact"/>
        <w:rPr>
          <w:sz w:val="20"/>
          <w:szCs w:val="20"/>
          <w:color w:val="auto"/>
        </w:rPr>
      </w:pPr>
    </w:p>
    <w:p>
      <w:pPr>
        <w:jc w:val="center"/>
        <w:ind w:right="-19"/>
        <w:spacing w:after="0"/>
        <w:tabs>
          <w:tab w:leader="none" w:pos="220" w:val="left"/>
          <w:tab w:leader="none" w:pos="220" w:val="left"/>
        </w:tabs>
        <w:rPr>
          <w:sz w:val="20"/>
          <w:szCs w:val="20"/>
          <w:color w:val="auto"/>
        </w:rPr>
      </w:pPr>
      <w:r>
        <w:rPr>
          <w:rFonts w:ascii="Arial" w:cs="Arial" w:eastAsia="Arial" w:hAnsi="Arial"/>
          <w:sz w:val="22"/>
          <w:szCs w:val="22"/>
          <w:color w:val="808080"/>
        </w:rPr>
        <w:t>*</w:t>
        <w:tab/>
        <w:t>*</w:t>
        <w:tab/>
        <w: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326295"/>
        </w:rPr>
        <w:t>Adopted October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71897166.1</w:t>
      </w:r>
      <w:r>
        <w:rPr>
          <w:sz w:val="20"/>
          <w:szCs w:val="20"/>
          <w:color w:val="auto"/>
        </w:rPr>
        <w:tab/>
      </w: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71897166.1</w:t>
      </w:r>
      <w:r>
        <w:rPr>
          <w:sz w:val="20"/>
          <w:szCs w:val="20"/>
          <w:color w:val="auto"/>
        </w:rPr>
        <w:tab/>
      </w:r>
      <w:r>
        <w:rPr>
          <w:rFonts w:ascii="Times New Roman" w:cs="Times New Roman" w:eastAsia="Times New Roman" w:hAnsi="Times New Roman"/>
          <w:sz w:val="16"/>
          <w:szCs w:val="16"/>
          <w:color w:val="auto"/>
        </w:rPr>
        <w:t>6</w:t>
      </w:r>
    </w:p>
    <w:p>
      <w:pPr>
        <w:sectPr>
          <w:pgSz w:w="11900" w:h="16838" w:orient="portrait"/>
          <w:cols w:equalWidth="0" w:num="1">
            <w:col w:w="10139"/>
          </w:cols>
          <w:pgMar w:left="320" w:top="1440" w:right="1440" w:bottom="1440" w:gutter="0" w:footer="0" w:header="0"/>
        </w:sectPr>
      </w:pPr>
    </w:p>
    <w:bookmarkStart w:id="91" w:name="page92"/>
    <w:bookmarkEnd w:id="91"/>
    <w:p>
      <w:pPr>
        <w:ind w:left="5160"/>
        <w:spacing w:after="0"/>
        <w:rPr>
          <w:sz w:val="20"/>
          <w:szCs w:val="20"/>
          <w:color w:val="auto"/>
        </w:rPr>
      </w:pPr>
      <w:r>
        <w:rPr>
          <w:rFonts w:ascii="Arial" w:cs="Arial" w:eastAsia="Arial" w:hAnsi="Arial"/>
          <w:sz w:val="22"/>
          <w:szCs w:val="22"/>
          <w:b w:val="1"/>
          <w:bCs w:val="1"/>
          <w:u w:val="single" w:color="auto"/>
          <w:color w:val="808080"/>
        </w:rPr>
        <w:t>Exhibit A</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808080"/>
        </w:rPr>
        <w:t>Westwood Holdings Group, Inc.</w:t>
      </w:r>
    </w:p>
    <w:p>
      <w:pPr>
        <w:jc w:val="center"/>
        <w:ind w:right="-19"/>
        <w:spacing w:after="0"/>
        <w:rPr>
          <w:sz w:val="20"/>
          <w:szCs w:val="20"/>
          <w:color w:val="auto"/>
        </w:rPr>
      </w:pPr>
      <w:r>
        <w:rPr>
          <w:rFonts w:ascii="Arial" w:cs="Arial" w:eastAsia="Arial" w:hAnsi="Arial"/>
          <w:sz w:val="22"/>
          <w:szCs w:val="22"/>
          <w:b w:val="1"/>
          <w:bCs w:val="1"/>
          <w:color w:val="808080"/>
        </w:rPr>
        <w:t>Compensation Recovery Policy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808080"/>
        </w:rPr>
        <w:t>Acknowledgement Form</w:t>
      </w:r>
    </w:p>
    <w:p>
      <w:pPr>
        <w:spacing w:after="0" w:line="39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808080"/>
        </w:rPr>
        <w:t>By signing below, the undersigned acknowledges and confirms that the undersigned has received and reviewed a copy of the Westwood Holdings Group, Inc. Compensation Recovery Policy (the “</w:t>
      </w:r>
      <w:r>
        <w:rPr>
          <w:rFonts w:ascii="Arial" w:cs="Arial" w:eastAsia="Arial" w:hAnsi="Arial"/>
          <w:sz w:val="22"/>
          <w:szCs w:val="22"/>
          <w:i w:val="1"/>
          <w:iCs w:val="1"/>
          <w:color w:val="808080"/>
        </w:rPr>
        <w:t>Policy</w:t>
      </w:r>
      <w:r>
        <w:rPr>
          <w:rFonts w:ascii="Arial" w:cs="Arial" w:eastAsia="Arial" w:hAnsi="Arial"/>
          <w:sz w:val="22"/>
          <w:szCs w:val="22"/>
          <w:color w:val="808080"/>
        </w:rPr>
        <w:t>”). Capitalized terms used but not otherwise defined in this Acknowledgement Form (this “</w:t>
      </w:r>
      <w:r>
        <w:rPr>
          <w:rFonts w:ascii="Arial" w:cs="Arial" w:eastAsia="Arial" w:hAnsi="Arial"/>
          <w:sz w:val="22"/>
          <w:szCs w:val="22"/>
          <w:i w:val="1"/>
          <w:iCs w:val="1"/>
          <w:color w:val="808080"/>
        </w:rPr>
        <w:t>Acknowledgement Form</w:t>
      </w:r>
      <w:r>
        <w:rPr>
          <w:rFonts w:ascii="Arial" w:cs="Arial" w:eastAsia="Arial" w:hAnsi="Arial"/>
          <w:sz w:val="22"/>
          <w:szCs w:val="22"/>
          <w:color w:val="808080"/>
        </w:rPr>
        <w:t>”) shall have the meanings ascribed to such terms in the Policy.</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808080"/>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(as defined in the Policy) to the Company Group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2"/>
          <w:szCs w:val="22"/>
          <w:color w:val="80808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10668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Arial" w:cs="Arial" w:eastAsia="Arial" w:hAnsi="Arial"/>
          <w:sz w:val="22"/>
          <w:szCs w:val="22"/>
          <w:color w:val="808080"/>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10668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2"/>
          <w:szCs w:val="22"/>
          <w:color w:val="80808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10668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808080"/>
        </w:rPr>
        <w:t>Exhibit A</w:t>
      </w:r>
    </w:p>
    <w:p>
      <w:pPr>
        <w:spacing w:after="0"/>
        <w:rPr>
          <w:sz w:val="20"/>
          <w:szCs w:val="20"/>
          <w:color w:val="auto"/>
        </w:rPr>
      </w:pPr>
      <w:r>
        <w:rPr>
          <w:rFonts w:ascii="Arial" w:cs="Arial" w:eastAsia="Arial" w:hAnsi="Arial"/>
          <w:sz w:val="22"/>
          <w:szCs w:val="22"/>
          <w:color w:val="808080"/>
        </w:rPr>
        <w:t>71897166.1</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lowerRoman"/>
      <w:start w:val="2"/>
    </w:lvl>
  </w:abstractNum>
  <w:abstractNum w:abstractNumId="15">
    <w:nsid w:val="2CA88611"/>
    <w:multiLevelType w:val="hybridMultilevel"/>
    <w:lvl w:ilvl="0">
      <w:lvlJc w:val="left"/>
      <w:lvlText w:val="\emdash "/>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3"/>
    </w:lvl>
  </w:abstractNum>
  <w:abstractNum w:abstractNumId="19">
    <w:nsid w:val="8138641"/>
    <w:multiLevelType w:val="hybridMultilevel"/>
    <w:lvl w:ilvl="0">
      <w:lvlJc w:val="left"/>
      <w:lvlText w:val="%1."/>
      <w:numFmt w:val="decimal"/>
      <w:start w:val="4"/>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8"/>
    </w:lvl>
  </w:abstractNum>
  <w:abstractNum w:abstractNumId="23">
    <w:nsid w:val="6CEAF087"/>
    <w:multiLevelType w:val="hybridMultilevel"/>
    <w:lvl w:ilvl="0">
      <w:lvlJc w:val="left"/>
      <w:lvlText w:val="%1."/>
      <w:numFmt w:val="decimal"/>
      <w:start w:val="11"/>
    </w:lvl>
  </w:abstractNum>
  <w:abstractNum w:abstractNumId="24">
    <w:nsid w:val="22221A70"/>
    <w:multiLevelType w:val="hybridMultilevel"/>
    <w:lvl w:ilvl="0">
      <w:lvlJc w:val="left"/>
      <w:lvlText w:val="1"/>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lvl w:ilvl="1">
      <w:lvlJc w:val="left"/>
      <w:lvlText w:val="%2."/>
      <w:numFmt w:val="lowerLetter"/>
      <w:start w:val="1"/>
    </w:lvl>
  </w:abstractNum>
  <w:abstractNum w:abstractNumId="28">
    <w:nsid w:val="419AC241"/>
    <w:multiLevelType w:val="hybridMultilevel"/>
    <w:lvl w:ilvl="0">
      <w:lvlJc w:val="left"/>
      <w:lvlText w:val="%1."/>
      <w:numFmt w:val="decimal"/>
      <w:start w:val="1"/>
    </w:lvl>
    <w:lvl w:ilvl="1">
      <w:lvlJc w:val="left"/>
      <w:lvlText w:val="%2."/>
      <w:numFmt w:val="lowerLetter"/>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lvl w:ilvl="1">
      <w:lvlJc w:val="left"/>
      <w:lvlText w:val="(%2)"/>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Letter"/>
      <w:start w:val="5"/>
    </w:lvl>
  </w:abstractNum>
  <w:abstractNum w:abstractNumId="34">
    <w:nsid w:val="7724C67E"/>
    <w:multiLevelType w:val="hybridMultilevel"/>
    <w:lvl w:ilvl="0">
      <w:lvlJc w:val="left"/>
      <w:lvlText w:val="%1"/>
      <w:numFmt w:val="lowerLetter"/>
      <w:start w:val="1"/>
    </w:lvl>
    <w:lvl w:ilvl="1">
      <w:lvlJc w:val="left"/>
      <w:lvlText w:val="(%2)"/>
      <w:numFmt w:val="lowerLetter"/>
      <w:start w:val="15"/>
    </w:lvl>
  </w:abstractNum>
  <w:abstractNum w:abstractNumId="35">
    <w:nsid w:val="5C482A97"/>
    <w:multiLevelType w:val="hybridMultilevel"/>
    <w:lvl w:ilvl="0">
      <w:lvlJc w:val="left"/>
      <w:lvlText w:val="(%1)"/>
      <w:numFmt w:val="lowerLetter"/>
      <w:start w:val="35"/>
    </w:lvl>
    <w:lvl w:ilvl="1">
      <w:lvlJc w:val="left"/>
      <w:lvlText w:val="(%2)"/>
      <w:numFmt w:val="lowerLetter"/>
      <w:start w:val="17"/>
    </w:lvl>
  </w:abstractNum>
  <w:abstractNum w:abstractNumId="36">
    <w:nsid w:val="2463B9EA"/>
    <w:multiLevelType w:val="hybridMultilevel"/>
    <w:lvl w:ilvl="0">
      <w:lvlJc w:val="left"/>
      <w:lvlText w:val="%1."/>
      <w:numFmt w:val="decimal"/>
      <w:start w:val="4"/>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51EAD36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9">
    <w:nsid w:val="2D51779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jpe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13" Type="http://schemas.openxmlformats.org/officeDocument/2006/relationships/hyperlink" Target="http://www.sec.gov/Archives/edgar/data/1165002/000119312513084081/d444159dex21.htm" TargetMode="External"/><Relationship Id="rId114" Type="http://schemas.openxmlformats.org/officeDocument/2006/relationships/hyperlink" Target="http://www.sec.gov/Archives/edgar/data/1165002/000119312515012458/d853486dex21.htm" TargetMode="External"/><Relationship Id="rId115" Type="http://schemas.openxmlformats.org/officeDocument/2006/relationships/hyperlink" Target="https://www.sec.gov/Archives/edgar/data/1165002/000116500222000079/0001165002-22-000079-index.htm" TargetMode="External"/><Relationship Id="rId116" Type="http://schemas.openxmlformats.org/officeDocument/2006/relationships/hyperlink" Target="https://www.sec.gov/Archives/edgar/data/1165002/000116500222000098/0001165002-22-000098-index.htm" TargetMode="External"/><Relationship Id="rId117" Type="http://schemas.openxmlformats.org/officeDocument/2006/relationships/hyperlink" Target="https://www.sec.gov/Archives/edgar/data/1165002/000116500221000089/0001165002-21-000089-index.htm" TargetMode="External"/><Relationship Id="rId118" Type="http://schemas.openxmlformats.org/officeDocument/2006/relationships/hyperlink" Target="http://www.sec.gov/Archives/edgar/data/1165002/000093066102001393/dex41.txt" TargetMode="External"/><Relationship Id="rId119" Type="http://schemas.openxmlformats.org/officeDocument/2006/relationships/hyperlink" Target="https://www.sec.gov/Archives/edgar/data/1165002/000116500222000051/0001165002-22-000051-index.htm" TargetMode="External"/><Relationship Id="rId120" Type="http://schemas.openxmlformats.org/officeDocument/2006/relationships/hyperlink" Target="http://www.sec.gov/Archives/edgar/data/1165002/000093066102001944/dex103.txt" TargetMode="External"/><Relationship Id="rId121" Type="http://schemas.openxmlformats.org/officeDocument/2006/relationships/hyperlink" Target="http://www.sec.gov/Archives/edgar/data/1165002/000093066102000359/dex1010.txt" TargetMode="External"/><Relationship Id="rId122" Type="http://schemas.openxmlformats.org/officeDocument/2006/relationships/hyperlink" Target="http://www.sec.gov/Archives/edgar/data/1165002/000119312504031244/dex106.htm" TargetMode="External"/><Relationship Id="rId123" Type="http://schemas.openxmlformats.org/officeDocument/2006/relationships/hyperlink" Target="http://www.sec.gov/Archives/edgar/data/1165002/000119312504031244/dex107.htm" TargetMode="External"/><Relationship Id="rId124" Type="http://schemas.openxmlformats.org/officeDocument/2006/relationships/hyperlink" Target="http://www.sec.gov/Archives/edgar/data/1165002/000119312511047683/dex107.htm" TargetMode="External"/><Relationship Id="rId125" Type="http://schemas.openxmlformats.org/officeDocument/2006/relationships/hyperlink" Target="http://www.sec.gov/Archives/edgar/data/1165002/000119312513084081/d444159dex108.htm" TargetMode="External"/><Relationship Id="rId126" Type="http://schemas.openxmlformats.org/officeDocument/2006/relationships/hyperlink" Target="http://www.sec.gov/Archives/edgar/data/1165002/000116500216000034/exhibit1035.htm" TargetMode="External"/><Relationship Id="rId127" Type="http://schemas.openxmlformats.org/officeDocument/2006/relationships/hyperlink" Target="http://www.sec.gov/Archives/edgar/data/1165002/000116500216000034/exhibit1036.htm" TargetMode="External"/><Relationship Id="rId128" Type="http://schemas.openxmlformats.org/officeDocument/2006/relationships/hyperlink" Target="http://www.sec.gov/Archives/edgar/data/1165002/000116500216000034/exhibit1037.htm" TargetMode="External"/><Relationship Id="rId129" Type="http://schemas.openxmlformats.org/officeDocument/2006/relationships/hyperlink" Target="http://www.sec.gov/Archives/edgar/data/1165002/000116500218000064/exhibit10crescentamendment.htm" TargetMode="External"/><Relationship Id="rId133" Type="http://schemas.openxmlformats.org/officeDocument/2006/relationships/hyperlink" Target="http://www.sec.gov/Archives/edgar/data/1165002/000093066102000359/dex1012.txt" TargetMode="External"/><Relationship Id="rId134" Type="http://schemas.openxmlformats.org/officeDocument/2006/relationships/hyperlink" Target="http://www.sec.gov/Archives/edgar/data/1165002/000119312513084081/d444159dex1011.htm" TargetMode="External"/><Relationship Id="rId135" Type="http://schemas.openxmlformats.org/officeDocument/2006/relationships/hyperlink" Target="http://www.sec.gov/Archives/edgar/data/1165002/000119312504031244/dex1011.htm" TargetMode="External"/><Relationship Id="rId136" Type="http://schemas.openxmlformats.org/officeDocument/2006/relationships/hyperlink" Target="http://www.sec.gov/Archives/edgar/data/1165002/000119312504031244/dex1012.htm" TargetMode="External"/><Relationship Id="rId137" Type="http://schemas.openxmlformats.org/officeDocument/2006/relationships/hyperlink" Target="http://www.sec.gov/Archives/edgar/data/1165002/000119312504031244/dex1013.htm" TargetMode="External"/><Relationship Id="rId138" Type="http://schemas.openxmlformats.org/officeDocument/2006/relationships/hyperlink" Target="http://www.sec.gov/Archives/edgar/data/1165002/000116500215000026/bocemploymentagreementfinal.htm" TargetMode="External"/><Relationship Id="rId139" Type="http://schemas.openxmlformats.org/officeDocument/2006/relationships/hyperlink" Target="http://www.sec.gov/Archives/edgar/data/1165002/000116500216000041/perfornanceshareagreement.htm" TargetMode="External"/><Relationship Id="rId140" Type="http://schemas.openxmlformats.org/officeDocument/2006/relationships/hyperlink" Target="http://www.sec.gov/Archives/edgar/data/1165002/000116500216000041/performanceshareagreementc.htm" TargetMode="External"/><Relationship Id="rId141" Type="http://schemas.openxmlformats.org/officeDocument/2006/relationships/hyperlink" Target="http://www.sec.gov/Archives/edgar/data/1165002/000116500217000027/exhibit101.htm" TargetMode="External"/><Relationship Id="rId142" Type="http://schemas.openxmlformats.org/officeDocument/2006/relationships/hyperlink" Target="http://www.sec.gov/Archives/edgar/data/1165002/000116500217000033/formofperfornanceshareagre.htm" TargetMode="External"/><Relationship Id="rId143" Type="http://schemas.openxmlformats.org/officeDocument/2006/relationships/hyperlink" Target="http://www.sec.gov/Archives/edgar/data/1165002/000119312513161059/d525354dex44.htm" TargetMode="External"/><Relationship Id="rId144" Type="http://schemas.openxmlformats.org/officeDocument/2006/relationships/hyperlink" Target="http://www.sec.gov/Archives/edgar/data/1165002/000116500215000006/exhibit101.htm" TargetMode="External"/><Relationship Id="rId145" Type="http://schemas.openxmlformats.org/officeDocument/2006/relationships/hyperlink" Target="http://www.sec.gov/Archives/edgar/data/1165002/000116500218000006/final8kexhibitcoo.htm" TargetMode="External"/><Relationship Id="rId146" Type="http://schemas.openxmlformats.org/officeDocument/2006/relationships/hyperlink" Target="http://www.sec.gov/Archives/edgar/data/1165002/000116500218000067/cfoconfidentialityandnon-c.htm" TargetMode="External"/><Relationship Id="rId147"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2024-03-07T16:32:30Z</dcterms:created>
  <dcterms:modified xsi:type="dcterms:W3CDTF">2024-03-07T16:32:30Z</dcterms:modified>
</cp:coreProperties>
</file>