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February 9, 2022</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1043"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1043"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1043"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8"/>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43"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43"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On February 9, 2022, Westwood Holdings Group, Inc. (“Westwood”) announced its financial results for the quarter ended December 31, 2021, a copy of which is furnished with this Current Report on Form 8-K as Exhibit 99.1.</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8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$0.15 per common share, payable on April 1, 2022 to stockholders of record on March 4, 2022.</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4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43"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FF"/>
          </w:rPr>
          <w:t>Press Release Dated February 9, 2022</w:t>
        </w:r>
      </w:hyperlink>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1470660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February 9, 2022</w:t>
      </w:r>
    </w:p>
    <w:p>
      <w:pPr>
        <w:spacing w:after="0" w:line="200" w:lineRule="exact"/>
        <w:rPr>
          <w:sz w:val="20"/>
          <w:szCs w:val="20"/>
          <w:color w:val="auto"/>
        </w:rPr>
      </w:pPr>
    </w:p>
    <w:p>
      <w:pPr>
        <w:spacing w:after="0" w:line="315"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Westwood Holdings Group Reports Fourth Quarter and Full Year 2021 Results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Competitive performance across key strategies</w:t>
      </w:r>
    </w:p>
    <w:p>
      <w:pPr>
        <w:jc w:val="center"/>
        <w:ind w:right="-19"/>
        <w:spacing w:after="0"/>
        <w:rPr>
          <w:sz w:val="20"/>
          <w:szCs w:val="20"/>
          <w:color w:val="auto"/>
        </w:rPr>
      </w:pPr>
      <w:r>
        <w:rPr>
          <w:rFonts w:ascii="Arial" w:cs="Arial" w:eastAsia="Arial" w:hAnsi="Arial"/>
          <w:sz w:val="20"/>
          <w:szCs w:val="20"/>
          <w:b w:val="1"/>
          <w:bCs w:val="1"/>
          <w:color w:val="auto"/>
        </w:rPr>
        <w:t>Double-digit revenue growth powers return to full year profitability</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Dallas, TX, February 9, 2022 – Westwood Holdings Group, Inc. (NYSE: WHG) today reported fourth quarter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Significant items include:</w:t>
      </w:r>
    </w:p>
    <w:p>
      <w:pPr>
        <w:spacing w:after="0" w:line="17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Fourth quarter revenues of $19.4 million compared with $17.9 million in the third quarter and $17.1 million a year ago.</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Net income of $2.8 million compared with $1.9 million in the third quarter and $2.8 million in the fourth quarter of 2020.</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totaled $9.8 million in 2021 versus a net loss of $8.9 million in the previous year.</w:t>
      </w:r>
    </w:p>
    <w:p>
      <w:pPr>
        <w:spacing w:after="0" w:line="165" w:lineRule="exact"/>
        <w:rPr>
          <w:rFonts w:ascii="Arial" w:cs="Arial" w:eastAsia="Arial" w:hAnsi="Arial"/>
          <w:sz w:val="22"/>
          <w:szCs w:val="22"/>
          <w:color w:val="auto"/>
        </w:rPr>
      </w:pPr>
    </w:p>
    <w:p>
      <w:pPr>
        <w:ind w:left="660" w:right="4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LargeCap Value, SmallCap Value, Alternative Income and Select Equity strategies beat their primary benchmarks for the quarter.</w:t>
      </w:r>
    </w:p>
    <w:p>
      <w:pPr>
        <w:spacing w:after="0" w:line="120" w:lineRule="exact"/>
        <w:rPr>
          <w:rFonts w:ascii="Arial" w:cs="Arial" w:eastAsia="Arial" w:hAnsi="Arial"/>
          <w:sz w:val="22"/>
          <w:szCs w:val="22"/>
          <w:color w:val="auto"/>
        </w:rPr>
      </w:pPr>
    </w:p>
    <w:p>
      <w:pPr>
        <w:ind w:left="660" w:right="14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SmallCap Value achieved a top quartile peer ranking, and LargeCap Value, Alternative Income and Select Equity ranked in the top third of their peer groups for the quarter.</w:t>
      </w:r>
    </w:p>
    <w:p>
      <w:pPr>
        <w:spacing w:after="0" w:line="120" w:lineRule="exact"/>
        <w:rPr>
          <w:rFonts w:ascii="Arial" w:cs="Arial" w:eastAsia="Arial" w:hAnsi="Arial"/>
          <w:sz w:val="22"/>
          <w:szCs w:val="22"/>
          <w:color w:val="auto"/>
        </w:rPr>
      </w:pPr>
    </w:p>
    <w:p>
      <w:pPr>
        <w:ind w:left="660" w:right="10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Westwood held $80.2 million in cash and short-term investments at December 31, 2021, up $3.6 million from September 30, 2021.</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Stockholders' equity at December 31, 2021 was $117.9 million and we continue to have no debt.</w:t>
      </w:r>
    </w:p>
    <w:p>
      <w:pPr>
        <w:spacing w:after="0" w:line="165" w:lineRule="exact"/>
        <w:rPr>
          <w:rFonts w:ascii="Arial" w:cs="Arial" w:eastAsia="Arial" w:hAnsi="Arial"/>
          <w:sz w:val="22"/>
          <w:szCs w:val="22"/>
          <w:color w:val="auto"/>
        </w:rPr>
      </w:pPr>
    </w:p>
    <w:p>
      <w:pPr>
        <w:ind w:left="660" w:right="30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Economic Earnings of $4.7 million compared with $3.7 million in the third quarter and $4.6 million in the fourth quarter of 2020.</w:t>
      </w:r>
    </w:p>
    <w:p>
      <w:pPr>
        <w:spacing w:after="0" w:line="120" w:lineRule="exact"/>
        <w:rPr>
          <w:rFonts w:ascii="Arial" w:cs="Arial" w:eastAsia="Arial" w:hAnsi="Arial"/>
          <w:sz w:val="22"/>
          <w:szCs w:val="22"/>
          <w:color w:val="auto"/>
        </w:rPr>
      </w:pPr>
    </w:p>
    <w:p>
      <w:pPr>
        <w:ind w:left="660" w:right="10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declared a cash dividend of $0.15 per common share, payable on April 1, 2022 to stockholders of record on March 4, 2022.</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Brian Casey, Westwood’s President and CEO, commented, "The fourth quarter’s accomplishments built upon our many substantial achievements reported earlier last year. Our investment teams delivered solid performance and competitive peer rankings in key products while our sales teams generated positive fund flows across many products, enabling assets under management ("AUM") to grow from $13.0 billion to $14.5 billion by year end. Revenues grew 13% from 2020’s fourth quarter, which powered a 27% increase in economic earnings and a 50% jump in diluted EPS from 2021’s third quarter. We launched three mutual funds and achieved strong client retention in Wealth Management while adding new accounts along with a new client portal to enhance the investor experience. I am very pleased to report that our businesses performed very well last year: we restored dividends and paid a special dividend, we bought back stock, and, best of all, we returned Westwood to profitability!"</w:t>
      </w:r>
    </w:p>
    <w:p>
      <w:pPr>
        <w:spacing w:after="0" w:line="48"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Revenues of $19.4 million increased $2.3 million from 2020's fourth quarter principally due to higher average AUM. Revenues rose $1.5 million versus the third quarter principally on higher average AUM and higher performance fees.</w:t>
      </w:r>
    </w:p>
    <w:p>
      <w:pPr>
        <w:sectPr>
          <w:pgSz w:w="11900" w:h="16838" w:orient="portrait"/>
          <w:cols w:equalWidth="0" w:num="1">
            <w:col w:w="11220"/>
          </w:cols>
          <w:pgMar w:left="320" w:top="1440" w:right="35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AUM of $14.5 billion at December 31, 2021 rose from $13.8 billion at September 30, 2021 principally due to market appreciation.</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Fourth quarter net income of $2.8 million exceeded the third quarter's $1.9 million due to higher revenues and unrealized appreciation on private investments, partially offset by one-time expenses related to administrative reorganization of our mutual funds. Diluted earnings per share ("EPS") of $0.36 compared to $0.24 per share for the third quarter. Non-GAAP Economic Earnings were $4.7 million, or $0.59 per share, compared to the third quarter's $3.7 million, or $0.47 per share.</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Fourth quarter net income of $2.8 million was consistent with the prior year's fourth quarter as revenues and expenses increased at the same pace. Diluted EPS of $0.36 repeated 2020's fourth quarter. Non-GAAP Economic Earnings of $4.7 million, or $0.59 per share, rose from $4.6 million, or $0.58 per share, in 2020's fourth quarter.</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2021 net income of $9.8 million compared to 2020's net loss of $8.9 million on higher revenues, higher realized gains on private investments and the impact of non-recurring items during 2020, partially offset by higher income taxes and mutual fund expenses. Diluted EPS was $1.23 per share compared with a loss of $1.12 per share for 2020. Economic EPS of $2.20 compared with $0.91 in 2020.</w:t>
      </w:r>
    </w:p>
    <w:p>
      <w:pPr>
        <w:spacing w:after="0" w:line="17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Westwood will host a conference call to discuss fourth quarter and fiscal year 2021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February 16, 2022 by dialing 855-859-2056 (U.S. and Canada) or 404-537-3406 (international) and entering the passcode 9074885.</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 HOLDINGS GROUP</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and Liquid Alternatives, available through separate accounts, the Westwood Funds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family of mutual funds and other pooled vehicles. Westwood benefits from significant, broad-based employee ownership and trades on the New York Stock Exchange under the symbol “WHG.” Based in Dallas, Westwood also maintains offices in Houston.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spacing w:after="0" w:line="3"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the composition and market value of our AUM; our ability to maintain our fee structure in light of competitive fee pressures; our stockholder rights agreement may make it more difficult for others to obtain control over us, even if it would be beneficial to our stockholders; risks associated with actions of activist stockholders; distributions to our common stockholders have included and may in the future include a</w:t>
      </w:r>
    </w:p>
    <w:p>
      <w:pPr>
        <w:sectPr>
          <w:pgSz w:w="11900" w:h="16838" w:orient="portrait"/>
          <w:cols w:equalWidth="0" w:num="1">
            <w:col w:w="11240"/>
          </w:cols>
          <w:pgMar w:left="320" w:top="1009" w:right="3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9"/>
          <w:szCs w:val="19"/>
          <w:color w:val="auto"/>
        </w:rPr>
        <w:t>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in addition to our stockholder rights agreement,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2020 and its quarterly report on Form 10-Q for the quarters ended March 31, 2021, June 30, 2021 and September 30, 2021.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8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ind w:right="4600"/>
        <w:spacing w:after="0" w:line="215" w:lineRule="auto"/>
        <w:rPr>
          <w:sz w:val="20"/>
          <w:szCs w:val="20"/>
          <w:color w:val="auto"/>
        </w:rPr>
      </w:pPr>
      <w:r>
        <w:rPr>
          <w:rFonts w:ascii="Arial" w:cs="Arial" w:eastAsia="Arial" w:hAnsi="Arial"/>
          <w:sz w:val="18"/>
          <w:szCs w:val="18"/>
          <w:b w:val="1"/>
          <w:bCs w:val="1"/>
          <w:color w:val="auto"/>
        </w:rPr>
        <w:t xml:space="preserve">CONDENSED CONSOLIDATED STATEMENTS OF COMPREHENSIVE INCOME </w:t>
      </w:r>
      <w:r>
        <w:rPr>
          <w:rFonts w:ascii="Arial" w:cs="Arial" w:eastAsia="Arial" w:hAnsi="Arial"/>
          <w:sz w:val="14"/>
          <w:szCs w:val="14"/>
          <w:b w:val="1"/>
          <w:bCs w:val="1"/>
          <w:color w:val="auto"/>
        </w:rPr>
        <w:t>(in thousands, except per share and share amounts)</w:t>
      </w:r>
    </w:p>
    <w:p>
      <w:pP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2021</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7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6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8,751</w:t>
            </w:r>
          </w:p>
        </w:tc>
        <w:tc>
          <w:tcPr>
            <w:tcW w:w="0" w:type="dxa"/>
            <w:vAlign w:val="bottom"/>
          </w:tcPr>
          <w:p>
            <w:pPr>
              <w:spacing w:after="0"/>
              <w:rPr>
                <w:sz w:val="1"/>
                <w:szCs w:val="1"/>
                <w:color w:val="auto"/>
              </w:rPr>
            </w:pPr>
          </w:p>
        </w:tc>
      </w:tr>
      <w:tr>
        <w:trPr>
          <w:trHeight w:val="186"/>
        </w:trPr>
        <w:tc>
          <w:tcPr>
            <w:tcW w:w="586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6,168</w:t>
            </w:r>
          </w:p>
        </w:tc>
        <w:tc>
          <w:tcPr>
            <w:tcW w:w="0" w:type="dxa"/>
            <w:vAlign w:val="bottom"/>
          </w:tcPr>
          <w:p>
            <w:pPr>
              <w:spacing w:after="0"/>
              <w:rPr>
                <w:sz w:val="1"/>
                <w:szCs w:val="1"/>
                <w:color w:val="auto"/>
              </w:rPr>
            </w:pPr>
          </w:p>
        </w:tc>
      </w:tr>
      <w:tr>
        <w:trPr>
          <w:trHeight w:val="186"/>
        </w:trPr>
        <w:tc>
          <w:tcPr>
            <w:tcW w:w="5860" w:type="dxa"/>
            <w:vAlign w:val="bottom"/>
          </w:tcPr>
          <w:p>
            <w:pPr>
              <w:ind w:left="360"/>
              <w:spacing w:after="0"/>
              <w:rPr>
                <w:sz w:val="20"/>
                <w:szCs w:val="20"/>
                <w:color w:val="auto"/>
              </w:rPr>
            </w:pPr>
            <w:r>
              <w:rPr>
                <w:rFonts w:ascii="Arial" w:cs="Arial" w:eastAsia="Arial" w:hAnsi="Arial"/>
                <w:sz w:val="14"/>
                <w:szCs w:val="14"/>
                <w:color w:val="auto"/>
              </w:rPr>
              <w:t>Trust performance-based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79"/>
        </w:trPr>
        <w:tc>
          <w:tcPr>
            <w:tcW w:w="586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19,391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17,860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17,113</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0" w:type="dxa"/>
            <w:vAlign w:val="bottom"/>
          </w:tcPr>
          <w:p>
            <w:pPr>
              <w:spacing w:after="0"/>
              <w:rPr>
                <w:sz w:val="1"/>
                <w:szCs w:val="1"/>
                <w:color w:val="auto"/>
              </w:rPr>
            </w:pPr>
          </w:p>
        </w:tc>
      </w:tr>
      <w:tr>
        <w:trPr>
          <w:trHeight w:val="186"/>
        </w:trPr>
        <w:tc>
          <w:tcPr>
            <w:tcW w:w="58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Westwood mutual funds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86"/>
        </w:trPr>
        <w:tc>
          <w:tcPr>
            <w:tcW w:w="5860" w:type="dxa"/>
            <w:vAlign w:val="bottom"/>
          </w:tcPr>
          <w:p>
            <w:pPr>
              <w:ind w:left="360"/>
              <w:spacing w:after="0"/>
              <w:rPr>
                <w:sz w:val="20"/>
                <w:szCs w:val="20"/>
                <w:color w:val="auto"/>
              </w:rPr>
            </w:pPr>
            <w:r>
              <w:rPr>
                <w:rFonts w:ascii="Arial" w:cs="Arial" w:eastAsia="Arial" w:hAnsi="Arial"/>
                <w:sz w:val="14"/>
                <w:szCs w:val="14"/>
                <w:color w:val="auto"/>
              </w:rPr>
              <w:t>Information technology</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Professional services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86"/>
        </w:trPr>
        <w:tc>
          <w:tcPr>
            <w:tcW w:w="586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1,779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foreign currency transactions</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9"/>
        </w:trPr>
        <w:tc>
          <w:tcPr>
            <w:tcW w:w="58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17,023</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15,816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14,799</w:t>
            </w:r>
          </w:p>
        </w:tc>
        <w:tc>
          <w:tcPr>
            <w:tcW w:w="0" w:type="dxa"/>
            <w:vAlign w:val="bottom"/>
          </w:tcPr>
          <w:p>
            <w:pPr>
              <w:spacing w:after="0"/>
              <w:rPr>
                <w:sz w:val="1"/>
                <w:szCs w:val="1"/>
                <w:color w:val="auto"/>
              </w:rPr>
            </w:pPr>
          </w:p>
        </w:tc>
      </w:tr>
      <w:tr>
        <w:trPr>
          <w:trHeight w:val="186"/>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0" w:type="dxa"/>
            <w:vAlign w:val="bottom"/>
          </w:tcPr>
          <w:p>
            <w:pPr>
              <w:spacing w:after="0"/>
              <w:rPr>
                <w:sz w:val="1"/>
                <w:szCs w:val="1"/>
                <w:color w:val="auto"/>
              </w:rPr>
            </w:pPr>
          </w:p>
        </w:tc>
      </w:tr>
      <w:tr>
        <w:trPr>
          <w:trHeight w:val="179"/>
        </w:trPr>
        <w:tc>
          <w:tcPr>
            <w:tcW w:w="5860" w:type="dxa"/>
            <w:vAlign w:val="bottom"/>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5860" w:type="dxa"/>
            <w:vAlign w:val="bottom"/>
          </w:tcPr>
          <w:p>
            <w:pPr>
              <w:ind w:left="3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8"/>
        </w:trPr>
        <w:tc>
          <w:tcPr>
            <w:tcW w:w="586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Foreign currency translation adjustments to net income upon liquidation of a foreign</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subsidiary</w:t>
            </w: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2,360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79"/>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2,815</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Other comprehensive income (loss), net of tax:</w:t>
            </w: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860" w:type="dxa"/>
            <w:vAlign w:val="bottom"/>
          </w:tcPr>
          <w:p>
            <w:pPr>
              <w:ind w:left="340"/>
              <w:spacing w:after="0"/>
              <w:rPr>
                <w:sz w:val="20"/>
                <w:szCs w:val="20"/>
                <w:color w:val="auto"/>
              </w:rPr>
            </w:pPr>
            <w:r>
              <w:rPr>
                <w:rFonts w:ascii="Arial" w:cs="Arial" w:eastAsia="Arial" w:hAnsi="Arial"/>
                <w:sz w:val="14"/>
                <w:szCs w:val="14"/>
                <w:color w:val="auto"/>
              </w:rPr>
              <w:t>Foreign currency translation adjustments</w:t>
            </w:r>
          </w:p>
        </w:tc>
        <w:tc>
          <w:tcPr>
            <w:tcW w:w="16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8"/>
        </w:trPr>
        <w:tc>
          <w:tcPr>
            <w:tcW w:w="586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w w:val="98"/>
              </w:rPr>
              <w:t>Reclassification of cumulative foreign currency translation adjustments to net income upon</w:t>
            </w:r>
          </w:p>
        </w:tc>
        <w:tc>
          <w:tcPr>
            <w:tcW w:w="16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liquidation of a foreign subsidiary</w:t>
            </w:r>
          </w:p>
        </w:tc>
        <w:tc>
          <w:tcPr>
            <w:tcW w:w="160" w:type="dxa"/>
            <w:vAlign w:val="bottom"/>
            <w:shd w:val="clear" w:color="auto" w:fill="CCEEFF"/>
          </w:tcPr>
          <w:p>
            <w:pPr>
              <w:spacing w:after="0"/>
              <w:rPr>
                <w:sz w:val="16"/>
                <w:szCs w:val="16"/>
                <w:color w:val="auto"/>
              </w:rPr>
            </w:pPr>
          </w:p>
        </w:tc>
        <w:tc>
          <w:tcPr>
            <w:tcW w:w="16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income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2,815</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86"/>
        </w:trPr>
        <w:tc>
          <w:tcPr>
            <w:tcW w:w="5860" w:type="dxa"/>
            <w:vAlign w:val="bottom"/>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7,842,867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7,887,259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7,830,115</w:t>
            </w:r>
          </w:p>
        </w:tc>
        <w:tc>
          <w:tcPr>
            <w:tcW w:w="0" w:type="dxa"/>
            <w:vAlign w:val="bottom"/>
          </w:tcPr>
          <w:p>
            <w:pPr>
              <w:spacing w:after="0"/>
              <w:rPr>
                <w:sz w:val="1"/>
                <w:szCs w:val="1"/>
                <w:color w:val="auto"/>
              </w:rPr>
            </w:pPr>
          </w:p>
        </w:tc>
      </w:tr>
      <w:tr>
        <w:trPr>
          <w:trHeight w:val="186"/>
        </w:trPr>
        <w:tc>
          <w:tcPr>
            <w:tcW w:w="5860" w:type="dxa"/>
            <w:vAlign w:val="bottom"/>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7,910,673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7,956,081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7,838,504</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60" w:type="dxa"/>
            <w:vAlign w:val="bottom"/>
          </w:tcPr>
          <w:p>
            <w:pPr>
              <w:ind w:left="20"/>
              <w:spacing w:after="0"/>
              <w:rPr>
                <w:sz w:val="20"/>
                <w:szCs w:val="20"/>
                <w:color w:val="auto"/>
              </w:rPr>
            </w:pPr>
            <w:r>
              <w:rPr>
                <w:rFonts w:ascii="Arial" w:cs="Arial" w:eastAsia="Arial" w:hAnsi="Arial"/>
                <w:sz w:val="14"/>
                <w:szCs w:val="14"/>
                <w:color w:val="auto"/>
              </w:rPr>
              <w:t>Economic Earnings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4,654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3,706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4,571</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Economic EPS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Dividends declared per share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and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1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660" w:type="dxa"/>
            <w:vAlign w:val="bottom"/>
            <w:tcBorders>
              <w:bottom w:val="single" w:sz="8" w:color="auto"/>
            </w:tcBorders>
            <w:gridSpan w:val="4"/>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8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70"/>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Advisory fees: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Asset-based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38,028</w:t>
            </w: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Performance-based</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2,808</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Trust fees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23,563</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Trust performance-based</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179"/>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revenues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73,054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65,111</w:t>
            </w:r>
          </w:p>
        </w:tc>
      </w:tr>
      <w:tr>
        <w:trPr>
          <w:trHeight w:val="172"/>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8"/>
        </w:trPr>
        <w:tc>
          <w:tcPr>
            <w:tcW w:w="81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Employee compensation and benefits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42,141</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1,194</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Westwood mutual funds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Information technology</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8,161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8,111</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Professional services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8,074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8,941</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expense</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3,403</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Gain on foreign currency transactions</w:t>
            </w:r>
          </w:p>
        </w:tc>
        <w:tc>
          <w:tcPr>
            <w:tcW w:w="3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(1,184)</w:t>
            </w:r>
          </w:p>
        </w:tc>
      </w:tr>
      <w:tr>
        <w:trPr>
          <w:trHeight w:val="186"/>
        </w:trPr>
        <w:tc>
          <w:tcPr>
            <w:tcW w:w="81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expenses</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67,095</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68,558</w:t>
            </w:r>
          </w:p>
        </w:tc>
      </w:tr>
      <w:tr>
        <w:trPr>
          <w:trHeight w:val="179"/>
        </w:trPr>
        <w:tc>
          <w:tcPr>
            <w:tcW w:w="8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operating income (loss)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5,959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(3,447)</w:t>
            </w:r>
          </w:p>
        </w:tc>
      </w:tr>
      <w:tr>
        <w:trPr>
          <w:trHeight w:val="186"/>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Realized gains on private investments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Net change in unrealized depreciation on private investments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(711)</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 income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Other income</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adjustments to net income (loss) upon liquidation of a foreign subsidiary</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(4,169)</w:t>
            </w:r>
          </w:p>
        </w:tc>
      </w:tr>
      <w:tr>
        <w:trPr>
          <w:trHeight w:val="179"/>
        </w:trPr>
        <w:tc>
          <w:tcPr>
            <w:tcW w:w="8180" w:type="dxa"/>
            <w:vAlign w:val="bottom"/>
          </w:tcPr>
          <w:p>
            <w:pPr>
              <w:spacing w:after="0"/>
              <w:rPr>
                <w:sz w:val="20"/>
                <w:szCs w:val="20"/>
                <w:color w:val="auto"/>
              </w:rPr>
            </w:pPr>
            <w:r>
              <w:rPr>
                <w:rFonts w:ascii="Arial" w:cs="Arial" w:eastAsia="Arial" w:hAnsi="Arial"/>
                <w:sz w:val="14"/>
                <w:szCs w:val="14"/>
                <w:b w:val="1"/>
                <w:bCs w:val="1"/>
                <w:color w:val="auto"/>
              </w:rPr>
              <w:t>Income (loss) before income taxes</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14,003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(7,588)</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r>
      <w:tr>
        <w:trPr>
          <w:trHeight w:val="179"/>
        </w:trPr>
        <w:tc>
          <w:tcPr>
            <w:tcW w:w="81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9,763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9"/>
        </w:trPr>
        <w:tc>
          <w:tcPr>
            <w:tcW w:w="8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Other comprehensive income (loss), net of tax:</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Foreign currency translation adjustments</w:t>
            </w:r>
          </w:p>
        </w:tc>
        <w:tc>
          <w:tcPr>
            <w:tcW w:w="3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(1,226)</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7"/>
              </w:rPr>
              <w:t>Reclassification of cumulative foreign currency translation adjustments to net income (loss) upon liquidation of a foreign subsidiary</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4,169</w:t>
            </w:r>
          </w:p>
        </w:tc>
      </w:tr>
      <w:tr>
        <w:trPr>
          <w:trHeight w:val="179"/>
        </w:trPr>
        <w:tc>
          <w:tcPr>
            <w:tcW w:w="8180" w:type="dxa"/>
            <w:vAlign w:val="bottom"/>
          </w:tcPr>
          <w:p>
            <w:pPr>
              <w:spacing w:after="0"/>
              <w:rPr>
                <w:sz w:val="20"/>
                <w:szCs w:val="20"/>
                <w:color w:val="auto"/>
              </w:rPr>
            </w:pPr>
            <w:r>
              <w:rPr>
                <w:rFonts w:ascii="Arial" w:cs="Arial" w:eastAsia="Arial" w:hAnsi="Arial"/>
                <w:sz w:val="14"/>
                <w:szCs w:val="14"/>
                <w:b w:val="1"/>
                <w:bCs w:val="1"/>
                <w:color w:val="auto"/>
              </w:rPr>
              <w:t>Total comprehensive income (loss)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9,763</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9"/>
        </w:trPr>
        <w:tc>
          <w:tcPr>
            <w:tcW w:w="8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8"/>
        </w:trPr>
        <w:tc>
          <w:tcPr>
            <w:tcW w:w="8180" w:type="dxa"/>
            <w:vAlign w:val="bottom"/>
          </w:tcPr>
          <w:p>
            <w:pPr>
              <w:spacing w:after="0"/>
              <w:rPr>
                <w:sz w:val="20"/>
                <w:szCs w:val="20"/>
                <w:color w:val="auto"/>
              </w:rPr>
            </w:pPr>
            <w:r>
              <w:rPr>
                <w:rFonts w:ascii="Arial" w:cs="Arial" w:eastAsia="Arial" w:hAnsi="Arial"/>
                <w:sz w:val="14"/>
                <w:szCs w:val="14"/>
                <w:b w:val="1"/>
                <w:bCs w:val="1"/>
                <w:color w:val="auto"/>
              </w:rPr>
              <w:t>Earnings (loss) per share:</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19"/>
        </w:trPr>
        <w:tc>
          <w:tcPr>
            <w:tcW w:w="8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8180" w:type="dxa"/>
            <w:vAlign w:val="bottom"/>
          </w:tcPr>
          <w:p>
            <w:pPr>
              <w:spacing w:after="0"/>
              <w:rPr>
                <w:sz w:val="20"/>
                <w:szCs w:val="20"/>
                <w:color w:val="auto"/>
              </w:rPr>
            </w:pPr>
            <w:r>
              <w:rPr>
                <w:rFonts w:ascii="Arial" w:cs="Arial" w:eastAsia="Arial" w:hAnsi="Arial"/>
                <w:sz w:val="14"/>
                <w:szCs w:val="14"/>
                <w:b w:val="1"/>
                <w:bCs w:val="1"/>
                <w:color w:val="auto"/>
              </w:rPr>
              <w:t>Weighted average shares outstanding:</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7,875,395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7,987,554</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7,927,972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7,987,554</w:t>
            </w:r>
          </w:p>
        </w:tc>
      </w:tr>
      <w:tr>
        <w:trPr>
          <w:trHeight w:val="219"/>
        </w:trPr>
        <w:tc>
          <w:tcPr>
            <w:tcW w:w="8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6"/>
        </w:trPr>
        <w:tc>
          <w:tcPr>
            <w:tcW w:w="8180" w:type="dxa"/>
            <w:vAlign w:val="bottom"/>
          </w:tcPr>
          <w:p>
            <w:pPr>
              <w:spacing w:after="0"/>
              <w:rPr>
                <w:sz w:val="20"/>
                <w:szCs w:val="20"/>
                <w:color w:val="auto"/>
              </w:rPr>
            </w:pPr>
            <w:r>
              <w:rPr>
                <w:rFonts w:ascii="Arial" w:cs="Arial" w:eastAsia="Arial" w:hAnsi="Arial"/>
                <w:sz w:val="14"/>
                <w:szCs w:val="14"/>
                <w:color w:val="auto"/>
              </w:rPr>
              <w:t>Economic Earnings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17,458</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7,284</w:t>
            </w:r>
          </w:p>
        </w:tc>
      </w:tr>
      <w:tr>
        <w:trPr>
          <w:trHeight w:val="192"/>
        </w:trPr>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Economic EPS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0.91</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Dividends declared per share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r>
    </w:tbl>
    <w:p>
      <w:pPr>
        <w:sectPr>
          <w:pgSz w:w="11900" w:h="16838" w:orient="portrait"/>
          <w:cols w:equalWidth="0" w:num="1">
            <w:col w:w="11220"/>
          </w:cols>
          <w:pgMar w:left="320" w:top="891" w:right="359" w:bottom="1440" w:gutter="0" w:footer="0" w:header="0"/>
        </w:sectPr>
      </w:pPr>
    </w:p>
    <w:bookmarkStart w:id="8" w:name="page9"/>
    <w:bookmarkEnd w:id="8"/>
    <w:p>
      <w:pPr>
        <w:ind w:right="516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340" w:type="dxa"/>
            <w:vAlign w:val="bottom"/>
          </w:tcPr>
          <w:p>
            <w:pPr>
              <w:jc w:val="right"/>
              <w:ind w:right="84"/>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9"/>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13,016</w:t>
            </w:r>
          </w:p>
        </w:tc>
        <w:tc>
          <w:tcPr>
            <w:tcW w:w="0" w:type="dxa"/>
            <w:vAlign w:val="bottom"/>
          </w:tcPr>
          <w:p>
            <w:pPr>
              <w:spacing w:after="0"/>
              <w:rPr>
                <w:sz w:val="1"/>
                <w:szCs w:val="1"/>
                <w:color w:val="auto"/>
              </w:rPr>
            </w:pP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11,152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9,450</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Investments, at fair value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69,542</w:t>
            </w:r>
          </w:p>
        </w:tc>
        <w:tc>
          <w:tcPr>
            <w:tcW w:w="0" w:type="dxa"/>
            <w:vAlign w:val="bottom"/>
          </w:tcPr>
          <w:p>
            <w:pPr>
              <w:spacing w:after="0"/>
              <w:rPr>
                <w:sz w:val="1"/>
                <w:szCs w:val="1"/>
                <w:color w:val="auto"/>
              </w:rPr>
            </w:pP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Income taxes receivable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1,700</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2,606</w:t>
            </w:r>
          </w:p>
        </w:tc>
        <w:tc>
          <w:tcPr>
            <w:tcW w:w="0" w:type="dxa"/>
            <w:vAlign w:val="bottom"/>
          </w:tcPr>
          <w:p>
            <w:pPr>
              <w:spacing w:after="0"/>
              <w:rPr>
                <w:sz w:val="1"/>
                <w:szCs w:val="1"/>
                <w:color w:val="auto"/>
              </w:rPr>
            </w:pPr>
          </w:p>
        </w:tc>
      </w:tr>
      <w:tr>
        <w:trPr>
          <w:trHeight w:val="192"/>
        </w:trPr>
        <w:tc>
          <w:tcPr>
            <w:tcW w:w="814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93,861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96,314</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8,154</w:t>
            </w:r>
          </w:p>
        </w:tc>
        <w:tc>
          <w:tcPr>
            <w:tcW w:w="0" w:type="dxa"/>
            <w:vAlign w:val="bottom"/>
          </w:tcPr>
          <w:p>
            <w:pPr>
              <w:spacing w:after="0"/>
              <w:rPr>
                <w:sz w:val="1"/>
                <w:szCs w:val="1"/>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Noncurrent investments at fair value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4,513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3,527</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16,401</w:t>
            </w:r>
          </w:p>
        </w:tc>
        <w:tc>
          <w:tcPr>
            <w:tcW w:w="0" w:type="dxa"/>
            <w:vAlign w:val="bottom"/>
          </w:tcPr>
          <w:p>
            <w:pPr>
              <w:spacing w:after="0"/>
              <w:rPr>
                <w:sz w:val="1"/>
                <w:szCs w:val="1"/>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1,468</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6,103</w:t>
            </w:r>
          </w:p>
        </w:tc>
        <w:tc>
          <w:tcPr>
            <w:tcW w:w="0" w:type="dxa"/>
            <w:vAlign w:val="bottom"/>
          </w:tcPr>
          <w:p>
            <w:pPr>
              <w:spacing w:after="0"/>
              <w:rPr>
                <w:sz w:val="1"/>
                <w:szCs w:val="1"/>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11,911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13,535</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Property and equipment, net of accumulated depreciation of $8,637 and $8,056</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3,186</w:t>
            </w:r>
          </w:p>
        </w:tc>
        <w:tc>
          <w:tcPr>
            <w:tcW w:w="0" w:type="dxa"/>
            <w:vAlign w:val="bottom"/>
          </w:tcPr>
          <w:p>
            <w:pPr>
              <w:spacing w:after="0"/>
              <w:rPr>
                <w:sz w:val="1"/>
                <w:szCs w:val="1"/>
                <w:color w:val="auto"/>
              </w:rPr>
            </w:pPr>
          </w:p>
        </w:tc>
      </w:tr>
      <w:tr>
        <w:trPr>
          <w:trHeight w:val="19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assets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long-term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45,744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52,838</w:t>
            </w:r>
          </w:p>
        </w:tc>
        <w:tc>
          <w:tcPr>
            <w:tcW w:w="0" w:type="dxa"/>
            <w:vAlign w:val="bottom"/>
          </w:tcPr>
          <w:p>
            <w:pPr>
              <w:spacing w:after="0"/>
              <w:rPr>
                <w:sz w:val="1"/>
                <w:szCs w:val="1"/>
                <w:color w:val="auto"/>
              </w:rPr>
            </w:pPr>
          </w:p>
        </w:tc>
      </w:tr>
      <w:tr>
        <w:trPr>
          <w:trHeight w:val="200"/>
        </w:trPr>
        <w:tc>
          <w:tcPr>
            <w:tcW w:w="8140" w:type="dxa"/>
            <w:vAlign w:val="bottom"/>
          </w:tcPr>
          <w:p>
            <w:pPr>
              <w:ind w:left="680"/>
              <w:spacing w:after="0"/>
              <w:rPr>
                <w:sz w:val="20"/>
                <w:szCs w:val="20"/>
                <w:color w:val="auto"/>
              </w:rPr>
            </w:pPr>
            <w:r>
              <w:rPr>
                <w:rFonts w:ascii="Arial" w:cs="Arial" w:eastAsia="Arial" w:hAnsi="Arial"/>
                <w:sz w:val="15"/>
                <w:szCs w:val="15"/>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139,605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149,152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14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w:t>
            </w:r>
          </w:p>
        </w:tc>
        <w:tc>
          <w:tcPr>
            <w:tcW w:w="0" w:type="dxa"/>
            <w:vAlign w:val="bottom"/>
          </w:tcPr>
          <w:p>
            <w:pPr>
              <w:spacing w:after="0"/>
              <w:rPr>
                <w:sz w:val="1"/>
                <w:szCs w:val="1"/>
                <w:color w:val="auto"/>
              </w:rPr>
            </w:pP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Dividends payable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810</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Compensation and benefits payable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7,448</w:t>
            </w:r>
          </w:p>
        </w:tc>
        <w:tc>
          <w:tcPr>
            <w:tcW w:w="0" w:type="dxa"/>
            <w:vAlign w:val="bottom"/>
          </w:tcPr>
          <w:p>
            <w:pPr>
              <w:spacing w:after="0"/>
              <w:rPr>
                <w:sz w:val="1"/>
                <w:szCs w:val="1"/>
                <w:color w:val="auto"/>
              </w:rPr>
            </w:pP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taxes payable</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92"/>
        </w:trPr>
        <w:tc>
          <w:tcPr>
            <w:tcW w:w="814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15,842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11,794</w:t>
            </w:r>
          </w:p>
        </w:tc>
        <w:tc>
          <w:tcPr>
            <w:tcW w:w="0" w:type="dxa"/>
            <w:vAlign w:val="bottom"/>
          </w:tcPr>
          <w:p>
            <w:pPr>
              <w:spacing w:after="0"/>
              <w:rPr>
                <w:sz w:val="1"/>
                <w:szCs w:val="1"/>
                <w:color w:val="auto"/>
              </w:rPr>
            </w:pPr>
          </w:p>
        </w:tc>
      </w:tr>
      <w:tr>
        <w:trPr>
          <w:trHeight w:val="206"/>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dividends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0" w:type="dxa"/>
            <w:vAlign w:val="bottom"/>
          </w:tcPr>
          <w:p>
            <w:pPr>
              <w:spacing w:after="0"/>
              <w:rPr>
                <w:sz w:val="1"/>
                <w:szCs w:val="1"/>
                <w:color w:val="auto"/>
              </w:rPr>
            </w:pPr>
          </w:p>
        </w:tc>
      </w:tr>
      <w:tr>
        <w:trPr>
          <w:trHeight w:val="19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Noncurrent operating lease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6,121</w:t>
            </w:r>
          </w:p>
        </w:tc>
        <w:tc>
          <w:tcPr>
            <w:tcW w:w="0" w:type="dxa"/>
            <w:vAlign w:val="bottom"/>
          </w:tcPr>
          <w:p>
            <w:pPr>
              <w:spacing w:after="0"/>
              <w:rPr>
                <w:sz w:val="1"/>
                <w:szCs w:val="1"/>
                <w:color w:val="auto"/>
              </w:rPr>
            </w:pPr>
          </w:p>
        </w:tc>
      </w:tr>
      <w:tr>
        <w:trPr>
          <w:trHeight w:val="200"/>
        </w:trPr>
        <w:tc>
          <w:tcPr>
            <w:tcW w:w="81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long-term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6,647</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5"/>
                <w:szCs w:val="15"/>
                <w:b w:val="1"/>
                <w:bCs w:val="1"/>
                <w:color w:val="auto"/>
              </w:rPr>
              <w:t>Total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21,699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18,441</w:t>
            </w:r>
          </w:p>
        </w:tc>
        <w:tc>
          <w:tcPr>
            <w:tcW w:w="0" w:type="dxa"/>
            <w:vAlign w:val="bottom"/>
          </w:tcPr>
          <w:p>
            <w:pPr>
              <w:spacing w:after="0"/>
              <w:rPr>
                <w:sz w:val="1"/>
                <w:szCs w:val="1"/>
                <w:color w:val="auto"/>
              </w:rPr>
            </w:pPr>
          </w:p>
        </w:tc>
      </w:tr>
      <w:tr>
        <w:trPr>
          <w:trHeight w:val="18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140" w:type="dxa"/>
            <w:vAlign w:val="bottom"/>
          </w:tcPr>
          <w:p>
            <w:pPr>
              <w:ind w:left="360"/>
              <w:spacing w:after="0" w:line="149" w:lineRule="exact"/>
              <w:rPr>
                <w:sz w:val="20"/>
                <w:szCs w:val="20"/>
                <w:color w:val="auto"/>
              </w:rPr>
            </w:pPr>
            <w:r>
              <w:rPr>
                <w:rFonts w:ascii="Arial" w:cs="Arial" w:eastAsia="Arial" w:hAnsi="Arial"/>
                <w:sz w:val="15"/>
                <w:szCs w:val="15"/>
                <w:color w:val="auto"/>
                <w:w w:val="97"/>
              </w:rPr>
              <w:t>Common stock, $0.01 par value, authorized 25,000,000 shares, issued 10,658,644 and outstanding 8,253,491 shares at</w:t>
            </w: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December 31, 2021; issued 10,500,549 and outstanding 8,326,948 shares at December 31, 2020</w:t>
            </w: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195,187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210,268</w:t>
            </w:r>
          </w:p>
        </w:tc>
        <w:tc>
          <w:tcPr>
            <w:tcW w:w="0" w:type="dxa"/>
            <w:vAlign w:val="bottom"/>
          </w:tcPr>
          <w:p>
            <w:pPr>
              <w:spacing w:after="0"/>
              <w:rPr>
                <w:sz w:val="1"/>
                <w:szCs w:val="1"/>
                <w:color w:val="auto"/>
              </w:rPr>
            </w:pPr>
          </w:p>
        </w:tc>
      </w:tr>
      <w:tr>
        <w:trPr>
          <w:trHeight w:val="198"/>
        </w:trPr>
        <w:tc>
          <w:tcPr>
            <w:tcW w:w="8140" w:type="dxa"/>
            <w:vAlign w:val="bottom"/>
          </w:tcPr>
          <w:p>
            <w:pPr>
              <w:ind w:left="360"/>
              <w:spacing w:after="0"/>
              <w:rPr>
                <w:sz w:val="20"/>
                <w:szCs w:val="20"/>
                <w:color w:val="auto"/>
              </w:rPr>
            </w:pPr>
            <w:r>
              <w:rPr>
                <w:rFonts w:ascii="Arial" w:cs="Arial" w:eastAsia="Arial" w:hAnsi="Arial"/>
                <w:sz w:val="15"/>
                <w:szCs w:val="15"/>
                <w:color w:val="auto"/>
              </w:rPr>
              <w:t>Treasury stock, at cost – 2,405,154 shares at December 31, 2021; 2,173,559 shares at December 31, 2020</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(81,750)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(77,967)</w:t>
            </w:r>
          </w:p>
        </w:tc>
        <w:tc>
          <w:tcPr>
            <w:tcW w:w="0" w:type="dxa"/>
            <w:vAlign w:val="bottom"/>
          </w:tcPr>
          <w:p>
            <w:pPr>
              <w:spacing w:after="0"/>
              <w:rPr>
                <w:sz w:val="1"/>
                <w:szCs w:val="1"/>
                <w:color w:val="auto"/>
              </w:rPr>
            </w:pP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Retained earnings (accumulated deficit)</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(1,695)</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5"/>
                <w:szCs w:val="15"/>
                <w:b w:val="1"/>
                <w:bCs w:val="1"/>
                <w:color w:val="auto"/>
              </w:rPr>
              <w:t>Total stockholders’ equity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117,906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130,711</w:t>
            </w:r>
          </w:p>
        </w:tc>
        <w:tc>
          <w:tcPr>
            <w:tcW w:w="0" w:type="dxa"/>
            <w:vAlign w:val="bottom"/>
          </w:tcPr>
          <w:p>
            <w:pPr>
              <w:spacing w:after="0"/>
              <w:rPr>
                <w:sz w:val="1"/>
                <w:szCs w:val="1"/>
                <w:color w:val="auto"/>
              </w:rPr>
            </w:pPr>
          </w:p>
        </w:tc>
      </w:tr>
      <w:tr>
        <w:trPr>
          <w:trHeight w:val="225"/>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139,605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149,152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20" w:top="1138" w:right="3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87"/>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170"/>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9,763</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(8,947)</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Depreciation</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921</w:t>
            </w: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Amortization of intangible assets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1,056</w:t>
            </w: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Realized gains on private investments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5,835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6,701</w:t>
            </w: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income taxes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Loss on asset disposition</w:t>
            </w:r>
          </w:p>
        </w:tc>
        <w:tc>
          <w:tcPr>
            <w:tcW w:w="9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Gain on asset disposition</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Non-cash lease expense</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Impairment of goodwill</w:t>
            </w:r>
          </w:p>
        </w:tc>
        <w:tc>
          <w:tcPr>
            <w:tcW w:w="9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3,403</w:t>
            </w: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Currency translation adjustment reclassification</w:t>
            </w:r>
          </w:p>
        </w:tc>
        <w:tc>
          <w:tcPr>
            <w:tcW w:w="9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4,169</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Net (purchases) sales of investments – trading securities</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4,513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(19,562)</w:t>
            </w: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w:t>
            </w: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Other current assets</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 and accrued liabilities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186"/>
        </w:trPr>
        <w:tc>
          <w:tcPr>
            <w:tcW w:w="8180" w:type="dxa"/>
            <w:vAlign w:val="bottom"/>
          </w:tcPr>
          <w:p>
            <w:pPr>
              <w:ind w:left="660"/>
              <w:spacing w:after="0"/>
              <w:rPr>
                <w:sz w:val="20"/>
                <w:szCs w:val="20"/>
                <w:color w:val="auto"/>
              </w:rPr>
            </w:pPr>
            <w:r>
              <w:rPr>
                <w:rFonts w:ascii="Arial" w:cs="Arial" w:eastAsia="Arial" w:hAnsi="Arial"/>
                <w:sz w:val="14"/>
                <w:szCs w:val="14"/>
                <w:color w:val="auto"/>
              </w:rPr>
              <w:t>Compensation and benefits payable</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(2,270)</w:t>
            </w:r>
          </w:p>
        </w:tc>
      </w:tr>
      <w:tr>
        <w:trPr>
          <w:trHeight w:val="192"/>
        </w:trPr>
        <w:tc>
          <w:tcPr>
            <w:tcW w:w="81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Income taxes payable</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r>
      <w:tr>
        <w:trPr>
          <w:trHeight w:val="186"/>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Other liabilities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w:t>
            </w:r>
          </w:p>
        </w:tc>
      </w:tr>
      <w:tr>
        <w:trPr>
          <w:trHeight w:val="186"/>
        </w:trPr>
        <w:tc>
          <w:tcPr>
            <w:tcW w:w="81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Net cash provided by (used in) operating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19,385</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(9,770)</w:t>
            </w:r>
          </w:p>
        </w:tc>
      </w:tr>
      <w:tr>
        <w:trPr>
          <w:trHeight w:val="168"/>
        </w:trPr>
        <w:tc>
          <w:tcPr>
            <w:tcW w:w="81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 of investments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9,258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Purchases of investments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86"/>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on sale of property and equipment</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186"/>
        </w:trPr>
        <w:tc>
          <w:tcPr>
            <w:tcW w:w="81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Net cash provided by (used in) investing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9,566</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68"/>
        </w:trPr>
        <w:tc>
          <w:tcPr>
            <w:tcW w:w="81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 of treasury stock</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(12,952)</w:t>
            </w: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Purchases of treasury stock for employee stock plans</w:t>
            </w:r>
          </w:p>
        </w:tc>
        <w:tc>
          <w:tcPr>
            <w:tcW w:w="9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(697)</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Restricted stock returned for payment of taxes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186"/>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Cash dividends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(22,932)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(11,043)</w:t>
            </w:r>
          </w:p>
        </w:tc>
      </w:tr>
      <w:tr>
        <w:trPr>
          <w:trHeight w:val="186"/>
        </w:trPr>
        <w:tc>
          <w:tcPr>
            <w:tcW w:w="81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Net cash used in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(26,806)</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(25,812)</w:t>
            </w:r>
          </w:p>
        </w:tc>
      </w:tr>
      <w:tr>
        <w:trPr>
          <w:trHeight w:val="179"/>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Effect of currency rate changes on cash</w:t>
            </w: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w:t>
            </w:r>
          </w:p>
        </w:tc>
      </w:tr>
      <w:tr>
        <w:trPr>
          <w:trHeight w:val="186"/>
        </w:trPr>
        <w:tc>
          <w:tcPr>
            <w:tcW w:w="8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(36,750)</w:t>
            </w:r>
          </w:p>
        </w:tc>
      </w:tr>
      <w:tr>
        <w:trPr>
          <w:trHeight w:val="188"/>
        </w:trPr>
        <w:tc>
          <w:tcPr>
            <w:tcW w:w="8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13,016</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49,766</w:t>
            </w:r>
          </w:p>
        </w:tc>
      </w:tr>
      <w:tr>
        <w:trPr>
          <w:trHeight w:val="206"/>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15,206</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4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89"/>
        </w:trPr>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Supplemental cash flow information:</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8180" w:type="dxa"/>
            <w:vAlign w:val="bottom"/>
          </w:tcPr>
          <w:p>
            <w:pPr>
              <w:ind w:left="340"/>
              <w:spacing w:after="0"/>
              <w:rPr>
                <w:sz w:val="20"/>
                <w:szCs w:val="20"/>
                <w:color w:val="auto"/>
              </w:rPr>
            </w:pPr>
            <w:r>
              <w:rPr>
                <w:rFonts w:ascii="Arial" w:cs="Arial" w:eastAsia="Arial" w:hAnsi="Arial"/>
                <w:sz w:val="14"/>
                <w:szCs w:val="14"/>
                <w:color w:val="auto"/>
              </w:rPr>
              <w:t>Cash paid during the period for income taxes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1,271</w:t>
            </w:r>
          </w:p>
        </w:tc>
      </w:tr>
      <w:tr>
        <w:trPr>
          <w:trHeight w:val="192"/>
        </w:trPr>
        <w:tc>
          <w:tcPr>
            <w:tcW w:w="8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dividends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r>
    </w:tbl>
    <w:p>
      <w:pPr>
        <w:sectPr>
          <w:pgSz w:w="11900" w:h="16838" w:orient="portrait"/>
          <w:cols w:equalWidth="0" w:num="1">
            <w:col w:w="11220"/>
          </w:cols>
          <w:pgMar w:left="320" w:top="895" w:right="359" w:bottom="1440" w:gutter="0" w:footer="0" w:header="0"/>
        </w:sectPr>
      </w:pPr>
    </w:p>
    <w:bookmarkStart w:id="10" w:name="page11"/>
    <w:bookmarkEnd w:id="10"/>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Reconciliation of Net Income (Loss) to Economic Earnings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 define Economic Earnings as net income (loss) plus non-cash stock-based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8"/>
        </w:trPr>
        <w:tc>
          <w:tcPr>
            <w:tcW w:w="4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December 31,</w:t>
            </w:r>
          </w:p>
        </w:tc>
        <w:tc>
          <w:tcPr>
            <w:tcW w:w="164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December 31,</w:t>
            </w:r>
          </w:p>
        </w:tc>
      </w:tr>
      <w:tr>
        <w:trPr>
          <w:trHeight w:val="213"/>
        </w:trPr>
        <w:tc>
          <w:tcPr>
            <w:tcW w:w="40" w:type="dxa"/>
            <w:vAlign w:val="bottom"/>
            <w:tcBorders>
              <w:bottom w:val="single" w:sz="8" w:color="CCEEFF"/>
            </w:tcBorders>
          </w:tcPr>
          <w:p>
            <w:pPr>
              <w:spacing w:after="0"/>
              <w:rPr>
                <w:sz w:val="18"/>
                <w:szCs w:val="18"/>
                <w:color w:val="auto"/>
              </w:rPr>
            </w:pPr>
          </w:p>
        </w:tc>
        <w:tc>
          <w:tcPr>
            <w:tcW w:w="6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3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20" w:type="dxa"/>
            <w:vAlign w:val="bottom"/>
            <w:shd w:val="clear" w:color="auto" w:fill="CCEEFF"/>
          </w:tcPr>
          <w:p>
            <w:pPr>
              <w:spacing w:after="0"/>
              <w:rPr>
                <w:sz w:val="18"/>
                <w:szCs w:val="18"/>
                <w:color w:val="auto"/>
              </w:rPr>
            </w:pP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Add: Stock-based compensation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1,292</w:t>
            </w:r>
          </w:p>
        </w:tc>
        <w:tc>
          <w:tcPr>
            <w:tcW w:w="20" w:type="dxa"/>
            <w:vAlign w:val="bottom"/>
          </w:tcPr>
          <w:p>
            <w:pPr>
              <w:spacing w:after="0"/>
              <w:rPr>
                <w:sz w:val="18"/>
                <w:szCs w:val="18"/>
                <w:color w:val="auto"/>
              </w:rPr>
            </w:pP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 Intangible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20" w:type="dxa"/>
            <w:vAlign w:val="bottom"/>
            <w:shd w:val="clear" w:color="auto" w:fill="CCEEFF"/>
          </w:tcPr>
          <w:p>
            <w:pPr>
              <w:spacing w:after="0"/>
              <w:rPr>
                <w:sz w:val="19"/>
                <w:szCs w:val="19"/>
                <w:color w:val="auto"/>
              </w:rPr>
            </w:pP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Add: Currency translation adjustment reclassification</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 Tax benefit from goodwill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auto"/>
            </w:tcBorders>
            <w:shd w:val="clear" w:color="auto" w:fill="CCEEFF"/>
          </w:tcPr>
          <w:p>
            <w:pPr>
              <w:spacing w:after="0"/>
              <w:rPr>
                <w:sz w:val="18"/>
                <w:szCs w:val="18"/>
                <w:color w:val="auto"/>
              </w:rPr>
            </w:pP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color w:val="auto"/>
              </w:rPr>
              <w:t>Economic Earnings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4,654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3,706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4,571</w:t>
            </w:r>
          </w:p>
        </w:tc>
        <w:tc>
          <w:tcPr>
            <w:tcW w:w="20" w:type="dxa"/>
            <w:vAlign w:val="bottom"/>
          </w:tcPr>
          <w:p>
            <w:pPr>
              <w:spacing w:after="0"/>
              <w:rPr>
                <w:sz w:val="18"/>
                <w:szCs w:val="18"/>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Diluted weighted average shares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7,910,673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7,956,081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7,838,504</w:t>
            </w:r>
          </w:p>
        </w:tc>
        <w:tc>
          <w:tcPr>
            <w:tcW w:w="20" w:type="dxa"/>
            <w:vAlign w:val="bottom"/>
          </w:tcPr>
          <w:p>
            <w:pPr>
              <w:spacing w:after="0"/>
              <w:rPr>
                <w:sz w:val="18"/>
                <w:szCs w:val="18"/>
                <w:color w:val="auto"/>
              </w:rPr>
            </w:pP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Economic EPS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20" w:type="dxa"/>
            <w:vAlign w:val="bottom"/>
            <w:shd w:val="clear" w:color="auto" w:fill="CCEEFF"/>
          </w:tcPr>
          <w:p>
            <w:pPr>
              <w:spacing w:after="0"/>
              <w:rPr>
                <w:sz w:val="19"/>
                <w:szCs w:val="19"/>
                <w:color w:val="auto"/>
              </w:rPr>
            </w:pPr>
          </w:p>
        </w:tc>
      </w:tr>
      <w:tr>
        <w:trPr>
          <w:trHeight w:val="335"/>
        </w:trPr>
        <w:tc>
          <w:tcPr>
            <w:tcW w:w="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7"/>
          </w:tcPr>
          <w:p>
            <w:pPr>
              <w:ind w:left="40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40" w:type="dxa"/>
            <w:vAlign w:val="bottom"/>
          </w:tcPr>
          <w:p>
            <w:pPr>
              <w:spacing w:after="0"/>
              <w:rPr>
                <w:sz w:val="18"/>
                <w:szCs w:val="18"/>
                <w:color w:val="auto"/>
              </w:rPr>
            </w:pPr>
          </w:p>
        </w:tc>
        <w:tc>
          <w:tcPr>
            <w:tcW w:w="60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9,763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Add: Stock-based compensation expense</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5,834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6,701</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Add: Impairment expense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Add: Intangible amortization</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1,721</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Add: Currency translation adjustment reclassification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Add: Tax benefit from goodwill amortization</w:t>
            </w:r>
          </w:p>
        </w:tc>
        <w:tc>
          <w:tcPr>
            <w:tcW w:w="2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20" w:type="dxa"/>
            <w:vAlign w:val="bottom"/>
          </w:tcPr>
          <w:p>
            <w:pPr>
              <w:spacing w:after="0"/>
              <w:rPr>
                <w:sz w:val="18"/>
                <w:szCs w:val="18"/>
                <w:color w:val="auto"/>
              </w:rPr>
            </w:pPr>
          </w:p>
        </w:tc>
      </w:tr>
      <w:tr>
        <w:trPr>
          <w:trHeight w:val="233"/>
        </w:trPr>
        <w:tc>
          <w:tcPr>
            <w:tcW w:w="4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Economic Earnings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17,458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Diluted weighted average shares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7,927,972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7,987,554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6"/>
                <w:szCs w:val="16"/>
                <w:b w:val="1"/>
                <w:bCs w:val="1"/>
                <w:color w:val="auto"/>
              </w:rPr>
              <w:t>Economic EPS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0.91</w:t>
            </w:r>
          </w:p>
        </w:tc>
        <w:tc>
          <w:tcPr>
            <w:tcW w:w="2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2022-02-09T10:37:35Z</dcterms:created>
  <dcterms:modified xsi:type="dcterms:W3CDTF">2022-02-09T10:37:35Z</dcterms:modified>
</cp:coreProperties>
</file>