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0" w:lineRule="exact"/>
        <w:rPr>
          <w:sz w:val="24"/>
          <w:szCs w:val="24"/>
          <w:color w:val="auto"/>
        </w:rPr>
      </w:pPr>
    </w:p>
    <w:p>
      <w:pPr>
        <w:spacing w:after="0" w:line="23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FORM 8-K</w:t>
      </w:r>
    </w:p>
    <w:p>
      <w:pPr>
        <w:spacing w:after="0" w:line="22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CURRENT REPORT</w:t>
      </w:r>
    </w:p>
    <w:p>
      <w:pPr>
        <w:spacing w:after="0" w:line="2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Pursuant to Section 13 or 15(d) of the</w:t>
      </w:r>
    </w:p>
    <w:p>
      <w:pPr>
        <w:jc w:val="center"/>
        <w:ind w:right="-339"/>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2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Date of Report (Date of earliest event reported): April 24, 2019</w:t>
      </w:r>
    </w:p>
    <w:p>
      <w:pPr>
        <w:spacing w:after="0" w:line="22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WESTWOOD HOLDINGS GROUP, INC.</w:t>
      </w:r>
    </w:p>
    <w:p>
      <w:pPr>
        <w:spacing w:after="0" w:line="2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pacing w:after="0" w:line="200" w:lineRule="exact"/>
        <w:rPr>
          <w:sz w:val="24"/>
          <w:szCs w:val="24"/>
          <w:color w:val="auto"/>
        </w:rPr>
      </w:pPr>
    </w:p>
    <w:p>
      <w:pPr>
        <w:spacing w:after="0" w:line="237" w:lineRule="exact"/>
        <w:rPr>
          <w:sz w:val="24"/>
          <w:szCs w:val="24"/>
          <w:color w:val="auto"/>
        </w:rPr>
      </w:pPr>
    </w:p>
    <w:p>
      <w:pPr>
        <w:ind w:left="500"/>
        <w:spacing w:after="0"/>
        <w:tabs>
          <w:tab w:leader="none" w:pos="1440" w:val="left"/>
          <w:tab w:leader="none" w:pos="2480" w:val="left"/>
        </w:tabs>
        <w:rPr>
          <w:sz w:val="20"/>
          <w:szCs w:val="20"/>
          <w:color w:val="auto"/>
        </w:rPr>
      </w:pPr>
      <w:r>
        <w:rPr>
          <w:rFonts w:ascii="Times New Roman" w:cs="Times New Roman" w:eastAsia="Times New Roman" w:hAnsi="Times New Roman"/>
          <w:sz w:val="20"/>
          <w:szCs w:val="20"/>
          <w:color w:val="auto"/>
        </w:rPr>
        <w:t>Delaware</w:t>
        <w:tab/>
        <w:t>001-31234</w:t>
      </w:r>
      <w:r>
        <w:rPr>
          <w:sz w:val="20"/>
          <w:szCs w:val="20"/>
          <w:color w:val="auto"/>
        </w:rPr>
        <w:tab/>
      </w:r>
      <w:r>
        <w:rPr>
          <w:rFonts w:ascii="Times New Roman" w:cs="Times New Roman" w:eastAsia="Times New Roman" w:hAnsi="Times New Roman"/>
          <w:sz w:val="19"/>
          <w:szCs w:val="19"/>
          <w:color w:val="auto"/>
        </w:rPr>
        <w:t>75-2969997</w:t>
      </w:r>
    </w:p>
    <w:p>
      <w:pPr>
        <w:spacing w:after="0" w:line="21" w:lineRule="exact"/>
        <w:rPr>
          <w:sz w:val="24"/>
          <w:szCs w:val="24"/>
          <w:color w:val="auto"/>
        </w:rPr>
      </w:pPr>
    </w:p>
    <w:p>
      <w:pPr>
        <w:spacing w:after="0"/>
        <w:tabs>
          <w:tab w:leader="none" w:pos="2260" w:val="left"/>
          <w:tab w:leader="none" w:pos="3540" w:val="left"/>
        </w:tabs>
        <w:rPr>
          <w:sz w:val="20"/>
          <w:szCs w:val="20"/>
          <w:color w:val="auto"/>
        </w:rPr>
      </w:pPr>
      <w:r>
        <w:rPr>
          <w:rFonts w:ascii="Times New Roman" w:cs="Times New Roman" w:eastAsia="Times New Roman" w:hAnsi="Times New Roman"/>
          <w:sz w:val="20"/>
          <w:szCs w:val="20"/>
          <w:color w:val="auto"/>
        </w:rPr>
        <w:t>(State or other jurisdiction</w:t>
        <w:tab/>
        <w:t>(Commission</w:t>
      </w:r>
      <w:r>
        <w:rPr>
          <w:sz w:val="20"/>
          <w:szCs w:val="20"/>
          <w:color w:val="auto"/>
        </w:rPr>
        <w:tab/>
      </w:r>
      <w:r>
        <w:rPr>
          <w:rFonts w:ascii="Times New Roman" w:cs="Times New Roman" w:eastAsia="Times New Roman" w:hAnsi="Times New Roman"/>
          <w:sz w:val="19"/>
          <w:szCs w:val="19"/>
          <w:color w:val="auto"/>
        </w:rPr>
        <w:t>(IRS Employer</w:t>
      </w:r>
    </w:p>
    <w:p>
      <w:pPr>
        <w:ind w:left="340"/>
        <w:spacing w:after="0"/>
        <w:tabs>
          <w:tab w:leader="none" w:pos="1900" w:val="left"/>
          <w:tab w:leader="none" w:pos="3180" w:val="left"/>
        </w:tabs>
        <w:rPr>
          <w:sz w:val="20"/>
          <w:szCs w:val="20"/>
          <w:color w:val="auto"/>
        </w:rPr>
      </w:pPr>
      <w:r>
        <w:rPr>
          <w:rFonts w:ascii="Times New Roman" w:cs="Times New Roman" w:eastAsia="Times New Roman" w:hAnsi="Times New Roman"/>
          <w:sz w:val="20"/>
          <w:szCs w:val="20"/>
          <w:color w:val="auto"/>
        </w:rPr>
        <w:t>of incorporation)</w:t>
        <w:tab/>
        <w:t>File Number)</w:t>
      </w:r>
      <w:r>
        <w:rPr>
          <w:sz w:val="20"/>
          <w:szCs w:val="20"/>
          <w:color w:val="auto"/>
        </w:rPr>
        <w:tab/>
      </w:r>
      <w:r>
        <w:rPr>
          <w:rFonts w:ascii="Times New Roman" w:cs="Times New Roman" w:eastAsia="Times New Roman" w:hAnsi="Times New Roman"/>
          <w:sz w:val="19"/>
          <w:szCs w:val="19"/>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200 Crescent Court, Suite 1200</w:t>
      </w:r>
    </w:p>
    <w:p>
      <w:pPr>
        <w:spacing w:after="0" w:line="2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Dallas, Texas 75201</w:t>
      </w:r>
    </w:p>
    <w:p>
      <w:pPr>
        <w:jc w:val="center"/>
        <w:ind w:right="-339"/>
        <w:spacing w:after="0"/>
        <w:rPr>
          <w:sz w:val="20"/>
          <w:szCs w:val="20"/>
          <w:color w:val="auto"/>
        </w:rPr>
      </w:pPr>
      <w:r>
        <w:rPr>
          <w:rFonts w:ascii="Times New Roman" w:cs="Times New Roman" w:eastAsia="Times New Roman" w:hAnsi="Times New Roman"/>
          <w:sz w:val="20"/>
          <w:szCs w:val="20"/>
          <w:color w:val="auto"/>
        </w:rPr>
        <w:t>(Address of principal executive offices)</w:t>
      </w:r>
    </w:p>
    <w:p>
      <w:pPr>
        <w:spacing w:after="0" w:line="2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(214) 756-6900</w:t>
      </w:r>
    </w:p>
    <w:p>
      <w:pPr>
        <w:spacing w:after="0" w:line="2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0" w:lineRule="exact"/>
        <w:rPr>
          <w:sz w:val="24"/>
          <w:szCs w:val="24"/>
          <w:color w:val="auto"/>
        </w:rPr>
      </w:pPr>
    </w:p>
    <w:p>
      <w:pPr>
        <w:spacing w:after="0" w:line="277" w:lineRule="exact"/>
        <w:rPr>
          <w:sz w:val="24"/>
          <w:szCs w:val="24"/>
          <w:color w:val="auto"/>
        </w:rPr>
      </w:pPr>
    </w:p>
    <w:p>
      <w:pPr>
        <w:ind w:firstLine="324"/>
        <w:spacing w:after="0" w:line="297"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20"/>
          <w:szCs w:val="20"/>
          <w:i w:val="1"/>
          <w:iCs w:val="1"/>
          <w:color w:val="auto"/>
        </w:rPr>
        <w:t>see</w:t>
      </w:r>
      <w:r>
        <w:rPr>
          <w:rFonts w:ascii="Times New Roman" w:cs="Times New Roman" w:eastAsia="Times New Roman" w:hAnsi="Times New Roman"/>
          <w:sz w:val="20"/>
          <w:szCs w:val="20"/>
          <w:color w:val="auto"/>
        </w:rPr>
        <w:t xml:space="preserve"> General Instruction A.2. below):</w:t>
      </w:r>
    </w:p>
    <w:p>
      <w:pPr>
        <w:spacing w:after="0" w:line="214" w:lineRule="exact"/>
        <w:rPr>
          <w:sz w:val="24"/>
          <w:szCs w:val="24"/>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7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7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7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ectPr>
          <w:pgSz w:w="11900" w:h="16838" w:orient="portrait"/>
          <w:cols w:equalWidth="0" w:num="1">
            <w:col w:w="11100"/>
          </w:cols>
          <w:pgMar w:left="240" w:top="684" w:right="55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2.02:</w:t>
      </w:r>
      <w:r>
        <w:rPr>
          <w:sz w:val="20"/>
          <w:szCs w:val="20"/>
          <w:color w:val="auto"/>
        </w:rPr>
        <w:tab/>
      </w:r>
      <w:r>
        <w:rPr>
          <w:rFonts w:ascii="Times New Roman" w:cs="Times New Roman" w:eastAsia="Times New Roman" w:hAnsi="Times New Roman"/>
          <w:sz w:val="19"/>
          <w:szCs w:val="19"/>
          <w:color w:val="auto"/>
        </w:rPr>
        <w:t>RESULTS OF OPERATIONS AND FINANCIAL CONDITION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On April 24, 2019, Westwood Holdings Group, Inc. (“Westwood”) issued a press release entitled “Westwood Holdings Group, Inc. Reports First Quarter 2019 Results; Evolving Toward Renewed Growth”, a copy of which is furnished with this Current Report on Form 8-K as Exhibit 99.1.</w:t>
      </w:r>
    </w:p>
    <w:p>
      <w:pPr>
        <w:spacing w:after="0" w:line="1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7.01:</w:t>
      </w:r>
      <w:r>
        <w:rPr>
          <w:sz w:val="20"/>
          <w:szCs w:val="20"/>
          <w:color w:val="auto"/>
        </w:rPr>
        <w:tab/>
      </w:r>
      <w:r>
        <w:rPr>
          <w:rFonts w:ascii="Times New Roman" w:cs="Times New Roman" w:eastAsia="Times New Roman" w:hAnsi="Times New Roman"/>
          <w:sz w:val="19"/>
          <w:szCs w:val="19"/>
          <w:color w:val="auto"/>
        </w:rPr>
        <w:t>REGULATION FD DISCLOSURE</w:t>
      </w:r>
    </w:p>
    <w:p>
      <w:pPr>
        <w:spacing w:after="0" w:line="229"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Westwood announced today that its Board of Directors has approved the payment of a quarterly cash dividend of $0.72 per common share, payable on July 1, 2019 to stockholders of record on June 7, 2019.</w:t>
      </w:r>
    </w:p>
    <w:p>
      <w:pPr>
        <w:spacing w:after="0" w:line="17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following exhibit is furnished with this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w w:val="98"/>
              </w:rPr>
              <w:t>Exhibit Number</w:t>
            </w:r>
          </w:p>
        </w:tc>
        <w:tc>
          <w:tcPr>
            <w:tcW w:w="980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auto"/>
              </w:rPr>
              <w:t>Description</w:t>
            </w:r>
          </w:p>
        </w:tc>
      </w:tr>
      <w:tr>
        <w:trPr>
          <w:trHeight w:val="413"/>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9800" w:type="dxa"/>
            <w:vAlign w:val="bottom"/>
            <w:tcBorders>
              <w:bottom w:val="single" w:sz="8" w:color="0000FF"/>
            </w:tcBorders>
            <w:gridSpan w:val="2"/>
          </w:tcPr>
          <w:p>
            <w:pPr>
              <w:spacing w:after="0"/>
              <w:rPr>
                <w:rFonts w:ascii="Times New Roman" w:cs="Times New Roman" w:eastAsia="Times New Roman" w:hAnsi="Times New Roman"/>
                <w:sz w:val="20"/>
                <w:szCs w:val="20"/>
                <w:color w:val="0000FF"/>
                <w:w w:val="98"/>
              </w:rPr>
            </w:pPr>
            <w:hyperlink w:anchor="page5">
              <w:r>
                <w:rPr>
                  <w:rFonts w:ascii="Times New Roman" w:cs="Times New Roman" w:eastAsia="Times New Roman" w:hAnsi="Times New Roman"/>
                  <w:sz w:val="20"/>
                  <w:szCs w:val="20"/>
                  <w:color w:val="0000FF"/>
                  <w:w w:val="98"/>
                </w:rPr>
                <w:t>Press Release dated April 24, 2019, entitled “Westwood Holdings Group, Inc. Reports First Quarter 2019 Results; Evolving</w:t>
              </w:r>
            </w:hyperlink>
          </w:p>
        </w:tc>
      </w:tr>
      <w:tr>
        <w:trPr>
          <w:trHeight w:val="210"/>
        </w:trPr>
        <w:tc>
          <w:tcPr>
            <w:tcW w:w="1300" w:type="dxa"/>
            <w:vAlign w:val="bottom"/>
          </w:tcPr>
          <w:p>
            <w:pPr>
              <w:spacing w:after="0"/>
              <w:rPr>
                <w:sz w:val="18"/>
                <w:szCs w:val="18"/>
                <w:color w:val="auto"/>
              </w:rPr>
            </w:pPr>
          </w:p>
        </w:tc>
        <w:tc>
          <w:tcPr>
            <w:tcW w:w="2140" w:type="dxa"/>
            <w:vAlign w:val="bottom"/>
            <w:tcBorders>
              <w:bottom w:val="single" w:sz="8" w:color="0000FF"/>
            </w:tcBorders>
          </w:tcPr>
          <w:p>
            <w:pPr>
              <w:spacing w:after="0" w:line="209" w:lineRule="exact"/>
              <w:rPr>
                <w:rFonts w:ascii="Times New Roman" w:cs="Times New Roman" w:eastAsia="Times New Roman" w:hAnsi="Times New Roman"/>
                <w:sz w:val="20"/>
                <w:szCs w:val="20"/>
                <w:color w:val="0000FF"/>
                <w:w w:val="97"/>
              </w:rPr>
            </w:pPr>
            <w:hyperlink w:anchor="page5">
              <w:r>
                <w:rPr>
                  <w:rFonts w:ascii="Times New Roman" w:cs="Times New Roman" w:eastAsia="Times New Roman" w:hAnsi="Times New Roman"/>
                  <w:sz w:val="20"/>
                  <w:szCs w:val="20"/>
                  <w:color w:val="0000FF"/>
                  <w:w w:val="97"/>
                </w:rPr>
                <w:t>Toward Renewed Growth”</w:t>
              </w:r>
            </w:hyperlink>
          </w:p>
        </w:tc>
        <w:tc>
          <w:tcPr>
            <w:tcW w:w="7660" w:type="dxa"/>
            <w:vAlign w:val="bottom"/>
          </w:tcPr>
          <w:p>
            <w:pPr>
              <w:spacing w:after="0"/>
              <w:rPr>
                <w:sz w:val="18"/>
                <w:szCs w:val="18"/>
                <w:color w:val="auto"/>
              </w:rPr>
            </w:pPr>
          </w:p>
        </w:tc>
      </w:tr>
    </w:tbl>
    <w:p>
      <w:pPr>
        <w:sectPr>
          <w:pgSz w:w="11900" w:h="16838" w:orient="portrait"/>
          <w:cols w:equalWidth="0" w:num="1">
            <w:col w:w="11380"/>
          </w:cols>
          <w:pgMar w:left="240" w:top="576" w:right="2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color w:val="auto"/>
        </w:rPr>
        <w:t>SIGNATURES</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24, 2019</w:t>
      </w: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WESTWOOD HOLDINGS GROUP, INC.</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-10795</wp:posOffset>
            </wp:positionV>
            <wp:extent cx="130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735"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Murray Forbes III</w:t>
      </w:r>
    </w:p>
    <w:p>
      <w:pPr>
        <w:ind w:left="4540"/>
        <w:spacing w:after="0"/>
        <w:rPr>
          <w:sz w:val="20"/>
          <w:szCs w:val="20"/>
          <w:color w:val="auto"/>
        </w:rPr>
      </w:pPr>
      <w:r>
        <w:rPr>
          <w:rFonts w:ascii="Times New Roman" w:cs="Times New Roman" w:eastAsia="Times New Roman" w:hAnsi="Times New Roman"/>
          <w:sz w:val="20"/>
          <w:szCs w:val="20"/>
          <w:color w:val="auto"/>
        </w:rPr>
        <w:t>Chief Financial Officer and Treasurer</w:t>
      </w:r>
    </w:p>
    <w:p>
      <w:pPr>
        <w:sectPr>
          <w:pgSz w:w="11900" w:h="16838" w:orient="portrait"/>
          <w:cols w:equalWidth="0" w:num="1">
            <w:col w:w="11420"/>
          </w:cols>
          <w:pgMar w:left="240" w:top="57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INDEX</w:t>
            </w:r>
          </w:p>
        </w:tc>
      </w:tr>
      <w:tr>
        <w:trPr>
          <w:trHeight w:val="439"/>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c>
          <w:tcPr>
            <w:tcW w:w="1460" w:type="dxa"/>
            <w:vAlign w:val="bottom"/>
            <w:tcBorders>
              <w:top w:val="single" w:sz="8" w:color="auto"/>
            </w:tcBorders>
            <w:gridSpan w:val="2"/>
          </w:tcPr>
          <w:p>
            <w:pPr>
              <w:spacing w:after="0"/>
              <w:rPr>
                <w:sz w:val="24"/>
                <w:szCs w:val="24"/>
                <w:color w:val="auto"/>
              </w:rPr>
            </w:pPr>
          </w:p>
        </w:tc>
        <w:tc>
          <w:tcPr>
            <w:tcW w:w="4620" w:type="dxa"/>
            <w:vAlign w:val="bottom"/>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r>
      <w:tr>
        <w:trPr>
          <w:trHeight w:val="466"/>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tcBorders>
              <w:bottom w:val="single" w:sz="8" w:color="0000FF"/>
            </w:tcBorders>
            <w:gridSpan w:val="5"/>
          </w:tcPr>
          <w:p>
            <w:pPr>
              <w:spacing w:after="0"/>
              <w:rPr>
                <w:rFonts w:ascii="Times New Roman" w:cs="Times New Roman" w:eastAsia="Times New Roman" w:hAnsi="Times New Roman"/>
                <w:sz w:val="22"/>
                <w:szCs w:val="22"/>
                <w:color w:val="0000FF"/>
                <w:w w:val="97"/>
              </w:rPr>
            </w:pPr>
            <w:hyperlink w:anchor="page5">
              <w:r>
                <w:rPr>
                  <w:rFonts w:ascii="Times New Roman" w:cs="Times New Roman" w:eastAsia="Times New Roman" w:hAnsi="Times New Roman"/>
                  <w:sz w:val="22"/>
                  <w:szCs w:val="22"/>
                  <w:color w:val="0000FF"/>
                  <w:w w:val="97"/>
                </w:rPr>
                <w:t>Press Release dated April 24, 2019, entitled “Westwood Holdings Group, Inc. Reports First Quarter 2019</w:t>
              </w:r>
            </w:hyperlink>
          </w:p>
        </w:tc>
      </w:tr>
      <w:tr>
        <w:trPr>
          <w:trHeight w:val="237"/>
        </w:trPr>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Borders>
              <w:bottom w:val="single" w:sz="8" w:color="0000FF"/>
            </w:tcBorders>
            <w:gridSpan w:val="3"/>
          </w:tcPr>
          <w:p>
            <w:pPr>
              <w:spacing w:after="0" w:line="237" w:lineRule="exact"/>
              <w:rPr>
                <w:rFonts w:ascii="Times New Roman" w:cs="Times New Roman" w:eastAsia="Times New Roman" w:hAnsi="Times New Roman"/>
                <w:sz w:val="22"/>
                <w:szCs w:val="22"/>
                <w:color w:val="0000FF"/>
                <w:w w:val="97"/>
              </w:rPr>
            </w:pPr>
            <w:hyperlink w:anchor="page5">
              <w:r>
                <w:rPr>
                  <w:rFonts w:ascii="Times New Roman" w:cs="Times New Roman" w:eastAsia="Times New Roman" w:hAnsi="Times New Roman"/>
                  <w:sz w:val="22"/>
                  <w:szCs w:val="22"/>
                  <w:color w:val="0000FF"/>
                  <w:w w:val="97"/>
                </w:rPr>
                <w:t>Results; Evolving Toward Renewed Growth”</w:t>
              </w:r>
            </w:hyperlink>
          </w:p>
        </w:tc>
        <w:tc>
          <w:tcPr>
            <w:tcW w:w="5180" w:type="dxa"/>
            <w:vAlign w:val="bottom"/>
            <w:gridSpan w:val="2"/>
          </w:tcPr>
          <w:p>
            <w:pPr>
              <w:spacing w:after="0"/>
              <w:rPr>
                <w:sz w:val="20"/>
                <w:szCs w:val="20"/>
                <w:color w:val="auto"/>
              </w:rPr>
            </w:pPr>
          </w:p>
        </w:tc>
      </w:tr>
    </w:tbl>
    <w:p>
      <w:pPr>
        <w:sectPr>
          <w:pgSz w:w="11900" w:h="16838" w:orient="portrait"/>
          <w:cols w:equalWidth="0" w:num="1">
            <w:col w:w="11060"/>
          </w:cols>
          <w:pgMar w:left="240" w:top="787" w:right="5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406400</wp:posOffset>
            </wp:positionV>
            <wp:extent cx="274447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00430"/>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Westwood Holdings Group, Inc. Reports First Quarter 2019 Results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Evolving Toward Renewed Growth</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Dallas, TX, April 24, 2019 – Westwood Holdings Group, Inc. (NYSE: WHG) today reported first quarter 2019 earnings. Highlights from the quarter include:</w:t>
      </w:r>
    </w:p>
    <w:p>
      <w:pPr>
        <w:spacing w:after="0" w:line="10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 of $23.9 million compared with $26.1 million in the fourth quarter and $33.6 million in last year's first quarter.</w:t>
      </w:r>
    </w:p>
    <w:p>
      <w:pPr>
        <w:spacing w:after="0" w:line="165"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of $0.4 million compared with $5.4 million in the fourth quarter and $8.0 million in last year's first quarter. Non-GAAP Economic Earnings of $4.1 million compared with $9.5 million in the fourth quarter and $12.6 million in the first quarter of 2018.</w:t>
      </w:r>
    </w:p>
    <w:p>
      <w:pPr>
        <w:spacing w:after="0" w:line="119"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SmallCap Value, SMidCap, Emerging Markets, Market Neutral Income, Emerging Markets SMid, SMidCap Plus and Flexible Income all outperformed their primary benchmarks.</w:t>
      </w:r>
    </w:p>
    <w:p>
      <w:pPr>
        <w:spacing w:after="0" w:line="103"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Top decile performance was achieved by our Market Neutral Income and Flexible Income teams and our SmallCap Value team posted top quartile performance.</w:t>
      </w:r>
    </w:p>
    <w:p>
      <w:pPr>
        <w:spacing w:after="0" w:line="103"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welcomed Adrian Helfert as Senior Vice President and Director of Multi-Asset Portfolios to lead our Multi-Asset and Income Portfolio teams.</w:t>
      </w:r>
    </w:p>
    <w:p>
      <w:pPr>
        <w:spacing w:after="0" w:line="103"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introduced Sensible Fees™ as part of a creative product initiative to offer clients attractive, risk-adjusted incentive fees in efficient asset classes.</w:t>
      </w:r>
    </w:p>
    <w:p>
      <w:pPr>
        <w:spacing w:after="0" w:line="103"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quarter-end, Westwood had $102 million in cash and short-term investments, stockholders’ equity of $156.1 million, and no debt.</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Revenues of $23.9 million decreased $2.3 million from the prior year's fourth quarter on lower average assets under management ("AUM") resulting from net outflows. Revenues decreased $9.7 million from last year's first quarter on lower average AUM and lower performance-based fees.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AUM at March 31, 2019 totaled $16.8 billion compared to $16.6 billion at December 31, 2018 and $22.6 billion at March 31, 2018.</w:t>
      </w:r>
    </w:p>
    <w:p>
      <w:pPr>
        <w:spacing w:after="0" w:line="2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First quarter net income of $0.4 million compared with $5.4 million in the fourth quarter, which benefited from higher asset-based fees and foreign currency transaction gains.The current quarter included higher seasonal payroll tax and benefit plan matching on bonuses paid during the first quarter. Diluted earnings per share for the first quarter of $0.05 compared to $0.64 for the fourth quarter. Non-GAAP Economic Earnings for the first quarter of $4.1 million, or $0.49 per share, compared to $9.5 million, or $1.12 per share, in the fourth quarter.</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22"/>
          <w:szCs w:val="22"/>
          <w:color w:val="auto"/>
        </w:rPr>
        <w:t>First quarter net income of $0.4 million compared with $8.0 million in last year's first quarter. The decrease was due to lower total revenues and a $0.6 million net foreign currency loss, partially offset by lower incentive compensation expense. Non-GAAP Economic Earnings decreased from $12.6 million, or $1.48 per share, in the first quarter of 2018, to $4.1 million, or $0.49 per share, in the current quarter.</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Brian Casey, Westwood’s President &amp; CEO, commented, "We are disappointed with the levels of outflows that began during 2018, but we firmly believe that we have established the right path forward to renewed growth. We continue to make significant investments in our portfolio management, sales, distribution and infrastructure teams to support strong business development. We are encouraged by the reception accorded our recently announced Sensible Fees™ pricing structure that will offer a thoughtful, risk-adjusted incentive fee structure to investors in efficient asset classes, and we continue to make solid progress with our digital platform transformation. We are working to implement our vision to combine deeper client engagement with superior operational and reporting efficiencies to better position us to face more industry disruption in the years to come."</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Westwood’s Board of Directors declared a quarterly cash dividend of $0.72 per common share, payable on July 1, 2019 to stockholders of record on June 7, 2019.</w:t>
      </w:r>
    </w:p>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Economic Earnings and Economic Earnings per Share ("Economic EPS") are non-GAAP performance measures and are explained and reconciled with the most comparable GAAP numbers in the attached tables.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Westwood will host a conference call to discuss first quarter 2019 results and other business matters at 4:30 p.m. Eastern time today. To join the conference call, dial 877-303-6235 (domestic and Canada) or 631-291-4837 (international). The conference call can also be accessed via our Investor Relations page at westwoodgroup.com and will be available for replay through October 31, 2018 by dialing 855-859-2056 (domestic and Canada) or 404-537-3406 (international) and then entering the passcode 9365934.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Westwood</w:t>
      </w:r>
    </w:p>
    <w:p>
      <w:pPr>
        <w:spacing w:after="0" w:line="2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Westwood Holdings Group, Inc. provides investment management services to institutional investors, private wealth clients and financial intermediaries. The firm has $16.8 billion in assets under management, of which $2.7 billion are in values-based and socially responsible investment mandates as of March 31, 2019. Westwood offers a range of investment strategies including U.S. equities, Multi-Asset, Emerging Markets equities, Global Convertible securities and Master Limited Partnerships (MLPs)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Texas, Westwood also maintains offices in Toronto, Boston and Houston.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Westwood, please visit westwoodgroup.com.</w:t>
      </w:r>
    </w:p>
    <w:p>
      <w:pPr>
        <w:sectPr>
          <w:pgSz w:w="11900" w:h="16838" w:orient="portrait"/>
          <w:cols w:equalWidth="0" w:num="1">
            <w:col w:w="11420"/>
          </w:cols>
          <w:pgMar w:left="240" w:top="625"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includes investments in foreign companies; our ability to develop and market new investment strategies successfully; our reputation and relationships with current and potential customers; our ability to attract and retain qualified personnel; our ability to maintain effective cyber security; our ability to perform operational tasks; our ability to identify and execute on our strategic initiatives; our ability to maintain effective information systems; our ability to select and oversee third-party vendors;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Securities and Exchange Commission filings, including, but not limited to, its annual report on Form 10-K for the year ended December 31, 2018 and its quarterly report on Form 10-Q for the quarter ended March 31, 2019.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(WHG-G)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Terry Forbes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SVP, Chief Financial Officer and Treasurer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 756-6900</w:t>
      </w:r>
    </w:p>
    <w:p>
      <w:pPr>
        <w:sectPr>
          <w:pgSz w:w="11900" w:h="16838" w:orient="portrait"/>
          <w:cols w:equalWidth="0" w:num="1">
            <w:col w:w="11420"/>
          </w:cols>
          <w:pgMar w:left="240" w:top="62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32" w:lineRule="exact"/>
        <w:rPr>
          <w:sz w:val="20"/>
          <w:szCs w:val="20"/>
          <w:color w:val="auto"/>
        </w:rPr>
      </w:pPr>
    </w:p>
    <w:p>
      <w:pPr>
        <w:ind w:right="3460"/>
        <w:spacing w:after="0" w:line="248" w:lineRule="auto"/>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0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Advisory fees: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Asset-based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16,406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24,483</w:t>
            </w:r>
          </w:p>
        </w:tc>
        <w:tc>
          <w:tcPr>
            <w:tcW w:w="0" w:type="dxa"/>
            <w:vAlign w:val="bottom"/>
          </w:tcPr>
          <w:p>
            <w:pPr>
              <w:spacing w:after="0"/>
              <w:rPr>
                <w:sz w:val="1"/>
                <w:szCs w:val="1"/>
                <w:color w:val="auto"/>
              </w:rPr>
            </w:pPr>
          </w:p>
        </w:tc>
      </w:tr>
      <w:tr>
        <w:trPr>
          <w:trHeight w:val="243"/>
        </w:trPr>
        <w:tc>
          <w:tcPr>
            <w:tcW w:w="7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Performance-based</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Trust fees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33,567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17,759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Westwood mutual funds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Information technology</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22,366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18,231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23,604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9,963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10,487</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5,413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8,363,109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8,383,972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8,270,793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8,455,386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8,503,522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8,539,545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Economic Earnings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12,642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Economic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21" w:right="239" w:bottom="1440" w:gutter="0" w:footer="0" w:header="0"/>
        </w:sectPr>
      </w:pPr>
    </w:p>
    <w:bookmarkStart w:id="8" w:name="page9"/>
    <w:bookmarkEnd w:id="8"/>
    <w:p>
      <w:pPr>
        <w:ind w:right="5380"/>
        <w:spacing w:after="0" w:line="252" w:lineRule="auto"/>
        <w:rPr>
          <w:sz w:val="20"/>
          <w:szCs w:val="20"/>
          <w:color w:val="auto"/>
        </w:rPr>
      </w:pPr>
      <w:r>
        <w:rPr>
          <w:rFonts w:ascii="Times New Roman" w:cs="Times New Roman" w:eastAsia="Times New Roman" w:hAnsi="Times New Roman"/>
          <w:sz w:val="22"/>
          <w:szCs w:val="22"/>
          <w:b w:val="1"/>
          <w:bCs w:val="1"/>
          <w:color w:val="auto"/>
        </w:rPr>
        <w:t>WESTWOOD HOLDINGS GROUP, INC. AND SUBSIDIARIES CONDENSED CONSOLIDATED BALANCE SHEETS (in thousands, except par value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104"/>
        </w:trPr>
        <w:tc>
          <w:tcPr>
            <w:tcW w:w="8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65,781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income taxes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122,071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139,739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$6,689 and $6,462</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181,149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199,183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Compensation and benefits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7"/>
        </w:trPr>
        <w:tc>
          <w:tcPr>
            <w:tcW w:w="8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15,342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dividends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25,039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38,034</w:t>
            </w: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$0.01 par value, authorized 25,000,000 shares, issued 10,340,629 and outstanding 8,975,865</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shares at March 31, 2019; issued 10,182,583 and outstanding 8,904,902 shares at December 31, 2018</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197,598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194,116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at cost - 1,364,764 shares at March 31, 2019; 1,277,681 shares at December 31, 2018</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156,110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161,149</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181,149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199,183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78"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4"/>
          </w:tcPr>
          <w:p>
            <w:pPr>
              <w:jc w:val="right"/>
              <w:ind w:right="399"/>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35"/>
        </w:trPr>
        <w:tc>
          <w:tcPr>
            <w:tcW w:w="83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9"/>
        </w:trPr>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35"/>
        </w:trPr>
        <w:tc>
          <w:tcPr>
            <w:tcW w:w="83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7,978</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Unrealized (gains) losses on trading investments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4,187</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Non-cash lease expense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270</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Gain on sale of operations</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sales of investments- trading securities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2,175</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3,027</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(13,712)</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871</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1,352</w:t>
            </w:r>
          </w:p>
        </w:tc>
      </w:tr>
      <w:tr>
        <w:trPr>
          <w:trHeight w:val="266"/>
        </w:trPr>
        <w:tc>
          <w:tcPr>
            <w:tcW w:w="83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Omaha divestiture</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10,013</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9,714</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treasury stock under employee stock plans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dividends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(7,332)</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currency rate changes on cash</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52,449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54,249</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52,421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51,550</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dividends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7,836</w:t>
            </w:r>
          </w:p>
        </w:tc>
      </w:tr>
      <w:tr>
        <w:trPr>
          <w:trHeight w:val="237"/>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purchase of property and equipment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bl>
    <w:p>
      <w:pPr>
        <w:sectPr>
          <w:pgSz w:w="11900" w:h="16838" w:orient="portrait"/>
          <w:cols w:equalWidth="0" w:num="1">
            <w:col w:w="11420"/>
          </w:cols>
          <w:pgMar w:left="240" w:top="621" w:right="239" w:bottom="1440" w:gutter="0" w:footer="0" w:header="0"/>
        </w:sectPr>
      </w:pPr>
    </w:p>
    <w:bookmarkStart w:id="10" w:name="page11"/>
    <w:bookmarkEnd w:id="10"/>
    <w:p>
      <w:pPr>
        <w:ind w:right="5380"/>
        <w:spacing w:after="0" w:line="252" w:lineRule="auto"/>
        <w:rPr>
          <w:sz w:val="20"/>
          <w:szCs w:val="20"/>
          <w:color w:val="auto"/>
        </w:rPr>
      </w:pPr>
      <w:r>
        <w:rPr>
          <w:rFonts w:ascii="Times New Roman" w:cs="Times New Roman" w:eastAsia="Times New Roman" w:hAnsi="Times New Roman"/>
          <w:sz w:val="22"/>
          <w:szCs w:val="22"/>
          <w:b w:val="1"/>
          <w:bCs w:val="1"/>
          <w:color w:val="auto"/>
        </w:rPr>
        <w:t>WESTWOOD HOLDINGS GROUP, INC. AND SUBSIDIARIES Reconciliation of Net Income to Economic Earnings (in thousands, except per share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7"/>
        </w:trPr>
        <w:tc>
          <w:tcPr>
            <w:tcW w:w="70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07"/>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7,978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Stock based compensation expense</w:t>
            </w: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4,187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4,116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12,642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8,455,386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8,503,522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8,539,545</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EPS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2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2019-12-28T13:55:43Z</dcterms:created>
  <dcterms:modified xsi:type="dcterms:W3CDTF">2019-12-28T13:55:43Z</dcterms:modified>
</cp:coreProperties>
</file>