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6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6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2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262"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270"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5" w:lineRule="exact"/>
        <w:rPr>
          <w:sz w:val="24"/>
          <w:szCs w:val="24"/>
          <w:color w:val="auto"/>
        </w:rPr>
      </w:pPr>
    </w:p>
    <w:tbl>
      <w:tblPr>
        <w:tblLayout w:type="fixed"/>
        <w:tblInd w:w="38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2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3160" w:type="dxa"/>
            <w:vAlign w:val="bottom"/>
            <w:gridSpan w:val="3"/>
          </w:tcPr>
          <w:p>
            <w:pPr>
              <w:ind w:left="600"/>
              <w:spacing w:after="0"/>
              <w:rPr>
                <w:sz w:val="20"/>
                <w:szCs w:val="20"/>
                <w:color w:val="auto"/>
              </w:rPr>
            </w:pPr>
            <w:r>
              <w:rPr>
                <w:rFonts w:ascii="Arial" w:cs="Arial" w:eastAsia="Arial" w:hAnsi="Arial"/>
                <w:sz w:val="18"/>
                <w:szCs w:val="18"/>
                <w:b w:val="1"/>
                <w:bCs w:val="1"/>
                <w:color w:val="auto"/>
                <w:w w:val="90"/>
              </w:rPr>
              <w:t>Commission file number 1-31234</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26"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WESTWOOD HOLDINGS GROUP,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64"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7000" w:type="dxa"/>
            <w:vAlign w:val="bottom"/>
          </w:tcPr>
          <w:p>
            <w:pPr>
              <w:jc w:val="center"/>
              <w:ind w:right="3015"/>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right"/>
              <w:ind w:right="594"/>
              <w:spacing w:after="0"/>
              <w:rPr>
                <w:sz w:val="20"/>
                <w:szCs w:val="20"/>
                <w:color w:val="auto"/>
              </w:rPr>
            </w:pPr>
            <w:r>
              <w:rPr>
                <w:rFonts w:ascii="Arial" w:cs="Arial" w:eastAsia="Arial" w:hAnsi="Arial"/>
                <w:sz w:val="18"/>
                <w:szCs w:val="18"/>
                <w:b w:val="1"/>
                <w:bCs w:val="1"/>
                <w:color w:val="auto"/>
              </w:rPr>
              <w:t>75-2969997</w:t>
            </w:r>
          </w:p>
        </w:tc>
      </w:tr>
      <w:tr>
        <w:trPr>
          <w:trHeight w:val="251"/>
        </w:trPr>
        <w:tc>
          <w:tcPr>
            <w:tcW w:w="7000" w:type="dxa"/>
            <w:vAlign w:val="bottom"/>
          </w:tcPr>
          <w:p>
            <w:pPr>
              <w:jc w:val="center"/>
              <w:ind w:right="3035"/>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440" w:type="dxa"/>
            <w:vAlign w:val="bottom"/>
          </w:tcPr>
          <w:p>
            <w:pPr>
              <w:jc w:val="center"/>
              <w:ind w:left="134"/>
              <w:spacing w:after="0"/>
              <w:rPr>
                <w:sz w:val="20"/>
                <w:szCs w:val="20"/>
                <w:color w:val="auto"/>
              </w:rPr>
            </w:pPr>
            <w:r>
              <w:rPr>
                <w:rFonts w:ascii="Arial" w:cs="Arial" w:eastAsia="Arial" w:hAnsi="Arial"/>
                <w:sz w:val="16"/>
                <w:szCs w:val="16"/>
                <w:color w:val="auto"/>
                <w:w w:val="95"/>
              </w:rPr>
              <w:t>(IRS Employer Identification No.)</w:t>
            </w:r>
          </w:p>
        </w:tc>
      </w:tr>
      <w:tr>
        <w:trPr>
          <w:trHeight w:val="568"/>
        </w:trPr>
        <w:tc>
          <w:tcPr>
            <w:tcW w:w="7000" w:type="dxa"/>
            <w:vAlign w:val="bottom"/>
          </w:tcPr>
          <w:p>
            <w:pPr>
              <w:jc w:val="center"/>
              <w:ind w:right="3035"/>
              <w:spacing w:after="0"/>
              <w:rPr>
                <w:sz w:val="20"/>
                <w:szCs w:val="20"/>
                <w:color w:val="auto"/>
              </w:rPr>
            </w:pPr>
            <w:r>
              <w:rPr>
                <w:rFonts w:ascii="Arial" w:cs="Arial" w:eastAsia="Arial" w:hAnsi="Arial"/>
                <w:sz w:val="18"/>
                <w:szCs w:val="18"/>
                <w:b w:val="1"/>
                <w:bCs w:val="1"/>
                <w:color w:val="auto"/>
                <w:w w:val="96"/>
              </w:rPr>
              <w:t>200 CRESCENT COURT, SUITE 1200</w:t>
            </w:r>
          </w:p>
        </w:tc>
        <w:tc>
          <w:tcPr>
            <w:tcW w:w="2440" w:type="dxa"/>
            <w:vAlign w:val="bottom"/>
          </w:tcPr>
          <w:p>
            <w:pPr>
              <w:spacing w:after="0"/>
              <w:rPr>
                <w:sz w:val="24"/>
                <w:szCs w:val="24"/>
                <w:color w:val="auto"/>
              </w:rPr>
            </w:pPr>
          </w:p>
        </w:tc>
      </w:tr>
      <w:tr>
        <w:trPr>
          <w:trHeight w:val="248"/>
        </w:trPr>
        <w:tc>
          <w:tcPr>
            <w:tcW w:w="7000" w:type="dxa"/>
            <w:vAlign w:val="bottom"/>
          </w:tcPr>
          <w:p>
            <w:pPr>
              <w:jc w:val="center"/>
              <w:ind w:right="3015"/>
              <w:spacing w:after="0"/>
              <w:rPr>
                <w:sz w:val="20"/>
                <w:szCs w:val="20"/>
                <w:color w:val="auto"/>
              </w:rPr>
            </w:pPr>
            <w:r>
              <w:rPr>
                <w:rFonts w:ascii="Arial" w:cs="Arial" w:eastAsia="Arial" w:hAnsi="Arial"/>
                <w:sz w:val="18"/>
                <w:szCs w:val="18"/>
                <w:b w:val="1"/>
                <w:bCs w:val="1"/>
                <w:color w:val="auto"/>
                <w:w w:val="99"/>
              </w:rPr>
              <w:t>DALLAS, TEXAS</w:t>
            </w:r>
          </w:p>
        </w:tc>
        <w:tc>
          <w:tcPr>
            <w:tcW w:w="2440" w:type="dxa"/>
            <w:vAlign w:val="bottom"/>
          </w:tcPr>
          <w:p>
            <w:pPr>
              <w:jc w:val="right"/>
              <w:ind w:right="794"/>
              <w:spacing w:after="0"/>
              <w:rPr>
                <w:sz w:val="20"/>
                <w:szCs w:val="20"/>
                <w:color w:val="auto"/>
              </w:rPr>
            </w:pPr>
            <w:r>
              <w:rPr>
                <w:rFonts w:ascii="Arial" w:cs="Arial" w:eastAsia="Arial" w:hAnsi="Arial"/>
                <w:sz w:val="18"/>
                <w:szCs w:val="18"/>
                <w:b w:val="1"/>
                <w:bCs w:val="1"/>
                <w:color w:val="auto"/>
              </w:rPr>
              <w:t>75201</w:t>
            </w:r>
          </w:p>
        </w:tc>
      </w:tr>
      <w:tr>
        <w:trPr>
          <w:trHeight w:val="251"/>
        </w:trPr>
        <w:tc>
          <w:tcPr>
            <w:tcW w:w="7000" w:type="dxa"/>
            <w:vAlign w:val="bottom"/>
          </w:tcPr>
          <w:p>
            <w:pPr>
              <w:jc w:val="center"/>
              <w:ind w:right="3035"/>
              <w:spacing w:after="0"/>
              <w:rPr>
                <w:sz w:val="20"/>
                <w:szCs w:val="20"/>
                <w:color w:val="auto"/>
              </w:rPr>
            </w:pPr>
            <w:r>
              <w:rPr>
                <w:rFonts w:ascii="Arial" w:cs="Arial" w:eastAsia="Arial" w:hAnsi="Arial"/>
                <w:sz w:val="16"/>
                <w:szCs w:val="16"/>
                <w:color w:val="auto"/>
                <w:w w:val="94"/>
              </w:rPr>
              <w:t>(Address of principal executive office)</w:t>
            </w:r>
          </w:p>
        </w:tc>
        <w:tc>
          <w:tcPr>
            <w:tcW w:w="2440" w:type="dxa"/>
            <w:vAlign w:val="bottom"/>
          </w:tcPr>
          <w:p>
            <w:pPr>
              <w:jc w:val="center"/>
              <w:ind w:left="134"/>
              <w:spacing w:after="0"/>
              <w:rPr>
                <w:sz w:val="20"/>
                <w:szCs w:val="20"/>
                <w:color w:val="auto"/>
              </w:rPr>
            </w:pPr>
            <w:r>
              <w:rPr>
                <w:rFonts w:ascii="Arial" w:cs="Arial" w:eastAsia="Arial" w:hAnsi="Arial"/>
                <w:sz w:val="16"/>
                <w:szCs w:val="16"/>
                <w:color w:val="auto"/>
                <w:w w:val="92"/>
              </w:rPr>
              <w:t>(Zip Code)</w:t>
            </w:r>
          </w:p>
        </w:tc>
      </w:tr>
      <w:tr>
        <w:trPr>
          <w:trHeight w:val="361"/>
        </w:trPr>
        <w:tc>
          <w:tcPr>
            <w:tcW w:w="7000" w:type="dxa"/>
            <w:vAlign w:val="bottom"/>
          </w:tcPr>
          <w:p>
            <w:pPr>
              <w:jc w:val="right"/>
              <w:ind w:right="1335"/>
              <w:spacing w:after="0"/>
              <w:rPr>
                <w:sz w:val="20"/>
                <w:szCs w:val="20"/>
                <w:color w:val="auto"/>
              </w:rPr>
            </w:pPr>
            <w:r>
              <w:rPr>
                <w:rFonts w:ascii="Arial" w:cs="Arial" w:eastAsia="Arial" w:hAnsi="Arial"/>
                <w:sz w:val="16"/>
                <w:szCs w:val="16"/>
                <w:b w:val="1"/>
                <w:bCs w:val="1"/>
                <w:color w:val="auto"/>
              </w:rPr>
              <w:t>(214) 756-6900</w:t>
            </w:r>
          </w:p>
        </w:tc>
        <w:tc>
          <w:tcPr>
            <w:tcW w:w="2440" w:type="dxa"/>
            <w:vAlign w:val="bottom"/>
          </w:tcPr>
          <w:p>
            <w:pPr>
              <w:spacing w:after="0"/>
              <w:rPr>
                <w:sz w:val="24"/>
                <w:szCs w:val="24"/>
                <w:color w:val="auto"/>
              </w:rPr>
            </w:pPr>
          </w:p>
        </w:tc>
      </w:tr>
      <w:tr>
        <w:trPr>
          <w:trHeight w:val="201"/>
        </w:trPr>
        <w:tc>
          <w:tcPr>
            <w:tcW w:w="7000" w:type="dxa"/>
            <w:vAlign w:val="bottom"/>
          </w:tcPr>
          <w:p>
            <w:pPr>
              <w:jc w:val="center"/>
              <w:ind w:left="3075"/>
              <w:spacing w:after="0"/>
              <w:rPr>
                <w:sz w:val="20"/>
                <w:szCs w:val="20"/>
                <w:color w:val="auto"/>
              </w:rPr>
            </w:pPr>
            <w:r>
              <w:rPr>
                <w:rFonts w:ascii="Arial" w:cs="Arial" w:eastAsia="Arial" w:hAnsi="Arial"/>
                <w:sz w:val="16"/>
                <w:szCs w:val="16"/>
                <w:color w:val="auto"/>
                <w:w w:val="91"/>
              </w:rPr>
              <w:t>(Registrant’s telephone number, including area code)</w:t>
            </w:r>
          </w:p>
        </w:tc>
        <w:tc>
          <w:tcPr>
            <w:tcW w:w="2440" w:type="dxa"/>
            <w:vAlign w:val="bottom"/>
          </w:tcPr>
          <w:p>
            <w:pPr>
              <w:spacing w:after="0"/>
              <w:rPr>
                <w:sz w:val="17"/>
                <w:szCs w:val="17"/>
                <w:color w:val="auto"/>
              </w:rPr>
            </w:pPr>
          </w:p>
        </w:tc>
      </w:tr>
    </w:tbl>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3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22" w:lineRule="exact"/>
        <w:rPr>
          <w:sz w:val="24"/>
          <w:szCs w:val="24"/>
          <w:color w:val="auto"/>
        </w:rPr>
      </w:pPr>
    </w:p>
    <w:tbl>
      <w:tblPr>
        <w:tblLayout w:type="fixed"/>
        <w:tblInd w:w="620" w:type="dxa"/>
        <w:tblCellMar>
          <w:top w:w="0" w:type="dxa"/>
          <w:left w:w="0" w:type="dxa"/>
          <w:bottom w:w="0" w:type="dxa"/>
          <w:right w:w="0" w:type="dxa"/>
        </w:tblCellMar>
      </w:tblPr>
      <w:tr>
        <w:trPr>
          <w:trHeight w:val="206"/>
        </w:trPr>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900" w:type="dxa"/>
            <w:vAlign w:val="bottom"/>
            <w:gridSpan w:val="3"/>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340" w:type="dxa"/>
            <w:vAlign w:val="bottom"/>
          </w:tcPr>
          <w:p>
            <w:pPr>
              <w:spacing w:after="0"/>
              <w:rPr>
                <w:sz w:val="17"/>
                <w:szCs w:val="17"/>
                <w:color w:val="auto"/>
              </w:rPr>
            </w:pPr>
          </w:p>
        </w:tc>
      </w:tr>
      <w:tr>
        <w:trPr>
          <w:trHeight w:val="438"/>
        </w:trPr>
        <w:tc>
          <w:tcPr>
            <w:tcW w:w="820" w:type="dxa"/>
            <w:vAlign w:val="bottom"/>
          </w:tcPr>
          <w:p>
            <w:pPr>
              <w:spacing w:after="0"/>
              <w:rPr>
                <w:sz w:val="24"/>
                <w:szCs w:val="24"/>
                <w:color w:val="auto"/>
              </w:rPr>
            </w:pPr>
          </w:p>
        </w:tc>
        <w:tc>
          <w:tcPr>
            <w:tcW w:w="2300" w:type="dxa"/>
            <w:vAlign w:val="bottom"/>
            <w:gridSpan w:val="2"/>
          </w:tcPr>
          <w:p>
            <w:pPr>
              <w:jc w:val="center"/>
              <w:ind w:right="940"/>
              <w:spacing w:after="0"/>
              <w:rPr>
                <w:sz w:val="20"/>
                <w:szCs w:val="20"/>
                <w:color w:val="auto"/>
              </w:rPr>
            </w:pPr>
            <w:r>
              <w:rPr>
                <w:rFonts w:ascii="Arial" w:cs="Arial" w:eastAsia="Arial" w:hAnsi="Arial"/>
                <w:sz w:val="18"/>
                <w:szCs w:val="18"/>
                <w:color w:val="auto"/>
                <w:w w:val="90"/>
              </w:rPr>
              <w:t>Title of Each Class</w:t>
            </w:r>
          </w:p>
        </w:tc>
        <w:tc>
          <w:tcPr>
            <w:tcW w:w="3900" w:type="dxa"/>
            <w:vAlign w:val="bottom"/>
            <w:gridSpan w:val="3"/>
          </w:tcPr>
          <w:p>
            <w:pPr>
              <w:jc w:val="center"/>
              <w:spacing w:after="0"/>
              <w:rPr>
                <w:sz w:val="20"/>
                <w:szCs w:val="20"/>
                <w:color w:val="auto"/>
              </w:rPr>
            </w:pPr>
            <w:r>
              <w:rPr>
                <w:rFonts w:ascii="Arial" w:cs="Arial" w:eastAsia="Arial" w:hAnsi="Arial"/>
                <w:sz w:val="18"/>
                <w:szCs w:val="18"/>
                <w:color w:val="auto"/>
                <w:w w:val="92"/>
              </w:rPr>
              <w:t>Trading Symbol(s)</w:t>
            </w:r>
          </w:p>
        </w:tc>
        <w:tc>
          <w:tcPr>
            <w:tcW w:w="33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12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Common stock, par value $0.01 per share</w:t>
            </w:r>
          </w:p>
        </w:tc>
        <w:tc>
          <w:tcPr>
            <w:tcW w:w="1300" w:type="dxa"/>
            <w:vAlign w:val="bottom"/>
          </w:tcPr>
          <w:p>
            <w:pPr>
              <w:spacing w:after="0"/>
              <w:rPr>
                <w:sz w:val="24"/>
                <w:szCs w:val="24"/>
                <w:color w:val="auto"/>
              </w:rPr>
            </w:pPr>
          </w:p>
        </w:tc>
        <w:tc>
          <w:tcPr>
            <w:tcW w:w="2600" w:type="dxa"/>
            <w:vAlign w:val="bottom"/>
            <w:gridSpan w:val="2"/>
          </w:tcPr>
          <w:p>
            <w:pPr>
              <w:jc w:val="center"/>
              <w:ind w:right="1240"/>
              <w:spacing w:after="0"/>
              <w:rPr>
                <w:sz w:val="20"/>
                <w:szCs w:val="20"/>
                <w:color w:val="auto"/>
              </w:rPr>
            </w:pPr>
            <w:r>
              <w:rPr>
                <w:rFonts w:ascii="Arial" w:cs="Arial" w:eastAsia="Arial" w:hAnsi="Arial"/>
                <w:sz w:val="18"/>
                <w:szCs w:val="18"/>
                <w:color w:val="auto"/>
                <w:w w:val="99"/>
              </w:rPr>
              <w:t>WHG</w:t>
            </w: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25"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tabs>
          <w:tab w:leader="none" w:pos="540" w:val="left"/>
        </w:tabs>
        <w:rPr>
          <w:sz w:val="20"/>
          <w:szCs w:val="20"/>
          <w:color w:val="auto"/>
        </w:rPr>
      </w:pPr>
      <w:r>
        <w:rPr>
          <w:rFonts w:ascii="Arial" w:cs="Arial" w:eastAsia="Arial" w:hAnsi="Arial"/>
          <w:sz w:val="16"/>
          <w:szCs w:val="16"/>
          <w:color w:val="auto"/>
        </w:rPr>
        <w:t>Yes x</w:t>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20" w:lineRule="exact"/>
        <w:rPr>
          <w:sz w:val="24"/>
          <w:szCs w:val="24"/>
          <w:color w:val="auto"/>
        </w:rPr>
      </w:pPr>
    </w:p>
    <w:p>
      <w:pPr>
        <w:ind w:right="100"/>
        <w:spacing w:after="0" w:line="31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60" w:type="dxa"/>
            <w:vAlign w:val="bottom"/>
          </w:tcPr>
          <w:p>
            <w:pPr>
              <w:ind w:left="180"/>
              <w:spacing w:after="0"/>
              <w:rPr>
                <w:sz w:val="20"/>
                <w:szCs w:val="20"/>
                <w:color w:val="auto"/>
              </w:rPr>
            </w:pPr>
            <w:r>
              <w:rPr>
                <w:rFonts w:ascii="Arial" w:cs="Arial" w:eastAsia="Arial" w:hAnsi="Arial"/>
                <w:sz w:val="16"/>
                <w:szCs w:val="16"/>
                <w:color w:val="auto"/>
              </w:rPr>
              <w:t>Large accelerated filer</w:t>
            </w:r>
          </w:p>
        </w:tc>
        <w:tc>
          <w:tcPr>
            <w:tcW w:w="562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2980" w:type="dxa"/>
            <w:vAlign w:val="bottom"/>
          </w:tcPr>
          <w:p>
            <w:pPr>
              <w:ind w:left="1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92"/>
        </w:trPr>
        <w:tc>
          <w:tcPr>
            <w:tcW w:w="2060" w:type="dxa"/>
            <w:vAlign w:val="bottom"/>
          </w:tcPr>
          <w:p>
            <w:pPr>
              <w:ind w:left="180"/>
              <w:spacing w:after="0"/>
              <w:rPr>
                <w:sz w:val="20"/>
                <w:szCs w:val="20"/>
                <w:color w:val="auto"/>
              </w:rPr>
            </w:pPr>
            <w:r>
              <w:rPr>
                <w:rFonts w:ascii="Arial" w:cs="Arial" w:eastAsia="Arial" w:hAnsi="Arial"/>
                <w:sz w:val="16"/>
                <w:szCs w:val="16"/>
                <w:color w:val="auto"/>
              </w:rPr>
              <w:t>Non-accelerated filer</w:t>
            </w:r>
          </w:p>
        </w:tc>
        <w:tc>
          <w:tcPr>
            <w:tcW w:w="56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980" w:type="dxa"/>
            <w:vAlign w:val="bottom"/>
          </w:tcPr>
          <w:p>
            <w:pPr>
              <w:ind w:left="1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378"/>
        </w:trPr>
        <w:tc>
          <w:tcPr>
            <w:tcW w:w="20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980" w:type="dxa"/>
            <w:vAlign w:val="bottom"/>
            <w:vMerge w:val="restart"/>
          </w:tcPr>
          <w:p>
            <w:pPr>
              <w:ind w:left="18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85"/>
        </w:trPr>
        <w:tc>
          <w:tcPr>
            <w:tcW w:w="206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29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0660" w:type="dxa"/>
            <w:vAlign w:val="bottom"/>
            <w:gridSpan w:val="3"/>
          </w:tcPr>
          <w:p>
            <w:pPr>
              <w:ind w:left="180"/>
              <w:spacing w:after="0"/>
              <w:rPr>
                <w:sz w:val="20"/>
                <w:szCs w:val="20"/>
                <w:color w:val="auto"/>
              </w:rPr>
            </w:pPr>
            <w:r>
              <w:rPr>
                <w:rFonts w:ascii="Arial" w:cs="Arial" w:eastAsia="Arial" w:hAnsi="Arial"/>
                <w:sz w:val="16"/>
                <w:szCs w:val="16"/>
                <w:color w:val="auto"/>
                <w:w w:val="95"/>
              </w:rPr>
              <w:t>If an emerging growth company, indicate by check mark if the registrant has elected not to use the extended transition period for complying with any new or</w:t>
            </w:r>
          </w:p>
        </w:tc>
        <w:tc>
          <w:tcPr>
            <w:tcW w:w="460" w:type="dxa"/>
            <w:vAlign w:val="bottom"/>
            <w:vMerge w:val="restart"/>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7680" w:type="dxa"/>
            <w:vAlign w:val="bottom"/>
            <w:gridSpan w:val="2"/>
          </w:tcPr>
          <w:p>
            <w:pPr>
              <w:ind w:left="180"/>
              <w:spacing w:after="0"/>
              <w:rPr>
                <w:sz w:val="20"/>
                <w:szCs w:val="20"/>
                <w:color w:val="auto"/>
              </w:rPr>
            </w:pPr>
            <w:r>
              <w:rPr>
                <w:rFonts w:ascii="Arial" w:cs="Arial" w:eastAsia="Arial" w:hAnsi="Arial"/>
                <w:sz w:val="16"/>
                <w:szCs w:val="16"/>
                <w:color w:val="auto"/>
              </w:rPr>
              <w:t>revised accounting standards provided pursuant to Section 13(a) of the Exchange Act.</w:t>
            </w:r>
          </w:p>
        </w:tc>
        <w:tc>
          <w:tcPr>
            <w:tcW w:w="298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680" w:type="dxa"/>
            <w:vAlign w:val="bottom"/>
            <w:gridSpan w:val="2"/>
          </w:tcPr>
          <w:p>
            <w:pPr>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 Yes</w:t>
            </w:r>
          </w:p>
        </w:tc>
        <w:tc>
          <w:tcPr>
            <w:tcW w:w="2980" w:type="dxa"/>
            <w:vAlign w:val="bottom"/>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Shares of common stock, par value $0.01 per share, outstanding as of July 26, 2019: 8,944,733.</w:t>
      </w:r>
    </w:p>
    <w:p>
      <w:pPr>
        <w:spacing w:after="0" w:line="17"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ectPr>
          <w:pgSz w:w="11900" w:h="16838" w:orient="portrait"/>
          <w:cols w:equalWidth="0" w:num="1">
            <w:col w:w="11240"/>
          </w:cols>
          <w:pgMar w:left="240" w:top="233" w:right="4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WESTWOOD HOLDINGS GROUP,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040" w:type="dxa"/>
            <w:vAlign w:val="bottom"/>
            <w:gridSpan w:val="2"/>
          </w:tcPr>
          <w:p>
            <w:pPr>
              <w:spacing w:after="0"/>
              <w:rPr>
                <w:sz w:val="20"/>
                <w:szCs w:val="20"/>
                <w:color w:val="auto"/>
              </w:rPr>
            </w:pPr>
            <w:r>
              <w:rPr>
                <w:rFonts w:ascii="Arial" w:cs="Arial" w:eastAsia="Arial" w:hAnsi="Arial"/>
                <w:sz w:val="16"/>
                <w:szCs w:val="16"/>
                <w:color w:val="auto"/>
              </w:rPr>
              <w:t>PART I</w:t>
            </w:r>
          </w:p>
        </w:tc>
        <w:tc>
          <w:tcPr>
            <w:tcW w:w="8920" w:type="dxa"/>
            <w:vAlign w:val="bottom"/>
            <w:gridSpan w:val="14"/>
          </w:tcPr>
          <w:p>
            <w:pPr>
              <w:spacing w:after="0"/>
              <w:rPr>
                <w:sz w:val="20"/>
                <w:szCs w:val="20"/>
                <w:color w:val="auto"/>
              </w:rPr>
            </w:pPr>
            <w:r>
              <w:rPr>
                <w:rFonts w:ascii="Arial" w:cs="Arial" w:eastAsia="Arial" w:hAnsi="Arial"/>
                <w:sz w:val="16"/>
                <w:szCs w:val="16"/>
                <w:color w:val="auto"/>
              </w:rPr>
              <w:t>FINANCIAL INFORMATION</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PAGE</w:t>
            </w:r>
          </w:p>
        </w:tc>
      </w:tr>
      <w:tr>
        <w:trPr>
          <w:trHeight w:val="432"/>
        </w:trPr>
        <w:tc>
          <w:tcPr>
            <w:tcW w:w="10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8920" w:type="dxa"/>
            <w:vAlign w:val="bottom"/>
            <w:gridSpan w:val="14"/>
          </w:tcPr>
          <w:p>
            <w:pPr>
              <w:spacing w:after="0"/>
              <w:rPr>
                <w:sz w:val="20"/>
                <w:szCs w:val="20"/>
                <w:color w:val="auto"/>
              </w:rPr>
            </w:pPr>
            <w:r>
              <w:rPr>
                <w:rFonts w:ascii="Arial" w:cs="Arial" w:eastAsia="Arial" w:hAnsi="Arial"/>
                <w:sz w:val="16"/>
                <w:szCs w:val="16"/>
                <w:color w:val="auto"/>
              </w:rPr>
              <w:t>Financial Statements</w:t>
            </w:r>
          </w:p>
        </w:tc>
        <w:tc>
          <w:tcPr>
            <w:tcW w:w="1400" w:type="dxa"/>
            <w:vAlign w:val="bottom"/>
          </w:tcPr>
          <w:p>
            <w:pPr>
              <w:spacing w:after="0"/>
              <w:rPr>
                <w:sz w:val="24"/>
                <w:szCs w:val="24"/>
                <w:color w:val="auto"/>
              </w:rPr>
            </w:pPr>
          </w:p>
        </w:tc>
      </w:tr>
      <w:tr>
        <w:trPr>
          <w:trHeight w:val="398"/>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20" w:type="dxa"/>
            <w:vAlign w:val="bottom"/>
            <w:gridSpan w:val="14"/>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Consolidated Balance Sheets as of June 30, 2019 and December 31, 2018</w:t>
              </w:r>
            </w:hyperlink>
          </w:p>
        </w:tc>
        <w:tc>
          <w:tcPr>
            <w:tcW w:w="1400" w:type="dxa"/>
            <w:vAlign w:val="bottom"/>
          </w:tcPr>
          <w:p>
            <w:pPr>
              <w:jc w:val="right"/>
              <w:spacing w:after="0"/>
              <w:rPr>
                <w:rFonts w:ascii="Arial" w:cs="Arial" w:eastAsia="Arial" w:hAnsi="Arial"/>
                <w:sz w:val="16"/>
                <w:szCs w:val="16"/>
                <w:color w:val="auto"/>
              </w:rPr>
            </w:pPr>
            <w:hyperlink w:anchor="page3">
              <w:r>
                <w:rPr>
                  <w:rFonts w:ascii="Arial" w:cs="Arial" w:eastAsia="Arial" w:hAnsi="Arial"/>
                  <w:sz w:val="16"/>
                  <w:szCs w:val="16"/>
                  <w:color w:val="auto"/>
                </w:rPr>
                <w:t>1</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120" w:type="dxa"/>
            <w:vAlign w:val="bottom"/>
            <w:tcBorders>
              <w:bottom w:val="single" w:sz="8" w:color="0000EE"/>
            </w:tcBorders>
            <w:gridSpan w:val="13"/>
          </w:tcPr>
          <w:p>
            <w:pPr>
              <w:spacing w:after="0"/>
              <w:rPr>
                <w:rFonts w:ascii="Arial" w:cs="Arial" w:eastAsia="Arial" w:hAnsi="Arial"/>
                <w:sz w:val="16"/>
                <w:szCs w:val="16"/>
                <w:color w:val="0000EE"/>
                <w:w w:val="90"/>
              </w:rPr>
            </w:pPr>
            <w:hyperlink w:anchor="page4">
              <w:r>
                <w:rPr>
                  <w:rFonts w:ascii="Arial" w:cs="Arial" w:eastAsia="Arial" w:hAnsi="Arial"/>
                  <w:sz w:val="16"/>
                  <w:szCs w:val="16"/>
                  <w:color w:val="0000EE"/>
                  <w:w w:val="90"/>
                </w:rPr>
                <w:t>Condensed Consolidated Statements of Comprehensive Income for the Three and Six Months Ended June 30, 2019 and 2018</w:t>
              </w:r>
            </w:hyperlink>
          </w:p>
        </w:tc>
        <w:tc>
          <w:tcPr>
            <w:tcW w:w="800" w:type="dxa"/>
            <w:vAlign w:val="bottom"/>
          </w:tcPr>
          <w:p>
            <w:pPr>
              <w:spacing w:after="0"/>
              <w:rPr>
                <w:sz w:val="24"/>
                <w:szCs w:val="24"/>
                <w:color w:val="auto"/>
              </w:rPr>
            </w:pPr>
          </w:p>
        </w:tc>
        <w:tc>
          <w:tcPr>
            <w:tcW w:w="1400" w:type="dxa"/>
            <w:vAlign w:val="bottom"/>
          </w:tcPr>
          <w:p>
            <w:pPr>
              <w:jc w:val="right"/>
              <w:spacing w:after="0"/>
              <w:rPr>
                <w:rFonts w:ascii="Arial" w:cs="Arial" w:eastAsia="Arial" w:hAnsi="Arial"/>
                <w:sz w:val="16"/>
                <w:szCs w:val="16"/>
                <w:color w:val="auto"/>
              </w:rPr>
            </w:pPr>
            <w:hyperlink w:anchor="page4">
              <w:r>
                <w:rPr>
                  <w:rFonts w:ascii="Arial" w:cs="Arial" w:eastAsia="Arial" w:hAnsi="Arial"/>
                  <w:sz w:val="16"/>
                  <w:szCs w:val="16"/>
                  <w:color w:val="auto"/>
                </w:rPr>
                <w:t>2</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20" w:type="dxa"/>
            <w:vAlign w:val="bottom"/>
            <w:gridSpan w:val="14"/>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 of Stockholders’ Equity for the Three and Six Months Ended June 30, 2019 and 2018</w:t>
              </w:r>
            </w:hyperlink>
          </w:p>
        </w:tc>
        <w:tc>
          <w:tcPr>
            <w:tcW w:w="1400" w:type="dxa"/>
            <w:vAlign w:val="bottom"/>
          </w:tcPr>
          <w:p>
            <w:pPr>
              <w:jc w:val="right"/>
              <w:spacing w:after="0"/>
              <w:rPr>
                <w:rFonts w:ascii="Arial" w:cs="Arial" w:eastAsia="Arial" w:hAnsi="Arial"/>
                <w:sz w:val="16"/>
                <w:szCs w:val="16"/>
                <w:color w:val="auto"/>
              </w:rPr>
            </w:pPr>
            <w:hyperlink w:anchor="page5">
              <w:r>
                <w:rPr>
                  <w:rFonts w:ascii="Arial" w:cs="Arial" w:eastAsia="Arial" w:hAnsi="Arial"/>
                  <w:sz w:val="16"/>
                  <w:szCs w:val="16"/>
                  <w:color w:val="auto"/>
                </w:rPr>
                <w:t>3</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40" w:type="dxa"/>
            <w:vAlign w:val="bottom"/>
            <w:tcBorders>
              <w:top w:val="single" w:sz="8" w:color="0000EE"/>
              <w:bottom w:val="single" w:sz="8" w:color="0000EE"/>
            </w:tcBorders>
            <w:gridSpan w:val="11"/>
          </w:tcPr>
          <w:p>
            <w:pPr>
              <w:spacing w:after="0"/>
              <w:rPr>
                <w:rFonts w:ascii="Arial" w:cs="Arial" w:eastAsia="Arial" w:hAnsi="Arial"/>
                <w:sz w:val="16"/>
                <w:szCs w:val="16"/>
                <w:color w:val="0000EE"/>
                <w:w w:val="90"/>
              </w:rPr>
            </w:pPr>
            <w:hyperlink w:anchor="page7">
              <w:r>
                <w:rPr>
                  <w:rFonts w:ascii="Arial" w:cs="Arial" w:eastAsia="Arial" w:hAnsi="Arial"/>
                  <w:sz w:val="16"/>
                  <w:szCs w:val="16"/>
                  <w:color w:val="0000EE"/>
                  <w:w w:val="90"/>
                </w:rPr>
                <w:t>Condensed Consolidated Statements of Cash Flows for the Six Months Ended June 30, 2019 and 2018</w:t>
              </w:r>
            </w:hyperlink>
          </w:p>
        </w:tc>
        <w:tc>
          <w:tcPr>
            <w:tcW w:w="1240" w:type="dxa"/>
            <w:vAlign w:val="bottom"/>
            <w:tcBorders>
              <w:top w:val="single" w:sz="8" w:color="0000EE"/>
            </w:tcBorders>
          </w:tcPr>
          <w:p>
            <w:pPr>
              <w:spacing w:after="0"/>
              <w:rPr>
                <w:sz w:val="24"/>
                <w:szCs w:val="24"/>
                <w:color w:val="auto"/>
              </w:rPr>
            </w:pPr>
          </w:p>
        </w:tc>
        <w:tc>
          <w:tcPr>
            <w:tcW w:w="1040" w:type="dxa"/>
            <w:vAlign w:val="bottom"/>
            <w:gridSpan w:val="2"/>
          </w:tcPr>
          <w:p>
            <w:pPr>
              <w:spacing w:after="0"/>
              <w:rPr>
                <w:sz w:val="24"/>
                <w:szCs w:val="24"/>
                <w:color w:val="auto"/>
              </w:rPr>
            </w:pPr>
          </w:p>
        </w:tc>
        <w:tc>
          <w:tcPr>
            <w:tcW w:w="1400" w:type="dxa"/>
            <w:vAlign w:val="bottom"/>
          </w:tcPr>
          <w:p>
            <w:pPr>
              <w:jc w:val="right"/>
              <w:spacing w:after="0"/>
              <w:rPr>
                <w:rFonts w:ascii="Arial" w:cs="Arial" w:eastAsia="Arial" w:hAnsi="Arial"/>
                <w:sz w:val="16"/>
                <w:szCs w:val="16"/>
                <w:color w:val="auto"/>
              </w:rPr>
            </w:pPr>
            <w:hyperlink w:anchor="page7">
              <w:r>
                <w:rPr>
                  <w:rFonts w:ascii="Arial" w:cs="Arial" w:eastAsia="Arial" w:hAnsi="Arial"/>
                  <w:sz w:val="16"/>
                  <w:szCs w:val="16"/>
                  <w:color w:val="auto"/>
                </w:rPr>
                <w:t>5</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Borders>
              <w:bottom w:val="single" w:sz="8" w:color="0000EE"/>
            </w:tcBorders>
            <w:gridSpan w:val="6"/>
          </w:tcPr>
          <w:p>
            <w:pPr>
              <w:spacing w:after="0"/>
              <w:rPr>
                <w:rFonts w:ascii="Arial" w:cs="Arial" w:eastAsia="Arial" w:hAnsi="Arial"/>
                <w:sz w:val="16"/>
                <w:szCs w:val="16"/>
                <w:color w:val="0000EE"/>
                <w:w w:val="90"/>
              </w:rPr>
            </w:pPr>
            <w:hyperlink w:anchor="page8">
              <w:r>
                <w:rPr>
                  <w:rFonts w:ascii="Arial" w:cs="Arial" w:eastAsia="Arial" w:hAnsi="Arial"/>
                  <w:sz w:val="16"/>
                  <w:szCs w:val="16"/>
                  <w:color w:val="0000EE"/>
                  <w:w w:val="90"/>
                </w:rPr>
                <w:t>Notes to Condensed Consolidated Financial Statements</w:t>
              </w:r>
            </w:hyperlink>
          </w:p>
        </w:tc>
        <w:tc>
          <w:tcPr>
            <w:tcW w:w="5320" w:type="dxa"/>
            <w:vAlign w:val="bottom"/>
            <w:gridSpan w:val="8"/>
          </w:tcPr>
          <w:p>
            <w:pPr>
              <w:spacing w:after="0"/>
              <w:rPr>
                <w:sz w:val="24"/>
                <w:szCs w:val="24"/>
                <w:color w:val="auto"/>
              </w:rPr>
            </w:pPr>
          </w:p>
        </w:tc>
        <w:tc>
          <w:tcPr>
            <w:tcW w:w="1400" w:type="dxa"/>
            <w:vAlign w:val="bottom"/>
          </w:tcPr>
          <w:p>
            <w:pPr>
              <w:jc w:val="right"/>
              <w:spacing w:after="0"/>
              <w:rPr>
                <w:rFonts w:ascii="Arial" w:cs="Arial" w:eastAsia="Arial" w:hAnsi="Arial"/>
                <w:sz w:val="16"/>
                <w:szCs w:val="16"/>
                <w:color w:val="auto"/>
              </w:rPr>
            </w:pPr>
            <w:hyperlink w:anchor="page8">
              <w:r>
                <w:rPr>
                  <w:rFonts w:ascii="Arial" w:cs="Arial" w:eastAsia="Arial" w:hAnsi="Arial"/>
                  <w:sz w:val="16"/>
                  <w:szCs w:val="16"/>
                  <w:color w:val="auto"/>
                </w:rPr>
                <w:t>6</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5820" w:type="dxa"/>
            <w:vAlign w:val="bottom"/>
            <w:tcBorders>
              <w:bottom w:val="single" w:sz="8" w:color="0000EE"/>
            </w:tcBorders>
            <w:gridSpan w:val="10"/>
          </w:tcPr>
          <w:p>
            <w:pPr>
              <w:spacing w:after="0"/>
              <w:rPr>
                <w:rFonts w:ascii="Arial" w:cs="Arial" w:eastAsia="Arial" w:hAnsi="Arial"/>
                <w:sz w:val="16"/>
                <w:szCs w:val="16"/>
                <w:color w:val="0000EE"/>
                <w:w w:val="92"/>
              </w:rPr>
            </w:pPr>
            <w:hyperlink w:anchor="page24">
              <w:r>
                <w:rPr>
                  <w:rFonts w:ascii="Arial" w:cs="Arial" w:eastAsia="Arial" w:hAnsi="Arial"/>
                  <w:sz w:val="16"/>
                  <w:szCs w:val="16"/>
                  <w:color w:val="0000EE"/>
                  <w:w w:val="92"/>
                </w:rPr>
                <w:t>Management’s Discussion and Analysis of Financial Condition and Results of Operations</w:t>
              </w:r>
            </w:hyperlink>
          </w:p>
        </w:tc>
        <w:tc>
          <w:tcPr>
            <w:tcW w:w="3100" w:type="dxa"/>
            <w:vAlign w:val="bottom"/>
            <w:gridSpan w:val="4"/>
          </w:tcPr>
          <w:p>
            <w:pPr>
              <w:spacing w:after="0"/>
              <w:rPr>
                <w:sz w:val="24"/>
                <w:szCs w:val="24"/>
                <w:color w:val="auto"/>
              </w:rPr>
            </w:pPr>
          </w:p>
        </w:tc>
        <w:tc>
          <w:tcPr>
            <w:tcW w:w="1400" w:type="dxa"/>
            <w:vAlign w:val="bottom"/>
          </w:tcPr>
          <w:p>
            <w:pPr>
              <w:jc w:val="right"/>
              <w:spacing w:after="0"/>
              <w:rPr>
                <w:rFonts w:ascii="Arial" w:cs="Arial" w:eastAsia="Arial" w:hAnsi="Arial"/>
                <w:sz w:val="16"/>
                <w:szCs w:val="16"/>
                <w:color w:val="auto"/>
              </w:rPr>
            </w:pPr>
            <w:hyperlink w:anchor="page24">
              <w:r>
                <w:rPr>
                  <w:rFonts w:ascii="Arial" w:cs="Arial" w:eastAsia="Arial" w:hAnsi="Arial"/>
                  <w:sz w:val="16"/>
                  <w:szCs w:val="16"/>
                  <w:color w:val="auto"/>
                </w:rPr>
                <w:t>22</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3.</w:t>
            </w:r>
          </w:p>
        </w:tc>
        <w:tc>
          <w:tcPr>
            <w:tcW w:w="3940" w:type="dxa"/>
            <w:vAlign w:val="bottom"/>
            <w:tcBorders>
              <w:bottom w:val="single" w:sz="8" w:color="0000EE"/>
            </w:tcBorders>
            <w:gridSpan w:val="8"/>
          </w:tcPr>
          <w:p>
            <w:pPr>
              <w:spacing w:after="0"/>
              <w:rPr>
                <w:rFonts w:ascii="Arial" w:cs="Arial" w:eastAsia="Arial" w:hAnsi="Arial"/>
                <w:sz w:val="16"/>
                <w:szCs w:val="16"/>
                <w:color w:val="0000EE"/>
                <w:w w:val="93"/>
              </w:rPr>
            </w:pPr>
            <w:hyperlink w:anchor="page33">
              <w:r>
                <w:rPr>
                  <w:rFonts w:ascii="Arial" w:cs="Arial" w:eastAsia="Arial" w:hAnsi="Arial"/>
                  <w:sz w:val="16"/>
                  <w:szCs w:val="16"/>
                  <w:color w:val="0000EE"/>
                  <w:w w:val="93"/>
                </w:rPr>
                <w:t>Quantitative and Qualitative Disclosures About Market Risk</w:t>
              </w:r>
            </w:hyperlink>
          </w:p>
        </w:tc>
        <w:tc>
          <w:tcPr>
            <w:tcW w:w="4980" w:type="dxa"/>
            <w:vAlign w:val="bottom"/>
            <w:gridSpan w:val="6"/>
          </w:tcPr>
          <w:p>
            <w:pPr>
              <w:spacing w:after="0"/>
              <w:rPr>
                <w:sz w:val="24"/>
                <w:szCs w:val="24"/>
                <w:color w:val="auto"/>
              </w:rPr>
            </w:pPr>
          </w:p>
        </w:tc>
        <w:tc>
          <w:tcPr>
            <w:tcW w:w="1400" w:type="dxa"/>
            <w:vAlign w:val="bottom"/>
          </w:tcPr>
          <w:p>
            <w:pPr>
              <w:jc w:val="right"/>
              <w:spacing w:after="0"/>
              <w:rPr>
                <w:rFonts w:ascii="Arial" w:cs="Arial" w:eastAsia="Arial" w:hAnsi="Arial"/>
                <w:sz w:val="16"/>
                <w:szCs w:val="16"/>
                <w:color w:val="auto"/>
              </w:rPr>
            </w:pPr>
            <w:hyperlink w:anchor="page33">
              <w:r>
                <w:rPr>
                  <w:rFonts w:ascii="Arial" w:cs="Arial" w:eastAsia="Arial" w:hAnsi="Arial"/>
                  <w:sz w:val="16"/>
                  <w:szCs w:val="16"/>
                  <w:color w:val="auto"/>
                </w:rPr>
                <w:t>31</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4.</w:t>
            </w:r>
          </w:p>
        </w:tc>
        <w:tc>
          <w:tcPr>
            <w:tcW w:w="8920" w:type="dxa"/>
            <w:vAlign w:val="bottom"/>
            <w:gridSpan w:val="14"/>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Controls and Procedures</w:t>
              </w:r>
            </w:hyperlink>
          </w:p>
        </w:tc>
        <w:tc>
          <w:tcPr>
            <w:tcW w:w="1400" w:type="dxa"/>
            <w:vAlign w:val="bottom"/>
          </w:tcPr>
          <w:p>
            <w:pPr>
              <w:jc w:val="right"/>
              <w:spacing w:after="0"/>
              <w:rPr>
                <w:rFonts w:ascii="Arial" w:cs="Arial" w:eastAsia="Arial" w:hAnsi="Arial"/>
                <w:sz w:val="16"/>
                <w:szCs w:val="16"/>
                <w:color w:val="auto"/>
              </w:rPr>
            </w:pPr>
            <w:hyperlink w:anchor="page33">
              <w:r>
                <w:rPr>
                  <w:rFonts w:ascii="Arial" w:cs="Arial" w:eastAsia="Arial" w:hAnsi="Arial"/>
                  <w:sz w:val="16"/>
                  <w:szCs w:val="16"/>
                  <w:color w:val="auto"/>
                </w:rPr>
                <w:t>31</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PART II</w:t>
            </w:r>
          </w:p>
        </w:tc>
        <w:tc>
          <w:tcPr>
            <w:tcW w:w="1700" w:type="dxa"/>
            <w:vAlign w:val="bottom"/>
            <w:tcBorders>
              <w:bottom w:val="single" w:sz="8" w:color="0000EE"/>
            </w:tcBorders>
            <w:gridSpan w:val="5"/>
          </w:tcPr>
          <w:p>
            <w:pPr>
              <w:spacing w:after="0"/>
              <w:rPr>
                <w:rFonts w:ascii="Arial" w:cs="Arial" w:eastAsia="Arial" w:hAnsi="Arial"/>
                <w:sz w:val="16"/>
                <w:szCs w:val="16"/>
                <w:color w:val="0000EE"/>
                <w:w w:val="97"/>
              </w:rPr>
            </w:pPr>
            <w:hyperlink w:anchor="page34">
              <w:r>
                <w:rPr>
                  <w:rFonts w:ascii="Arial" w:cs="Arial" w:eastAsia="Arial" w:hAnsi="Arial"/>
                  <w:sz w:val="16"/>
                  <w:szCs w:val="16"/>
                  <w:color w:val="0000EE"/>
                  <w:w w:val="97"/>
                </w:rPr>
                <w:t>OTHER INFORMATION</w:t>
              </w:r>
            </w:hyperlink>
          </w:p>
        </w:tc>
        <w:tc>
          <w:tcPr>
            <w:tcW w:w="7220" w:type="dxa"/>
            <w:vAlign w:val="bottom"/>
            <w:gridSpan w:val="9"/>
          </w:tcPr>
          <w:p>
            <w:pPr>
              <w:spacing w:after="0"/>
              <w:rPr>
                <w:sz w:val="24"/>
                <w:szCs w:val="24"/>
                <w:color w:val="auto"/>
              </w:rPr>
            </w:pPr>
          </w:p>
        </w:tc>
        <w:tc>
          <w:tcPr>
            <w:tcW w:w="1400" w:type="dxa"/>
            <w:vAlign w:val="bottom"/>
          </w:tcPr>
          <w:p>
            <w:pPr>
              <w:jc w:val="right"/>
              <w:spacing w:after="0"/>
              <w:rPr>
                <w:rFonts w:ascii="Arial" w:cs="Arial" w:eastAsia="Arial" w:hAnsi="Arial"/>
                <w:sz w:val="16"/>
                <w:szCs w:val="16"/>
                <w:color w:val="auto"/>
              </w:rPr>
            </w:pPr>
            <w:hyperlink w:anchor="page34">
              <w:r>
                <w:rPr>
                  <w:rFonts w:ascii="Arial" w:cs="Arial" w:eastAsia="Arial" w:hAnsi="Arial"/>
                  <w:sz w:val="16"/>
                  <w:szCs w:val="16"/>
                  <w:color w:val="auto"/>
                </w:rPr>
                <w:t>32</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120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34">
              <w:r>
                <w:rPr>
                  <w:rFonts w:ascii="Arial" w:cs="Arial" w:eastAsia="Arial" w:hAnsi="Arial"/>
                  <w:sz w:val="16"/>
                  <w:szCs w:val="16"/>
                  <w:color w:val="0000EE"/>
                  <w:w w:val="89"/>
                </w:rPr>
                <w:t>Legal Proceedings</w:t>
              </w:r>
            </w:hyperlink>
          </w:p>
        </w:tc>
        <w:tc>
          <w:tcPr>
            <w:tcW w:w="7720" w:type="dxa"/>
            <w:vAlign w:val="bottom"/>
            <w:gridSpan w:val="11"/>
          </w:tcPr>
          <w:p>
            <w:pPr>
              <w:spacing w:after="0"/>
              <w:rPr>
                <w:sz w:val="24"/>
                <w:szCs w:val="24"/>
                <w:color w:val="auto"/>
              </w:rPr>
            </w:pPr>
          </w:p>
        </w:tc>
        <w:tc>
          <w:tcPr>
            <w:tcW w:w="1400" w:type="dxa"/>
            <w:vAlign w:val="bottom"/>
          </w:tcPr>
          <w:p>
            <w:pPr>
              <w:jc w:val="right"/>
              <w:spacing w:after="0"/>
              <w:rPr>
                <w:rFonts w:ascii="Arial" w:cs="Arial" w:eastAsia="Arial" w:hAnsi="Arial"/>
                <w:sz w:val="16"/>
                <w:szCs w:val="16"/>
                <w:color w:val="auto"/>
              </w:rPr>
            </w:pPr>
            <w:hyperlink w:anchor="page34">
              <w:r>
                <w:rPr>
                  <w:rFonts w:ascii="Arial" w:cs="Arial" w:eastAsia="Arial" w:hAnsi="Arial"/>
                  <w:sz w:val="16"/>
                  <w:szCs w:val="16"/>
                  <w:color w:val="auto"/>
                </w:rPr>
                <w:t>32</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8920" w:type="dxa"/>
            <w:vAlign w:val="bottom"/>
            <w:gridSpan w:val="14"/>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Risk Factors</w:t>
              </w:r>
            </w:hyperlink>
          </w:p>
        </w:tc>
        <w:tc>
          <w:tcPr>
            <w:tcW w:w="1400" w:type="dxa"/>
            <w:vAlign w:val="bottom"/>
          </w:tcPr>
          <w:p>
            <w:pPr>
              <w:jc w:val="right"/>
              <w:spacing w:after="0"/>
              <w:rPr>
                <w:rFonts w:ascii="Arial" w:cs="Arial" w:eastAsia="Arial" w:hAnsi="Arial"/>
                <w:sz w:val="16"/>
                <w:szCs w:val="16"/>
                <w:color w:val="auto"/>
              </w:rPr>
            </w:pPr>
            <w:hyperlink w:anchor="page34">
              <w:r>
                <w:rPr>
                  <w:rFonts w:ascii="Arial" w:cs="Arial" w:eastAsia="Arial" w:hAnsi="Arial"/>
                  <w:sz w:val="16"/>
                  <w:szCs w:val="16"/>
                  <w:color w:val="auto"/>
                </w:rPr>
                <w:t>32</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3920" w:type="dxa"/>
            <w:vAlign w:val="bottom"/>
            <w:tcBorders>
              <w:bottom w:val="single" w:sz="8" w:color="0000EE"/>
            </w:tcBorders>
            <w:gridSpan w:val="7"/>
          </w:tcPr>
          <w:p>
            <w:pPr>
              <w:spacing w:after="0"/>
              <w:rPr>
                <w:rFonts w:ascii="Arial" w:cs="Arial" w:eastAsia="Arial" w:hAnsi="Arial"/>
                <w:sz w:val="16"/>
                <w:szCs w:val="16"/>
                <w:color w:val="0000EE"/>
                <w:w w:val="90"/>
              </w:rPr>
            </w:pPr>
            <w:hyperlink w:anchor="page34">
              <w:r>
                <w:rPr>
                  <w:rFonts w:ascii="Arial" w:cs="Arial" w:eastAsia="Arial" w:hAnsi="Arial"/>
                  <w:sz w:val="16"/>
                  <w:szCs w:val="16"/>
                  <w:color w:val="0000EE"/>
                  <w:w w:val="90"/>
                </w:rPr>
                <w:t>Unregistered Sales of Equity Securities and Use of Proceeds</w:t>
              </w:r>
            </w:hyperlink>
          </w:p>
        </w:tc>
        <w:tc>
          <w:tcPr>
            <w:tcW w:w="5000" w:type="dxa"/>
            <w:vAlign w:val="bottom"/>
            <w:gridSpan w:val="7"/>
          </w:tcPr>
          <w:p>
            <w:pPr>
              <w:spacing w:after="0"/>
              <w:rPr>
                <w:sz w:val="24"/>
                <w:szCs w:val="24"/>
                <w:color w:val="auto"/>
              </w:rPr>
            </w:pPr>
          </w:p>
        </w:tc>
        <w:tc>
          <w:tcPr>
            <w:tcW w:w="1400" w:type="dxa"/>
            <w:vAlign w:val="bottom"/>
          </w:tcPr>
          <w:p>
            <w:pPr>
              <w:jc w:val="right"/>
              <w:spacing w:after="0"/>
              <w:rPr>
                <w:rFonts w:ascii="Arial" w:cs="Arial" w:eastAsia="Arial" w:hAnsi="Arial"/>
                <w:sz w:val="16"/>
                <w:szCs w:val="16"/>
                <w:color w:val="auto"/>
              </w:rPr>
            </w:pPr>
            <w:hyperlink w:anchor="page34">
              <w:r>
                <w:rPr>
                  <w:rFonts w:ascii="Arial" w:cs="Arial" w:eastAsia="Arial" w:hAnsi="Arial"/>
                  <w:sz w:val="16"/>
                  <w:szCs w:val="16"/>
                  <w:color w:val="auto"/>
                </w:rPr>
                <w:t>32</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6.</w:t>
            </w:r>
          </w:p>
        </w:tc>
        <w:tc>
          <w:tcPr>
            <w:tcW w:w="8920" w:type="dxa"/>
            <w:vAlign w:val="bottom"/>
            <w:gridSpan w:val="14"/>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Exhibits</w:t>
              </w:r>
            </w:hyperlink>
          </w:p>
        </w:tc>
        <w:tc>
          <w:tcPr>
            <w:tcW w:w="1400" w:type="dxa"/>
            <w:vAlign w:val="bottom"/>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33</w:t>
              </w:r>
            </w:hyperlink>
          </w:p>
        </w:tc>
      </w:tr>
      <w:tr>
        <w:trPr>
          <w:trHeight w:val="358"/>
        </w:trPr>
        <w:tc>
          <w:tcPr>
            <w:tcW w:w="680" w:type="dxa"/>
            <w:vAlign w:val="bottom"/>
            <w:tcBorders>
              <w:bottom w:val="single" w:sz="8" w:color="0000EE"/>
            </w:tcBorders>
          </w:tcPr>
          <w:p>
            <w:pPr>
              <w:spacing w:after="0"/>
              <w:rPr>
                <w:rFonts w:ascii="Arial" w:cs="Arial" w:eastAsia="Arial" w:hAnsi="Arial"/>
                <w:sz w:val="16"/>
                <w:szCs w:val="16"/>
                <w:color w:val="0000EE"/>
                <w:w w:val="86"/>
              </w:rPr>
            </w:pPr>
            <w:hyperlink w:anchor="page36">
              <w:r>
                <w:rPr>
                  <w:rFonts w:ascii="Arial" w:cs="Arial" w:eastAsia="Arial" w:hAnsi="Arial"/>
                  <w:sz w:val="16"/>
                  <w:szCs w:val="16"/>
                  <w:color w:val="0000EE"/>
                  <w:w w:val="86"/>
                </w:rPr>
                <w:t>Signatures</w:t>
              </w:r>
            </w:hyperlink>
          </w:p>
        </w:tc>
        <w:tc>
          <w:tcPr>
            <w:tcW w:w="3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jc w:val="right"/>
              <w:spacing w:after="0"/>
              <w:rPr>
                <w:rFonts w:ascii="Arial" w:cs="Arial" w:eastAsia="Arial" w:hAnsi="Arial"/>
                <w:sz w:val="16"/>
                <w:szCs w:val="16"/>
                <w:color w:val="auto"/>
              </w:rPr>
            </w:pPr>
            <w:hyperlink w:anchor="page36">
              <w:r>
                <w:rPr>
                  <w:rFonts w:ascii="Arial" w:cs="Arial" w:eastAsia="Arial" w:hAnsi="Arial"/>
                  <w:sz w:val="16"/>
                  <w:szCs w:val="16"/>
                  <w:color w:val="auto"/>
                </w:rPr>
                <w:t>34</w:t>
              </w:r>
            </w:hyperlink>
          </w:p>
        </w:tc>
      </w:tr>
    </w:tbl>
    <w:p>
      <w:pPr>
        <w:sectPr>
          <w:pgSz w:w="11900" w:h="16838" w:orient="portrait"/>
          <w:cols w:equalWidth="0" w:num="1">
            <w:col w:w="11400"/>
          </w:cols>
          <w:pgMar w:left="240" w:top="364" w:right="2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2018</w:t>
            </w:r>
          </w:p>
        </w:tc>
        <w:tc>
          <w:tcPr>
            <w:tcW w:w="0" w:type="dxa"/>
            <w:vAlign w:val="bottom"/>
          </w:tcPr>
          <w:p>
            <w:pPr>
              <w:spacing w:after="0"/>
              <w:rPr>
                <w:sz w:val="1"/>
                <w:szCs w:val="1"/>
                <w:color w:val="auto"/>
              </w:rPr>
            </w:pPr>
          </w:p>
        </w:tc>
      </w:tr>
      <w:tr>
        <w:trPr>
          <w:trHeight w:val="33"/>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56,310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52,449</w:t>
            </w: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13,680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18,429</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Investments,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47,602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65,781</w:t>
            </w: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Prepaid income taxes</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37"/>
        </w:trPr>
        <w:tc>
          <w:tcPr>
            <w:tcW w:w="8300" w:type="dxa"/>
            <w:vAlign w:val="bottom"/>
          </w:tcPr>
          <w:p>
            <w:pPr>
              <w:ind w:left="8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121,094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139,739</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(including investments at fair value of $250 and $0)</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19,804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19,804</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5,102</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8,149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15,961</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Property and equipment, net of accumulated depreciation of $6,916 and $6,462</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4,637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179,486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199,183</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jc w:val="center"/>
              <w:ind w:right="3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21"/>
                <w:szCs w:val="21"/>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Dividends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7,710</w:t>
            </w: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Compensation and benefits payable</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15,102</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27,127</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Accrued dividends</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8,564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9,331</w:t>
            </w:r>
          </w:p>
        </w:tc>
        <w:tc>
          <w:tcPr>
            <w:tcW w:w="0" w:type="dxa"/>
            <w:vAlign w:val="bottom"/>
          </w:tcPr>
          <w:p>
            <w:pPr>
              <w:spacing w:after="0"/>
              <w:rPr>
                <w:sz w:val="1"/>
                <w:szCs w:val="1"/>
                <w:color w:val="auto"/>
              </w:rPr>
            </w:pPr>
          </w:p>
        </w:tc>
      </w:tr>
      <w:tr>
        <w:trPr>
          <w:trHeight w:val="237"/>
        </w:trPr>
        <w:tc>
          <w:tcPr>
            <w:tcW w:w="8300" w:type="dxa"/>
            <w:vAlign w:val="bottom"/>
          </w:tcPr>
          <w:p>
            <w:pPr>
              <w:ind w:left="80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25,500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38,034</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13)</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Common stock, $0.01 par value, authorized 25,000,000 shares, issued 10,336,363 and outstanding</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8,944,733 shares at June 30, 2019; issued 10,182,583 and outstanding 8,904,902 shares at December</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31, 2018</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200,028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194,116</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8"/>
              </w:rPr>
              <w:t>Treasury stock, at cost - 1,391,630 shares at June 30, 2019; 1,277,681 shares at December 31, 2018</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(58,711)</w:t>
            </w: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(4,883)</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20,054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30,525</w:t>
            </w:r>
          </w:p>
        </w:tc>
        <w:tc>
          <w:tcPr>
            <w:tcW w:w="0" w:type="dxa"/>
            <w:vAlign w:val="bottom"/>
          </w:tcPr>
          <w:p>
            <w:pPr>
              <w:spacing w:after="0"/>
              <w:rPr>
                <w:sz w:val="1"/>
                <w:szCs w:val="1"/>
                <w:color w:val="auto"/>
              </w:rPr>
            </w:pPr>
          </w:p>
        </w:tc>
      </w:tr>
      <w:tr>
        <w:trPr>
          <w:trHeight w:val="237"/>
        </w:trPr>
        <w:tc>
          <w:tcPr>
            <w:tcW w:w="8300" w:type="dxa"/>
            <w:vAlign w:val="bottom"/>
          </w:tcPr>
          <w:p>
            <w:pPr>
              <w:ind w:left="8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153,986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161,149</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179,486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199,183</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80" w:top="486" w:right="259" w:bottom="1440" w:gutter="0" w:footer="0" w:header="0"/>
        </w:sectPr>
      </w:pPr>
    </w:p>
    <w:bookmarkStart w:id="3" w:name="page4"/>
    <w:bookmarkEnd w:id="3"/>
    <w:p>
      <w:pPr>
        <w:jc w:val="center"/>
        <w:spacing w:after="0" w:line="263" w:lineRule="auto"/>
        <w:rPr>
          <w:sz w:val="20"/>
          <w:szCs w:val="20"/>
          <w:color w:val="auto"/>
        </w:rPr>
      </w:pPr>
      <w:r>
        <w:rPr>
          <w:rFonts w:ascii="Arial" w:cs="Arial" w:eastAsia="Arial" w:hAnsi="Arial"/>
          <w:sz w:val="18"/>
          <w:szCs w:val="18"/>
          <w:b w:val="1"/>
          <w:bCs w:val="1"/>
          <w:color w:val="auto"/>
        </w:rPr>
        <w:t>WESTWOOD HOLDINGS GROUP, INC. AND SUBSIDIARIES CONDENSED CONSOLIDATED STATEMENTS OF COMPREHENSIVE INCOME (In thousands, except per share data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180" w:type="dxa"/>
            <w:vAlign w:val="bottom"/>
          </w:tcPr>
          <w:p>
            <w:pPr>
              <w:spacing w:after="0"/>
              <w:rPr>
                <w:sz w:val="18"/>
                <w:szCs w:val="18"/>
                <w:color w:val="auto"/>
              </w:rPr>
            </w:pPr>
          </w:p>
        </w:tc>
        <w:tc>
          <w:tcPr>
            <w:tcW w:w="2200" w:type="dxa"/>
            <w:vAlign w:val="bottom"/>
            <w:gridSpan w:val="4"/>
          </w:tcPr>
          <w:p>
            <w:pPr>
              <w:jc w:val="right"/>
              <w:ind w:right="130"/>
              <w:spacing w:after="0"/>
              <w:rPr>
                <w:sz w:val="20"/>
                <w:szCs w:val="20"/>
                <w:color w:val="auto"/>
              </w:rPr>
            </w:pPr>
            <w:r>
              <w:rPr>
                <w:rFonts w:ascii="Arial" w:cs="Arial" w:eastAsia="Arial" w:hAnsi="Arial"/>
                <w:sz w:val="16"/>
                <w:szCs w:val="16"/>
                <w:b w:val="1"/>
                <w:bCs w:val="1"/>
                <w:color w:val="auto"/>
                <w:w w:val="94"/>
              </w:rPr>
              <w:t>Six Months Ended June 30,</w:t>
            </w:r>
          </w:p>
        </w:tc>
      </w:tr>
      <w:tr>
        <w:trPr>
          <w:trHeight w:val="47"/>
        </w:trPr>
        <w:tc>
          <w:tcPr>
            <w:tcW w:w="65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1"/>
        </w:trPr>
        <w:tc>
          <w:tcPr>
            <w:tcW w:w="6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6"/>
                <w:szCs w:val="16"/>
                <w:b w:val="1"/>
                <w:bCs w:val="1"/>
                <w:color w:val="auto"/>
              </w:rPr>
              <w:t>2018</w:t>
            </w:r>
          </w:p>
        </w:tc>
      </w:tr>
      <w:tr>
        <w:trPr>
          <w:trHeight w:val="33"/>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Advisory fees: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Asset-based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47,956</w:t>
            </w:r>
          </w:p>
        </w:tc>
      </w:tr>
      <w:tr>
        <w:trPr>
          <w:trHeight w:val="243"/>
        </w:trPr>
        <w:tc>
          <w:tcPr>
            <w:tcW w:w="6540" w:type="dxa"/>
            <w:vAlign w:val="bottom"/>
          </w:tcPr>
          <w:p>
            <w:pPr>
              <w:ind w:left="720"/>
              <w:spacing w:after="0"/>
              <w:rPr>
                <w:sz w:val="20"/>
                <w:szCs w:val="20"/>
                <w:color w:val="auto"/>
              </w:rPr>
            </w:pPr>
            <w:r>
              <w:rPr>
                <w:rFonts w:ascii="Arial" w:cs="Arial" w:eastAsia="Arial" w:hAnsi="Arial"/>
                <w:sz w:val="18"/>
                <w:szCs w:val="18"/>
                <w:color w:val="auto"/>
              </w:rPr>
              <w:t>Performance-based</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2,984</w:t>
            </w: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Trust fees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15,074</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313</w:t>
            </w:r>
          </w:p>
        </w:tc>
      </w:tr>
      <w:tr>
        <w:trPr>
          <w:trHeight w:val="27"/>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66,327</w:t>
            </w:r>
          </w:p>
        </w:tc>
      </w:tr>
      <w:tr>
        <w:trPr>
          <w:trHeight w:val="22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41"/>
        </w:trPr>
        <w:tc>
          <w:tcPr>
            <w:tcW w:w="6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compensation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32,413</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852</w:t>
            </w: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Westwood mutual funds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1,987</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Information technology</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4,259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4,421</w:t>
            </w: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2,305</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4,836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4,869</w:t>
            </w: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foreign currency transactions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r>
      <w:tr>
        <w:trPr>
          <w:trHeight w:val="237"/>
        </w:trPr>
        <w:tc>
          <w:tcPr>
            <w:tcW w:w="6540" w:type="dxa"/>
            <w:vAlign w:val="bottom"/>
          </w:tcPr>
          <w:p>
            <w:pPr>
              <w:ind w:left="920"/>
              <w:spacing w:after="0"/>
              <w:rPr>
                <w:sz w:val="20"/>
                <w:szCs w:val="20"/>
                <w:color w:val="auto"/>
              </w:rPr>
            </w:pPr>
            <w:r>
              <w:rPr>
                <w:rFonts w:ascii="Arial" w:cs="Arial" w:eastAsia="Arial" w:hAnsi="Arial"/>
                <w:sz w:val="18"/>
                <w:szCs w:val="18"/>
                <w:color w:val="auto"/>
              </w:rPr>
              <w:t>Total expenses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19,130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21,824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41,496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45,428</w:t>
            </w:r>
          </w:p>
        </w:tc>
      </w:tr>
      <w:tr>
        <w:trPr>
          <w:trHeight w:val="27"/>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operating income</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20,899</w:t>
            </w:r>
          </w:p>
        </w:tc>
      </w:tr>
      <w:tr>
        <w:trPr>
          <w:trHeight w:val="237"/>
        </w:trPr>
        <w:tc>
          <w:tcPr>
            <w:tcW w:w="6540" w:type="dxa"/>
            <w:vAlign w:val="bottom"/>
          </w:tcPr>
          <w:p>
            <w:pPr>
              <w:ind w:left="380"/>
              <w:spacing w:after="0"/>
              <w:rPr>
                <w:sz w:val="20"/>
                <w:szCs w:val="20"/>
                <w:color w:val="auto"/>
              </w:rPr>
            </w:pPr>
            <w:r>
              <w:rPr>
                <w:rFonts w:ascii="Arial" w:cs="Arial" w:eastAsia="Arial" w:hAnsi="Arial"/>
                <w:sz w:val="18"/>
                <w:szCs w:val="18"/>
                <w:color w:val="auto"/>
              </w:rPr>
              <w:t>Gain on sale of operations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524</w:t>
            </w: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10,936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4,152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21,423</w:t>
            </w:r>
          </w:p>
        </w:tc>
      </w:tr>
      <w:tr>
        <w:trPr>
          <w:trHeight w:val="27"/>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5,453</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7,992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15,970</w:t>
            </w:r>
          </w:p>
        </w:tc>
      </w:tr>
      <w:tr>
        <w:trPr>
          <w:trHeight w:val="67"/>
        </w:trPr>
        <w:tc>
          <w:tcPr>
            <w:tcW w:w="65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31"/>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(1,678)</w:t>
            </w:r>
          </w:p>
        </w:tc>
      </w:tr>
      <w:tr>
        <w:trPr>
          <w:trHeight w:val="27"/>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14,292</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1.92</w:t>
            </w: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8,446,610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8,399,148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8,406,367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8,336,923</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8,476,777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8,543,353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8,467,589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8,543,401</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60" w:type="dxa"/>
            <w:vAlign w:val="bottom"/>
          </w:tcPr>
          <w:p>
            <w:pPr>
              <w:spacing w:after="0"/>
              <w:rPr>
                <w:sz w:val="16"/>
                <w:szCs w:val="16"/>
                <w:color w:val="auto"/>
              </w:rPr>
            </w:pPr>
          </w:p>
        </w:tc>
        <w:tc>
          <w:tcPr>
            <w:tcW w:w="2200" w:type="dxa"/>
            <w:vAlign w:val="bottom"/>
            <w:gridSpan w:val="5"/>
          </w:tcPr>
          <w:p>
            <w:pPr>
              <w:ind w:left="400"/>
              <w:spacing w:after="0"/>
              <w:rPr>
                <w:sz w:val="20"/>
                <w:szCs w:val="20"/>
                <w:color w:val="auto"/>
              </w:rPr>
            </w:pPr>
            <w:r>
              <w:rPr>
                <w:rFonts w:ascii="Arial" w:cs="Arial" w:eastAsia="Arial" w:hAnsi="Arial"/>
                <w:sz w:val="15"/>
                <w:szCs w:val="15"/>
                <w:b w:val="1"/>
                <w:bCs w:val="1"/>
                <w:color w:val="auto"/>
              </w:rPr>
              <w:t>Common Stock, Par</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Additional</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3"/>
              </w:rPr>
              <w:t>Accumulated Other</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restart"/>
          </w:tcPr>
          <w:p>
            <w:pPr>
              <w:jc w:val="center"/>
              <w:ind w:right="260"/>
              <w:spacing w:after="0" w:line="131" w:lineRule="exact"/>
              <w:rPr>
                <w:sz w:val="20"/>
                <w:szCs w:val="20"/>
                <w:color w:val="auto"/>
              </w:rPr>
            </w:pPr>
            <w:r>
              <w:rPr>
                <w:rFonts w:ascii="Arial" w:cs="Arial" w:eastAsia="Arial" w:hAnsi="Arial"/>
                <w:sz w:val="15"/>
                <w:szCs w:val="15"/>
                <w:b w:val="1"/>
                <w:bCs w:val="1"/>
                <w:color w:val="auto"/>
                <w:w w:val="95"/>
              </w:rPr>
              <w:t>Paid-In</w:t>
            </w:r>
          </w:p>
        </w:tc>
        <w:tc>
          <w:tcPr>
            <w:tcW w:w="140" w:type="dxa"/>
            <w:vAlign w:val="bottom"/>
          </w:tcPr>
          <w:p>
            <w:pPr>
              <w:spacing w:after="0"/>
              <w:rPr>
                <w:sz w:val="4"/>
                <w:szCs w:val="4"/>
                <w:color w:val="auto"/>
              </w:rPr>
            </w:pPr>
          </w:p>
        </w:tc>
        <w:tc>
          <w:tcPr>
            <w:tcW w:w="860" w:type="dxa"/>
            <w:vAlign w:val="bottom"/>
            <w:gridSpan w:val="2"/>
            <w:vMerge w:val="restart"/>
          </w:tcPr>
          <w:p>
            <w:pPr>
              <w:jc w:val="center"/>
              <w:ind w:right="240"/>
              <w:spacing w:after="0" w:line="131" w:lineRule="exact"/>
              <w:rPr>
                <w:sz w:val="20"/>
                <w:szCs w:val="20"/>
                <w:color w:val="auto"/>
              </w:rPr>
            </w:pPr>
            <w:r>
              <w:rPr>
                <w:rFonts w:ascii="Arial" w:cs="Arial" w:eastAsia="Arial" w:hAnsi="Arial"/>
                <w:sz w:val="15"/>
                <w:szCs w:val="15"/>
                <w:b w:val="1"/>
                <w:bCs w:val="1"/>
                <w:color w:val="auto"/>
                <w:w w:val="91"/>
              </w:rPr>
              <w:t>Treasury</w:t>
            </w:r>
          </w:p>
        </w:tc>
        <w:tc>
          <w:tcPr>
            <w:tcW w:w="1560" w:type="dxa"/>
            <w:vAlign w:val="bottom"/>
            <w:gridSpan w:val="3"/>
            <w:vMerge w:val="restart"/>
          </w:tcPr>
          <w:p>
            <w:pPr>
              <w:ind w:left="40"/>
              <w:spacing w:after="0" w:line="131" w:lineRule="exact"/>
              <w:rPr>
                <w:sz w:val="20"/>
                <w:szCs w:val="20"/>
                <w:color w:val="auto"/>
              </w:rPr>
            </w:pPr>
            <w:r>
              <w:rPr>
                <w:rFonts w:ascii="Arial" w:cs="Arial" w:eastAsia="Arial" w:hAnsi="Arial"/>
                <w:sz w:val="15"/>
                <w:szCs w:val="15"/>
                <w:b w:val="1"/>
                <w:bCs w:val="1"/>
                <w:color w:val="auto"/>
                <w:w w:val="99"/>
              </w:rPr>
              <w:t>Comprehensive Gain</w:t>
            </w:r>
          </w:p>
        </w:tc>
        <w:tc>
          <w:tcPr>
            <w:tcW w:w="160" w:type="dxa"/>
            <w:vAlign w:val="bottom"/>
          </w:tcPr>
          <w:p>
            <w:pPr>
              <w:spacing w:after="0"/>
              <w:rPr>
                <w:sz w:val="4"/>
                <w:szCs w:val="4"/>
                <w:color w:val="auto"/>
              </w:rPr>
            </w:pPr>
          </w:p>
        </w:tc>
        <w:tc>
          <w:tcPr>
            <w:tcW w:w="960" w:type="dxa"/>
            <w:vAlign w:val="bottom"/>
            <w:gridSpan w:val="2"/>
            <w:vMerge w:val="restart"/>
          </w:tcPr>
          <w:p>
            <w:pPr>
              <w:ind w:left="60"/>
              <w:spacing w:after="0" w:line="131" w:lineRule="exact"/>
              <w:rPr>
                <w:sz w:val="20"/>
                <w:szCs w:val="20"/>
                <w:color w:val="auto"/>
              </w:rPr>
            </w:pPr>
            <w:r>
              <w:rPr>
                <w:rFonts w:ascii="Arial" w:cs="Arial" w:eastAsia="Arial" w:hAnsi="Arial"/>
                <w:sz w:val="15"/>
                <w:szCs w:val="15"/>
                <w:b w:val="1"/>
                <w:bCs w:val="1"/>
                <w:color w:val="auto"/>
              </w:rPr>
              <w:t>Retained</w:t>
            </w: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3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rPr>
                <w:sz w:val="17"/>
                <w:szCs w:val="17"/>
                <w:color w:val="auto"/>
              </w:rPr>
            </w:pPr>
          </w:p>
        </w:tc>
        <w:tc>
          <w:tcPr>
            <w:tcW w:w="116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5"/>
                <w:szCs w:val="15"/>
                <w:b w:val="1"/>
                <w:bCs w:val="1"/>
                <w:color w:val="auto"/>
              </w:rPr>
              <w:t>Amount</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5"/>
              </w:rPr>
              <w:t>Capital</w:t>
            </w: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Stock</w:t>
            </w:r>
          </w:p>
        </w:tc>
        <w:tc>
          <w:tcPr>
            <w:tcW w:w="32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8"/>
              </w:rPr>
              <w:t>(Loss)</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Earnings</w:t>
            </w:r>
          </w:p>
        </w:tc>
        <w:tc>
          <w:tcPr>
            <w:tcW w:w="20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34"/>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March 31, 2019</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8,975,865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197,598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156,110</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1,861</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gain</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Issuance of restricted stock, net of forfeitures</w:t>
            </w:r>
          </w:p>
        </w:tc>
        <w:tc>
          <w:tcPr>
            <w:tcW w:w="1040" w:type="dxa"/>
            <w:vAlign w:val="bottom"/>
          </w:tcPr>
          <w:p>
            <w:pPr>
              <w:jc w:val="right"/>
              <w:spacing w:after="0"/>
              <w:rPr>
                <w:sz w:val="20"/>
                <w:szCs w:val="20"/>
                <w:color w:val="auto"/>
              </w:rPr>
            </w:pPr>
            <w:r>
              <w:rPr>
                <w:rFonts w:ascii="Arial" w:cs="Arial" w:eastAsia="Arial" w:hAnsi="Arial"/>
                <w:sz w:val="16"/>
                <w:szCs w:val="16"/>
                <w:color w:val="auto"/>
              </w:rPr>
              <w:t>(4,266)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 ($0.72 per share)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(6,344)</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Stock 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2,430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2,430</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treasury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244"/>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BALANCE, June 30, 2019</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8,944,733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200,028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(62,883)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20,054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153,986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460" w:type="dxa"/>
            <w:vAlign w:val="bottom"/>
          </w:tcPr>
          <w:p>
            <w:pPr>
              <w:spacing w:after="0"/>
              <w:rPr>
                <w:sz w:val="24"/>
                <w:szCs w:val="24"/>
                <w:color w:val="auto"/>
              </w:rPr>
            </w:pPr>
          </w:p>
        </w:tc>
        <w:tc>
          <w:tcPr>
            <w:tcW w:w="2200" w:type="dxa"/>
            <w:vAlign w:val="bottom"/>
            <w:gridSpan w:val="5"/>
          </w:tcPr>
          <w:p>
            <w:pPr>
              <w:ind w:left="400"/>
              <w:spacing w:after="0"/>
              <w:rPr>
                <w:sz w:val="20"/>
                <w:szCs w:val="20"/>
                <w:color w:val="auto"/>
              </w:rPr>
            </w:pPr>
            <w:r>
              <w:rPr>
                <w:rFonts w:ascii="Arial" w:cs="Arial" w:eastAsia="Arial" w:hAnsi="Arial"/>
                <w:sz w:val="15"/>
                <w:szCs w:val="15"/>
                <w:b w:val="1"/>
                <w:bCs w:val="1"/>
                <w:color w:val="auto"/>
              </w:rPr>
              <w:t>Common Stock, Par</w:t>
            </w:r>
          </w:p>
        </w:tc>
        <w:tc>
          <w:tcPr>
            <w:tcW w:w="16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Additional</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3"/>
              </w:rPr>
              <w:t>Accumulated Other</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restart"/>
          </w:tcPr>
          <w:p>
            <w:pPr>
              <w:jc w:val="center"/>
              <w:ind w:right="260"/>
              <w:spacing w:after="0" w:line="131" w:lineRule="exact"/>
              <w:rPr>
                <w:sz w:val="20"/>
                <w:szCs w:val="20"/>
                <w:color w:val="auto"/>
              </w:rPr>
            </w:pPr>
            <w:r>
              <w:rPr>
                <w:rFonts w:ascii="Arial" w:cs="Arial" w:eastAsia="Arial" w:hAnsi="Arial"/>
                <w:sz w:val="15"/>
                <w:szCs w:val="15"/>
                <w:b w:val="1"/>
                <w:bCs w:val="1"/>
                <w:color w:val="auto"/>
                <w:w w:val="95"/>
              </w:rPr>
              <w:t>Paid-In</w:t>
            </w:r>
          </w:p>
        </w:tc>
        <w:tc>
          <w:tcPr>
            <w:tcW w:w="140" w:type="dxa"/>
            <w:vAlign w:val="bottom"/>
          </w:tcPr>
          <w:p>
            <w:pPr>
              <w:spacing w:after="0"/>
              <w:rPr>
                <w:sz w:val="4"/>
                <w:szCs w:val="4"/>
                <w:color w:val="auto"/>
              </w:rPr>
            </w:pPr>
          </w:p>
        </w:tc>
        <w:tc>
          <w:tcPr>
            <w:tcW w:w="860" w:type="dxa"/>
            <w:vAlign w:val="bottom"/>
            <w:gridSpan w:val="2"/>
            <w:vMerge w:val="restart"/>
          </w:tcPr>
          <w:p>
            <w:pPr>
              <w:jc w:val="center"/>
              <w:ind w:right="240"/>
              <w:spacing w:after="0" w:line="131" w:lineRule="exact"/>
              <w:rPr>
                <w:sz w:val="20"/>
                <w:szCs w:val="20"/>
                <w:color w:val="auto"/>
              </w:rPr>
            </w:pPr>
            <w:r>
              <w:rPr>
                <w:rFonts w:ascii="Arial" w:cs="Arial" w:eastAsia="Arial" w:hAnsi="Arial"/>
                <w:sz w:val="15"/>
                <w:szCs w:val="15"/>
                <w:b w:val="1"/>
                <w:bCs w:val="1"/>
                <w:color w:val="auto"/>
                <w:w w:val="91"/>
              </w:rPr>
              <w:t>Treasury</w:t>
            </w:r>
          </w:p>
        </w:tc>
        <w:tc>
          <w:tcPr>
            <w:tcW w:w="1560" w:type="dxa"/>
            <w:vAlign w:val="bottom"/>
            <w:gridSpan w:val="3"/>
            <w:vMerge w:val="restart"/>
          </w:tcPr>
          <w:p>
            <w:pPr>
              <w:ind w:left="40"/>
              <w:spacing w:after="0" w:line="131" w:lineRule="exact"/>
              <w:rPr>
                <w:sz w:val="20"/>
                <w:szCs w:val="20"/>
                <w:color w:val="auto"/>
              </w:rPr>
            </w:pPr>
            <w:r>
              <w:rPr>
                <w:rFonts w:ascii="Arial" w:cs="Arial" w:eastAsia="Arial" w:hAnsi="Arial"/>
                <w:sz w:val="15"/>
                <w:szCs w:val="15"/>
                <w:b w:val="1"/>
                <w:bCs w:val="1"/>
                <w:color w:val="auto"/>
                <w:w w:val="99"/>
              </w:rPr>
              <w:t>Comprehensive Gain</w:t>
            </w:r>
          </w:p>
        </w:tc>
        <w:tc>
          <w:tcPr>
            <w:tcW w:w="160" w:type="dxa"/>
            <w:vAlign w:val="bottom"/>
          </w:tcPr>
          <w:p>
            <w:pPr>
              <w:spacing w:after="0"/>
              <w:rPr>
                <w:sz w:val="4"/>
                <w:szCs w:val="4"/>
                <w:color w:val="auto"/>
              </w:rPr>
            </w:pPr>
          </w:p>
        </w:tc>
        <w:tc>
          <w:tcPr>
            <w:tcW w:w="960" w:type="dxa"/>
            <w:vAlign w:val="bottom"/>
            <w:gridSpan w:val="2"/>
            <w:vMerge w:val="restart"/>
          </w:tcPr>
          <w:p>
            <w:pPr>
              <w:ind w:left="60"/>
              <w:spacing w:after="0" w:line="131" w:lineRule="exact"/>
              <w:rPr>
                <w:sz w:val="20"/>
                <w:szCs w:val="20"/>
                <w:color w:val="auto"/>
              </w:rPr>
            </w:pPr>
            <w:r>
              <w:rPr>
                <w:rFonts w:ascii="Arial" w:cs="Arial" w:eastAsia="Arial" w:hAnsi="Arial"/>
                <w:sz w:val="15"/>
                <w:szCs w:val="15"/>
                <w:b w:val="1"/>
                <w:bCs w:val="1"/>
                <w:color w:val="auto"/>
              </w:rPr>
              <w:t>Retained</w:t>
            </w: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3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rPr>
                <w:sz w:val="17"/>
                <w:szCs w:val="17"/>
                <w:color w:val="auto"/>
              </w:rPr>
            </w:pPr>
          </w:p>
        </w:tc>
        <w:tc>
          <w:tcPr>
            <w:tcW w:w="116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5"/>
                <w:szCs w:val="15"/>
                <w:b w:val="1"/>
                <w:bCs w:val="1"/>
                <w:color w:val="auto"/>
              </w:rPr>
              <w:t>Amount</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5"/>
              </w:rPr>
              <w:t>Capital</w:t>
            </w: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Stock</w:t>
            </w:r>
          </w:p>
        </w:tc>
        <w:tc>
          <w:tcPr>
            <w:tcW w:w="32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8"/>
              </w:rPr>
              <w:t>(Loss)</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Earnings</w:t>
            </w:r>
          </w:p>
        </w:tc>
        <w:tc>
          <w:tcPr>
            <w:tcW w:w="20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34"/>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March 31, 2018</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9,017,274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183,591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156,020</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7,992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7,992</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Issuance of restricted stock, net of forfeitures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9,671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 ($0.68 per share)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(6,168)</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Stock 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3,776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3,776</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returned for payment of taxes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BALANCE, June 30, 2018</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9,026,806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187,367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(55,201)</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(3,442)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32,315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161,141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60" w:type="dxa"/>
            <w:vAlign w:val="bottom"/>
          </w:tcPr>
          <w:p>
            <w:pPr>
              <w:spacing w:after="0"/>
              <w:rPr>
                <w:sz w:val="16"/>
                <w:szCs w:val="16"/>
                <w:color w:val="auto"/>
              </w:rPr>
            </w:pPr>
          </w:p>
        </w:tc>
        <w:tc>
          <w:tcPr>
            <w:tcW w:w="2200" w:type="dxa"/>
            <w:vAlign w:val="bottom"/>
            <w:gridSpan w:val="5"/>
          </w:tcPr>
          <w:p>
            <w:pPr>
              <w:ind w:left="400"/>
              <w:spacing w:after="0"/>
              <w:rPr>
                <w:sz w:val="20"/>
                <w:szCs w:val="20"/>
                <w:color w:val="auto"/>
              </w:rPr>
            </w:pPr>
            <w:r>
              <w:rPr>
                <w:rFonts w:ascii="Arial" w:cs="Arial" w:eastAsia="Arial" w:hAnsi="Arial"/>
                <w:sz w:val="15"/>
                <w:szCs w:val="15"/>
                <w:b w:val="1"/>
                <w:bCs w:val="1"/>
                <w:color w:val="auto"/>
              </w:rPr>
              <w:t>Common Stock, Par</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Additional</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3"/>
              </w:rPr>
              <w:t>Accumulated Other</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restart"/>
          </w:tcPr>
          <w:p>
            <w:pPr>
              <w:jc w:val="center"/>
              <w:ind w:right="260"/>
              <w:spacing w:after="0" w:line="131" w:lineRule="exact"/>
              <w:rPr>
                <w:sz w:val="20"/>
                <w:szCs w:val="20"/>
                <w:color w:val="auto"/>
              </w:rPr>
            </w:pPr>
            <w:r>
              <w:rPr>
                <w:rFonts w:ascii="Arial" w:cs="Arial" w:eastAsia="Arial" w:hAnsi="Arial"/>
                <w:sz w:val="15"/>
                <w:szCs w:val="15"/>
                <w:b w:val="1"/>
                <w:bCs w:val="1"/>
                <w:color w:val="auto"/>
                <w:w w:val="95"/>
              </w:rPr>
              <w:t>Paid-In</w:t>
            </w:r>
          </w:p>
        </w:tc>
        <w:tc>
          <w:tcPr>
            <w:tcW w:w="140" w:type="dxa"/>
            <w:vAlign w:val="bottom"/>
          </w:tcPr>
          <w:p>
            <w:pPr>
              <w:spacing w:after="0"/>
              <w:rPr>
                <w:sz w:val="4"/>
                <w:szCs w:val="4"/>
                <w:color w:val="auto"/>
              </w:rPr>
            </w:pPr>
          </w:p>
        </w:tc>
        <w:tc>
          <w:tcPr>
            <w:tcW w:w="860" w:type="dxa"/>
            <w:vAlign w:val="bottom"/>
            <w:gridSpan w:val="2"/>
            <w:vMerge w:val="restart"/>
          </w:tcPr>
          <w:p>
            <w:pPr>
              <w:jc w:val="center"/>
              <w:ind w:right="240"/>
              <w:spacing w:after="0" w:line="131" w:lineRule="exact"/>
              <w:rPr>
                <w:sz w:val="20"/>
                <w:szCs w:val="20"/>
                <w:color w:val="auto"/>
              </w:rPr>
            </w:pPr>
            <w:r>
              <w:rPr>
                <w:rFonts w:ascii="Arial" w:cs="Arial" w:eastAsia="Arial" w:hAnsi="Arial"/>
                <w:sz w:val="15"/>
                <w:szCs w:val="15"/>
                <w:b w:val="1"/>
                <w:bCs w:val="1"/>
                <w:color w:val="auto"/>
                <w:w w:val="91"/>
              </w:rPr>
              <w:t>Treasury</w:t>
            </w:r>
          </w:p>
        </w:tc>
        <w:tc>
          <w:tcPr>
            <w:tcW w:w="1560" w:type="dxa"/>
            <w:vAlign w:val="bottom"/>
            <w:gridSpan w:val="3"/>
            <w:vMerge w:val="restart"/>
          </w:tcPr>
          <w:p>
            <w:pPr>
              <w:ind w:left="40"/>
              <w:spacing w:after="0" w:line="131" w:lineRule="exact"/>
              <w:rPr>
                <w:sz w:val="20"/>
                <w:szCs w:val="20"/>
                <w:color w:val="auto"/>
              </w:rPr>
            </w:pPr>
            <w:r>
              <w:rPr>
                <w:rFonts w:ascii="Arial" w:cs="Arial" w:eastAsia="Arial" w:hAnsi="Arial"/>
                <w:sz w:val="15"/>
                <w:szCs w:val="15"/>
                <w:b w:val="1"/>
                <w:bCs w:val="1"/>
                <w:color w:val="auto"/>
                <w:w w:val="99"/>
              </w:rPr>
              <w:t>Comprehensive Gain</w:t>
            </w:r>
          </w:p>
        </w:tc>
        <w:tc>
          <w:tcPr>
            <w:tcW w:w="160" w:type="dxa"/>
            <w:vAlign w:val="bottom"/>
          </w:tcPr>
          <w:p>
            <w:pPr>
              <w:spacing w:after="0"/>
              <w:rPr>
                <w:sz w:val="4"/>
                <w:szCs w:val="4"/>
                <w:color w:val="auto"/>
              </w:rPr>
            </w:pPr>
          </w:p>
        </w:tc>
        <w:tc>
          <w:tcPr>
            <w:tcW w:w="960" w:type="dxa"/>
            <w:vAlign w:val="bottom"/>
            <w:gridSpan w:val="2"/>
            <w:vMerge w:val="restart"/>
          </w:tcPr>
          <w:p>
            <w:pPr>
              <w:ind w:left="60"/>
              <w:spacing w:after="0" w:line="131" w:lineRule="exact"/>
              <w:rPr>
                <w:sz w:val="20"/>
                <w:szCs w:val="20"/>
                <w:color w:val="auto"/>
              </w:rPr>
            </w:pPr>
            <w:r>
              <w:rPr>
                <w:rFonts w:ascii="Arial" w:cs="Arial" w:eastAsia="Arial" w:hAnsi="Arial"/>
                <w:sz w:val="15"/>
                <w:szCs w:val="15"/>
                <w:b w:val="1"/>
                <w:bCs w:val="1"/>
                <w:color w:val="auto"/>
              </w:rPr>
              <w:t>Retained</w:t>
            </w: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3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rPr>
                <w:sz w:val="17"/>
                <w:szCs w:val="17"/>
                <w:color w:val="auto"/>
              </w:rPr>
            </w:pPr>
          </w:p>
        </w:tc>
        <w:tc>
          <w:tcPr>
            <w:tcW w:w="116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5"/>
                <w:szCs w:val="15"/>
                <w:b w:val="1"/>
                <w:bCs w:val="1"/>
                <w:color w:val="auto"/>
              </w:rPr>
              <w:t>Amount</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5"/>
              </w:rPr>
              <w:t>Capital</w:t>
            </w: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Stock</w:t>
            </w:r>
          </w:p>
        </w:tc>
        <w:tc>
          <w:tcPr>
            <w:tcW w:w="32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8"/>
              </w:rPr>
              <w:t>(Loss)</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Earnings</w:t>
            </w:r>
          </w:p>
        </w:tc>
        <w:tc>
          <w:tcPr>
            <w:tcW w:w="20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34"/>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2018</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8,904,902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194,116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30,525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161,149</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2,253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2,253</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gain</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1,566</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Issuance of restricted stock, net of forfeitures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153,780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 ($1.44 per share)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(12,724)</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Stock 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5,683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5,683</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of compensation liability to be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paid in shares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Purchases of treasury stock</w:t>
            </w:r>
          </w:p>
        </w:tc>
        <w:tc>
          <w:tcPr>
            <w:tcW w:w="1040" w:type="dxa"/>
            <w:vAlign w:val="bottom"/>
          </w:tcPr>
          <w:p>
            <w:pPr>
              <w:jc w:val="right"/>
              <w:spacing w:after="0"/>
              <w:rPr>
                <w:sz w:val="20"/>
                <w:szCs w:val="20"/>
                <w:color w:val="auto"/>
              </w:rPr>
            </w:pPr>
            <w:r>
              <w:rPr>
                <w:rFonts w:ascii="Arial" w:cs="Arial" w:eastAsia="Arial" w:hAnsi="Arial"/>
                <w:sz w:val="16"/>
                <w:szCs w:val="16"/>
                <w:color w:val="auto"/>
              </w:rPr>
              <w:t>(51,913)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(1,787)</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returned for payment of taxes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0" w:type="dxa"/>
            <w:vAlign w:val="bottom"/>
          </w:tcPr>
          <w:p>
            <w:pPr>
              <w:spacing w:after="0"/>
              <w:rPr>
                <w:sz w:val="1"/>
                <w:szCs w:val="1"/>
                <w:color w:val="auto"/>
              </w:rPr>
            </w:pPr>
          </w:p>
        </w:tc>
      </w:tr>
      <w:tr>
        <w:trPr>
          <w:trHeight w:val="244"/>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BALANCE, June 30, 2019</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8,944,733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200,028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(62,883)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20,054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153,986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460" w:type="dxa"/>
            <w:vAlign w:val="bottom"/>
          </w:tcPr>
          <w:p>
            <w:pPr>
              <w:spacing w:after="0"/>
              <w:rPr>
                <w:sz w:val="24"/>
                <w:szCs w:val="24"/>
                <w:color w:val="auto"/>
              </w:rPr>
            </w:pPr>
          </w:p>
        </w:tc>
        <w:tc>
          <w:tcPr>
            <w:tcW w:w="2200" w:type="dxa"/>
            <w:vAlign w:val="bottom"/>
            <w:gridSpan w:val="5"/>
          </w:tcPr>
          <w:p>
            <w:pPr>
              <w:ind w:left="400"/>
              <w:spacing w:after="0"/>
              <w:rPr>
                <w:sz w:val="20"/>
                <w:szCs w:val="20"/>
                <w:color w:val="auto"/>
              </w:rPr>
            </w:pPr>
            <w:r>
              <w:rPr>
                <w:rFonts w:ascii="Arial" w:cs="Arial" w:eastAsia="Arial" w:hAnsi="Arial"/>
                <w:sz w:val="15"/>
                <w:szCs w:val="15"/>
                <w:b w:val="1"/>
                <w:bCs w:val="1"/>
                <w:color w:val="auto"/>
              </w:rPr>
              <w:t>Common Stock, Par</w:t>
            </w:r>
          </w:p>
        </w:tc>
        <w:tc>
          <w:tcPr>
            <w:tcW w:w="16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Additional</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3"/>
              </w:rPr>
              <w:t>Accumulated Other</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restart"/>
          </w:tcPr>
          <w:p>
            <w:pPr>
              <w:jc w:val="center"/>
              <w:ind w:right="260"/>
              <w:spacing w:after="0" w:line="131" w:lineRule="exact"/>
              <w:rPr>
                <w:sz w:val="20"/>
                <w:szCs w:val="20"/>
                <w:color w:val="auto"/>
              </w:rPr>
            </w:pPr>
            <w:r>
              <w:rPr>
                <w:rFonts w:ascii="Arial" w:cs="Arial" w:eastAsia="Arial" w:hAnsi="Arial"/>
                <w:sz w:val="15"/>
                <w:szCs w:val="15"/>
                <w:b w:val="1"/>
                <w:bCs w:val="1"/>
                <w:color w:val="auto"/>
                <w:w w:val="95"/>
              </w:rPr>
              <w:t>Paid-In</w:t>
            </w:r>
          </w:p>
        </w:tc>
        <w:tc>
          <w:tcPr>
            <w:tcW w:w="140" w:type="dxa"/>
            <w:vAlign w:val="bottom"/>
          </w:tcPr>
          <w:p>
            <w:pPr>
              <w:spacing w:after="0"/>
              <w:rPr>
                <w:sz w:val="4"/>
                <w:szCs w:val="4"/>
                <w:color w:val="auto"/>
              </w:rPr>
            </w:pPr>
          </w:p>
        </w:tc>
        <w:tc>
          <w:tcPr>
            <w:tcW w:w="860" w:type="dxa"/>
            <w:vAlign w:val="bottom"/>
            <w:gridSpan w:val="2"/>
            <w:vMerge w:val="restart"/>
          </w:tcPr>
          <w:p>
            <w:pPr>
              <w:jc w:val="center"/>
              <w:ind w:right="240"/>
              <w:spacing w:after="0" w:line="131" w:lineRule="exact"/>
              <w:rPr>
                <w:sz w:val="20"/>
                <w:szCs w:val="20"/>
                <w:color w:val="auto"/>
              </w:rPr>
            </w:pPr>
            <w:r>
              <w:rPr>
                <w:rFonts w:ascii="Arial" w:cs="Arial" w:eastAsia="Arial" w:hAnsi="Arial"/>
                <w:sz w:val="15"/>
                <w:szCs w:val="15"/>
                <w:b w:val="1"/>
                <w:bCs w:val="1"/>
                <w:color w:val="auto"/>
                <w:w w:val="91"/>
              </w:rPr>
              <w:t>Treasury</w:t>
            </w:r>
          </w:p>
        </w:tc>
        <w:tc>
          <w:tcPr>
            <w:tcW w:w="1560" w:type="dxa"/>
            <w:vAlign w:val="bottom"/>
            <w:gridSpan w:val="3"/>
            <w:vMerge w:val="restart"/>
          </w:tcPr>
          <w:p>
            <w:pPr>
              <w:ind w:left="40"/>
              <w:spacing w:after="0" w:line="131" w:lineRule="exact"/>
              <w:rPr>
                <w:sz w:val="20"/>
                <w:szCs w:val="20"/>
                <w:color w:val="auto"/>
              </w:rPr>
            </w:pPr>
            <w:r>
              <w:rPr>
                <w:rFonts w:ascii="Arial" w:cs="Arial" w:eastAsia="Arial" w:hAnsi="Arial"/>
                <w:sz w:val="15"/>
                <w:szCs w:val="15"/>
                <w:b w:val="1"/>
                <w:bCs w:val="1"/>
                <w:color w:val="auto"/>
                <w:w w:val="99"/>
              </w:rPr>
              <w:t>Comprehensive Gain</w:t>
            </w:r>
          </w:p>
        </w:tc>
        <w:tc>
          <w:tcPr>
            <w:tcW w:w="160" w:type="dxa"/>
            <w:vAlign w:val="bottom"/>
          </w:tcPr>
          <w:p>
            <w:pPr>
              <w:spacing w:after="0"/>
              <w:rPr>
                <w:sz w:val="4"/>
                <w:szCs w:val="4"/>
                <w:color w:val="auto"/>
              </w:rPr>
            </w:pPr>
          </w:p>
        </w:tc>
        <w:tc>
          <w:tcPr>
            <w:tcW w:w="960" w:type="dxa"/>
            <w:vAlign w:val="bottom"/>
            <w:gridSpan w:val="2"/>
            <w:vMerge w:val="restart"/>
          </w:tcPr>
          <w:p>
            <w:pPr>
              <w:ind w:left="60"/>
              <w:spacing w:after="0" w:line="131" w:lineRule="exact"/>
              <w:rPr>
                <w:sz w:val="20"/>
                <w:szCs w:val="20"/>
                <w:color w:val="auto"/>
              </w:rPr>
            </w:pPr>
            <w:r>
              <w:rPr>
                <w:rFonts w:ascii="Arial" w:cs="Arial" w:eastAsia="Arial" w:hAnsi="Arial"/>
                <w:sz w:val="15"/>
                <w:szCs w:val="15"/>
                <w:b w:val="1"/>
                <w:bCs w:val="1"/>
                <w:color w:val="auto"/>
              </w:rPr>
              <w:t>Retained</w:t>
            </w: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3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rPr>
                <w:sz w:val="17"/>
                <w:szCs w:val="17"/>
                <w:color w:val="auto"/>
              </w:rPr>
            </w:pPr>
          </w:p>
        </w:tc>
        <w:tc>
          <w:tcPr>
            <w:tcW w:w="116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5"/>
                <w:szCs w:val="15"/>
                <w:b w:val="1"/>
                <w:bCs w:val="1"/>
                <w:color w:val="auto"/>
              </w:rPr>
              <w:t>Amount</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5"/>
              </w:rPr>
              <w:t>Capital</w:t>
            </w: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Stock</w:t>
            </w:r>
          </w:p>
        </w:tc>
        <w:tc>
          <w:tcPr>
            <w:tcW w:w="32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8"/>
              </w:rPr>
              <w:t>(Loss)</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Earnings</w:t>
            </w:r>
          </w:p>
        </w:tc>
        <w:tc>
          <w:tcPr>
            <w:tcW w:w="20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34"/>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2017</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8,899,587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179,241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156,396</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15,970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15,970</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Issuance of restricted stock, net of forfeitures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224,060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 ($1.36 per share)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(12,262)</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Stock 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7,963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7,963</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of compensation liability to be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paid in shares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Purchases of treasury stock</w:t>
            </w:r>
          </w:p>
        </w:tc>
        <w:tc>
          <w:tcPr>
            <w:tcW w:w="1040" w:type="dxa"/>
            <w:vAlign w:val="bottom"/>
          </w:tcPr>
          <w:p>
            <w:pPr>
              <w:jc w:val="right"/>
              <w:spacing w:after="0"/>
              <w:rPr>
                <w:sz w:val="20"/>
                <w:szCs w:val="20"/>
                <w:color w:val="auto"/>
              </w:rPr>
            </w:pPr>
            <w:r>
              <w:rPr>
                <w:rFonts w:ascii="Arial" w:cs="Arial" w:eastAsia="Arial" w:hAnsi="Arial"/>
                <w:sz w:val="16"/>
                <w:szCs w:val="16"/>
                <w:color w:val="auto"/>
              </w:rPr>
              <w:t>(13,031)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returned for payment of taxes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(4,687)</w:t>
            </w:r>
          </w:p>
        </w:tc>
        <w:tc>
          <w:tcPr>
            <w:tcW w:w="0" w:type="dxa"/>
            <w:vAlign w:val="bottom"/>
          </w:tcPr>
          <w:p>
            <w:pPr>
              <w:spacing w:after="0"/>
              <w:rPr>
                <w:sz w:val="1"/>
                <w:szCs w:val="1"/>
                <w:color w:val="auto"/>
              </w:rPr>
            </w:pPr>
          </w:p>
        </w:tc>
      </w:tr>
      <w:tr>
        <w:trPr>
          <w:trHeight w:val="244"/>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BALANCE, June 30, 2018</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9,026,806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187,367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(55,201)</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(3,442)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32,315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161,141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ind w:left="260"/>
              <w:spacing w:after="0"/>
              <w:rPr>
                <w:sz w:val="20"/>
                <w:szCs w:val="20"/>
                <w:color w:val="auto"/>
              </w:rPr>
            </w:pPr>
            <w:r>
              <w:rPr>
                <w:rFonts w:ascii="Arial" w:cs="Arial" w:eastAsia="Arial" w:hAnsi="Arial"/>
                <w:sz w:val="16"/>
                <w:szCs w:val="16"/>
                <w:b w:val="1"/>
                <w:bCs w:val="1"/>
                <w:color w:val="auto"/>
              </w:rPr>
              <w:t>Six Months Ended June 30,</w:t>
            </w:r>
          </w:p>
        </w:tc>
      </w:tr>
      <w:tr>
        <w:trPr>
          <w:trHeight w:val="47"/>
        </w:trPr>
        <w:tc>
          <w:tcPr>
            <w:tcW w:w="83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17"/>
        </w:trPr>
        <w:tc>
          <w:tcPr>
            <w:tcW w:w="8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ind w:left="24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47"/>
        </w:trPr>
        <w:tc>
          <w:tcPr>
            <w:tcW w:w="83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2,253</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15,970</w:t>
            </w:r>
          </w:p>
        </w:tc>
      </w:tr>
      <w:tr>
        <w:trPr>
          <w:trHeight w:val="33"/>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tcPr>
          <w:p>
            <w:pPr>
              <w:ind w:left="720"/>
              <w:spacing w:after="0"/>
              <w:rPr>
                <w:sz w:val="20"/>
                <w:szCs w:val="20"/>
                <w:color w:val="auto"/>
              </w:rPr>
            </w:pPr>
            <w:r>
              <w:rPr>
                <w:rFonts w:ascii="Arial" w:cs="Arial" w:eastAsia="Arial" w:hAnsi="Arial"/>
                <w:sz w:val="16"/>
                <w:szCs w:val="16"/>
                <w:color w:val="auto"/>
              </w:rPr>
              <w:t>Depreciation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434</w:t>
            </w:r>
          </w:p>
        </w:tc>
      </w:tr>
      <w:tr>
        <w:trPr>
          <w:trHeight w:val="33"/>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w:t>
            </w:r>
          </w:p>
        </w:tc>
      </w:tr>
      <w:tr>
        <w:trPr>
          <w:trHeight w:val="237"/>
        </w:trPr>
        <w:tc>
          <w:tcPr>
            <w:tcW w:w="8360" w:type="dxa"/>
            <w:vAlign w:val="bottom"/>
          </w:tcPr>
          <w:p>
            <w:pPr>
              <w:ind w:left="720"/>
              <w:spacing w:after="0"/>
              <w:rPr>
                <w:sz w:val="20"/>
                <w:szCs w:val="20"/>
                <w:color w:val="auto"/>
              </w:rPr>
            </w:pPr>
            <w:r>
              <w:rPr>
                <w:rFonts w:ascii="Arial" w:cs="Arial" w:eastAsia="Arial" w:hAnsi="Arial"/>
                <w:sz w:val="16"/>
                <w:szCs w:val="16"/>
                <w:color w:val="auto"/>
              </w:rPr>
              <w:t>Unrealized (gains) losses on trading investments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256</w:t>
            </w:r>
          </w:p>
        </w:tc>
      </w:tr>
      <w:tr>
        <w:trPr>
          <w:trHeight w:val="33"/>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7,963</w:t>
            </w:r>
          </w:p>
        </w:tc>
      </w:tr>
      <w:tr>
        <w:trPr>
          <w:trHeight w:val="237"/>
        </w:trPr>
        <w:tc>
          <w:tcPr>
            <w:tcW w:w="836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(1,631)</w:t>
            </w:r>
          </w:p>
        </w:tc>
      </w:tr>
      <w:tr>
        <w:trPr>
          <w:trHeight w:val="33"/>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Non-cash lease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w:t>
            </w:r>
          </w:p>
        </w:tc>
      </w:tr>
      <w:tr>
        <w:trPr>
          <w:trHeight w:val="237"/>
        </w:trPr>
        <w:tc>
          <w:tcPr>
            <w:tcW w:w="8360" w:type="dxa"/>
            <w:vAlign w:val="bottom"/>
          </w:tcPr>
          <w:p>
            <w:pPr>
              <w:ind w:left="720"/>
              <w:spacing w:after="0"/>
              <w:rPr>
                <w:sz w:val="20"/>
                <w:szCs w:val="20"/>
                <w:color w:val="auto"/>
              </w:rPr>
            </w:pPr>
            <w:r>
              <w:rPr>
                <w:rFonts w:ascii="Arial" w:cs="Arial" w:eastAsia="Arial" w:hAnsi="Arial"/>
                <w:sz w:val="16"/>
                <w:szCs w:val="16"/>
                <w:color w:val="auto"/>
              </w:rPr>
              <w:t>Gain on sale of operations</w:t>
            </w:r>
          </w:p>
        </w:tc>
        <w:tc>
          <w:tcPr>
            <w:tcW w:w="3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33"/>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tcPr>
          <w:p>
            <w:pPr>
              <w:ind w:left="720"/>
              <w:spacing w:after="0"/>
              <w:rPr>
                <w:sz w:val="20"/>
                <w:szCs w:val="20"/>
                <w:color w:val="auto"/>
              </w:rPr>
            </w:pPr>
            <w:r>
              <w:rPr>
                <w:rFonts w:ascii="Arial" w:cs="Arial" w:eastAsia="Arial" w:hAnsi="Arial"/>
                <w:sz w:val="16"/>
                <w:szCs w:val="16"/>
                <w:color w:val="auto"/>
              </w:rPr>
              <w:t>Net sales (purchases) of investments - trading securities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18,779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(10,445)</w:t>
            </w:r>
          </w:p>
        </w:tc>
      </w:tr>
      <w:tr>
        <w:trPr>
          <w:trHeight w:val="33"/>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(1,616)</w:t>
            </w:r>
          </w:p>
        </w:tc>
      </w:tr>
      <w:tr>
        <w:trPr>
          <w:trHeight w:val="237"/>
        </w:trPr>
        <w:tc>
          <w:tcPr>
            <w:tcW w:w="8360" w:type="dxa"/>
            <w:vAlign w:val="bottom"/>
          </w:tcPr>
          <w:p>
            <w:pPr>
              <w:ind w:left="720"/>
              <w:spacing w:after="0"/>
              <w:rPr>
                <w:sz w:val="20"/>
                <w:szCs w:val="20"/>
                <w:color w:val="auto"/>
              </w:rPr>
            </w:pPr>
            <w:r>
              <w:rPr>
                <w:rFonts w:ascii="Arial" w:cs="Arial" w:eastAsia="Arial" w:hAnsi="Arial"/>
                <w:sz w:val="16"/>
                <w:szCs w:val="16"/>
                <w:color w:val="auto"/>
              </w:rPr>
              <w:t>Other current assets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4,637</w:t>
            </w:r>
          </w:p>
        </w:tc>
      </w:tr>
      <w:tr>
        <w:trPr>
          <w:trHeight w:val="33"/>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237"/>
        </w:trPr>
        <w:tc>
          <w:tcPr>
            <w:tcW w:w="8360" w:type="dxa"/>
            <w:vAlign w:val="bottom"/>
          </w:tcPr>
          <w:p>
            <w:pPr>
              <w:ind w:left="720"/>
              <w:spacing w:after="0"/>
              <w:rPr>
                <w:sz w:val="20"/>
                <w:szCs w:val="20"/>
                <w:color w:val="auto"/>
              </w:rPr>
            </w:pPr>
            <w:r>
              <w:rPr>
                <w:rFonts w:ascii="Arial" w:cs="Arial" w:eastAsia="Arial" w:hAnsi="Arial"/>
                <w:sz w:val="16"/>
                <w:szCs w:val="16"/>
                <w:color w:val="auto"/>
              </w:rPr>
              <w:t>Compensation and benefits payable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(9,844)</w:t>
            </w:r>
          </w:p>
        </w:tc>
      </w:tr>
      <w:tr>
        <w:trPr>
          <w:trHeight w:val="33"/>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taxes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2,881</w:t>
            </w:r>
          </w:p>
        </w:tc>
      </w:tr>
      <w:tr>
        <w:trPr>
          <w:trHeight w:val="237"/>
        </w:trPr>
        <w:tc>
          <w:tcPr>
            <w:tcW w:w="8360" w:type="dxa"/>
            <w:vAlign w:val="bottom"/>
          </w:tcPr>
          <w:p>
            <w:pPr>
              <w:ind w:left="720"/>
              <w:spacing w:after="0"/>
              <w:rPr>
                <w:sz w:val="20"/>
                <w:szCs w:val="20"/>
                <w:color w:val="auto"/>
              </w:rPr>
            </w:pPr>
            <w:r>
              <w:rPr>
                <w:rFonts w:ascii="Arial" w:cs="Arial" w:eastAsia="Arial" w:hAnsi="Arial"/>
                <w:sz w:val="16"/>
                <w:szCs w:val="16"/>
                <w:color w:val="auto"/>
              </w:rPr>
              <w:t>Other liabilities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(599)</w:t>
            </w:r>
          </w:p>
        </w:tc>
      </w:tr>
      <w:tr>
        <w:trPr>
          <w:trHeight w:val="33"/>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8,401</w:t>
            </w:r>
          </w:p>
        </w:tc>
      </w:tr>
      <w:tr>
        <w:trPr>
          <w:trHeight w:val="217"/>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47"/>
        </w:trPr>
        <w:tc>
          <w:tcPr>
            <w:tcW w:w="8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37"/>
        </w:trPr>
        <w:tc>
          <w:tcPr>
            <w:tcW w:w="8360" w:type="dxa"/>
            <w:vAlign w:val="bottom"/>
          </w:tcPr>
          <w:p>
            <w:pPr>
              <w:ind w:left="380"/>
              <w:spacing w:after="0"/>
              <w:rPr>
                <w:sz w:val="20"/>
                <w:szCs w:val="20"/>
                <w:color w:val="auto"/>
              </w:rPr>
            </w:pPr>
            <w:r>
              <w:rPr>
                <w:rFonts w:ascii="Arial" w:cs="Arial" w:eastAsia="Arial" w:hAnsi="Arial"/>
                <w:sz w:val="16"/>
                <w:szCs w:val="16"/>
                <w:color w:val="auto"/>
              </w:rPr>
              <w:t>Proceeds from Omaha divestiture</w:t>
            </w:r>
          </w:p>
        </w:tc>
        <w:tc>
          <w:tcPr>
            <w:tcW w:w="3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10,013</w:t>
            </w:r>
          </w:p>
        </w:tc>
      </w:tr>
      <w:tr>
        <w:trPr>
          <w:trHeight w:val="33"/>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investments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r>
      <w:tr>
        <w:trPr>
          <w:trHeight w:val="217"/>
        </w:trPr>
        <w:tc>
          <w:tcPr>
            <w:tcW w:w="8360" w:type="dxa"/>
            <w:vAlign w:val="bottom"/>
          </w:tcPr>
          <w:p>
            <w:pPr>
              <w:ind w:left="920"/>
              <w:spacing w:after="0"/>
              <w:rPr>
                <w:sz w:val="20"/>
                <w:szCs w:val="20"/>
                <w:color w:val="auto"/>
              </w:rPr>
            </w:pPr>
            <w:r>
              <w:rPr>
                <w:rFonts w:ascii="Arial" w:cs="Arial" w:eastAsia="Arial" w:hAnsi="Arial"/>
                <w:sz w:val="16"/>
                <w:szCs w:val="16"/>
                <w:color w:val="auto"/>
              </w:rPr>
              <w:t>Net cash provided by (used in) investing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4,587</w:t>
            </w:r>
          </w:p>
        </w:tc>
      </w:tr>
      <w:tr>
        <w:trPr>
          <w:trHeight w:val="33"/>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tcPr>
          <w:p>
            <w:pPr>
              <w:ind w:left="380"/>
              <w:spacing w:after="0"/>
              <w:rPr>
                <w:sz w:val="20"/>
                <w:szCs w:val="20"/>
                <w:color w:val="auto"/>
              </w:rPr>
            </w:pPr>
            <w:r>
              <w:rPr>
                <w:rFonts w:ascii="Arial" w:cs="Arial" w:eastAsia="Arial" w:hAnsi="Arial"/>
                <w:sz w:val="16"/>
                <w:szCs w:val="16"/>
                <w:color w:val="auto"/>
              </w:rPr>
              <w:t>Purchases of treasury stock</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treasury stock under employee stock plans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w:t>
            </w:r>
          </w:p>
        </w:tc>
      </w:tr>
      <w:tr>
        <w:trPr>
          <w:trHeight w:val="237"/>
        </w:trPr>
        <w:tc>
          <w:tcPr>
            <w:tcW w:w="8360" w:type="dxa"/>
            <w:vAlign w:val="bottom"/>
          </w:tcPr>
          <w:p>
            <w:pPr>
              <w:ind w:left="380"/>
              <w:spacing w:after="0"/>
              <w:rPr>
                <w:sz w:val="20"/>
                <w:szCs w:val="20"/>
                <w:color w:val="auto"/>
              </w:rPr>
            </w:pPr>
            <w:r>
              <w:rPr>
                <w:rFonts w:ascii="Arial" w:cs="Arial" w:eastAsia="Arial" w:hAnsi="Arial"/>
                <w:sz w:val="16"/>
                <w:szCs w:val="16"/>
                <w:color w:val="auto"/>
              </w:rPr>
              <w:t>Restricted stock returned for payment of taxes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(4,687)</w:t>
            </w:r>
          </w:p>
        </w:tc>
      </w:tr>
      <w:tr>
        <w:trPr>
          <w:trHeight w:val="33"/>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 paid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(13,075)</w:t>
            </w:r>
          </w:p>
        </w:tc>
      </w:tr>
      <w:tr>
        <w:trPr>
          <w:trHeight w:val="217"/>
        </w:trPr>
        <w:tc>
          <w:tcPr>
            <w:tcW w:w="8360" w:type="dxa"/>
            <w:vAlign w:val="bottom"/>
          </w:tcPr>
          <w:p>
            <w:pPr>
              <w:ind w:left="92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(18,032)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(18,488)</w:t>
            </w:r>
          </w:p>
        </w:tc>
      </w:tr>
      <w:tr>
        <w:trPr>
          <w:trHeight w:val="33"/>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currency rate changes on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(1,448)</w:t>
            </w:r>
          </w:p>
        </w:tc>
      </w:tr>
      <w:tr>
        <w:trPr>
          <w:trHeight w:val="217"/>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3,861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(6,948)</w:t>
            </w:r>
          </w:p>
        </w:tc>
      </w:tr>
      <w:tr>
        <w:trPr>
          <w:trHeight w:val="33"/>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52,449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54,249</w:t>
            </w:r>
          </w:p>
        </w:tc>
      </w:tr>
      <w:tr>
        <w:trPr>
          <w:trHeight w:val="217"/>
        </w:trPr>
        <w:tc>
          <w:tcPr>
            <w:tcW w:w="836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56,310</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47,301</w:t>
            </w:r>
          </w:p>
        </w:tc>
      </w:tr>
      <w:tr>
        <w:trPr>
          <w:trHeight w:val="73"/>
        </w:trPr>
        <w:tc>
          <w:tcPr>
            <w:tcW w:w="83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78"/>
        </w:trPr>
        <w:tc>
          <w:tcPr>
            <w:tcW w:w="8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24"/>
        </w:trPr>
        <w:tc>
          <w:tcPr>
            <w:tcW w:w="8360" w:type="dxa"/>
            <w:vAlign w:val="bottom"/>
          </w:tcPr>
          <w:p>
            <w:pPr>
              <w:ind w:left="40"/>
              <w:spacing w:after="0"/>
              <w:rPr>
                <w:sz w:val="20"/>
                <w:szCs w:val="20"/>
                <w:color w:val="auto"/>
              </w:rPr>
            </w:pPr>
            <w:r>
              <w:rPr>
                <w:rFonts w:ascii="Arial" w:cs="Arial" w:eastAsia="Arial" w:hAnsi="Arial"/>
                <w:sz w:val="16"/>
                <w:szCs w:val="16"/>
                <w:color w:val="auto"/>
              </w:rPr>
              <w:t>Supplemental cash flow information:</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8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during the period for income taxes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4,169</w:t>
            </w:r>
          </w:p>
        </w:tc>
      </w:tr>
      <w:tr>
        <w:trPr>
          <w:trHeight w:val="237"/>
        </w:trPr>
        <w:tc>
          <w:tcPr>
            <w:tcW w:w="8360" w:type="dxa"/>
            <w:vAlign w:val="bottom"/>
          </w:tcPr>
          <w:p>
            <w:pPr>
              <w:ind w:left="380"/>
              <w:spacing w:after="0"/>
              <w:rPr>
                <w:sz w:val="20"/>
                <w:szCs w:val="20"/>
                <w:color w:val="auto"/>
              </w:rPr>
            </w:pPr>
            <w:r>
              <w:rPr>
                <w:rFonts w:ascii="Arial" w:cs="Arial" w:eastAsia="Arial" w:hAnsi="Arial"/>
                <w:sz w:val="16"/>
                <w:szCs w:val="16"/>
                <w:color w:val="auto"/>
              </w:rPr>
              <w:t>Accrued dividends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8,150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8,260</w:t>
            </w:r>
          </w:p>
        </w:tc>
      </w:tr>
      <w:tr>
        <w:trPr>
          <w:trHeight w:val="33"/>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Accrued purchase of property and equipment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7" w:name="page8"/>
    <w:bookmarkEnd w:id="7"/>
    <w:p>
      <w:pPr>
        <w:jc w:val="center"/>
        <w:ind w:left="280" w:right="272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(Unaudited)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75" w:lineRule="exact"/>
        <w:rPr>
          <w:sz w:val="20"/>
          <w:szCs w:val="20"/>
          <w:color w:val="auto"/>
        </w:rPr>
      </w:pPr>
    </w:p>
    <w:p>
      <w:pPr>
        <w:ind w:right="200" w:firstLine="500"/>
        <w:spacing w:after="0" w:line="297" w:lineRule="auto"/>
        <w:rPr>
          <w:sz w:val="20"/>
          <w:szCs w:val="20"/>
          <w:color w:val="auto"/>
        </w:rPr>
      </w:pPr>
      <w:r>
        <w:rPr>
          <w:rFonts w:ascii="Arial" w:cs="Arial" w:eastAsia="Arial" w:hAnsi="Arial"/>
          <w:sz w:val="16"/>
          <w:szCs w:val="16"/>
          <w:color w:val="auto"/>
        </w:rPr>
        <w:t>Westwood Holdings Group, Inc. (“Westwood”, the “Company”, “we”, “us” or “our”) was incorporated under the laws of the State of Delaware on December 12, 2001. Westwood provides investment management services to institutional investors, high net worth individuals and financial intermediaries through its subsidiaries, Westwood Management Corp. and Westwood Advisors, L.L.C. (together “Westwood Management”), Westwood Trust, and Westwood International Advisors Inc. (“Westwood International”). Revenue is largely dependent on the total value and composition of assets under management (“AUM”). Accordingly, fluctuations in financial markets and in the composition of AUM impact revenues and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of our Omaha Operations</w:t>
      </w:r>
    </w:p>
    <w:p>
      <w:pPr>
        <w:spacing w:after="0" w:line="175" w:lineRule="exact"/>
        <w:rPr>
          <w:sz w:val="20"/>
          <w:szCs w:val="20"/>
          <w:color w:val="auto"/>
        </w:rPr>
      </w:pPr>
    </w:p>
    <w:p>
      <w:pPr>
        <w:ind w:right="20" w:firstLine="500"/>
        <w:spacing w:after="0" w:line="257" w:lineRule="auto"/>
        <w:rPr>
          <w:sz w:val="20"/>
          <w:szCs w:val="20"/>
          <w:color w:val="auto"/>
        </w:rPr>
      </w:pPr>
      <w:r>
        <w:rPr>
          <w:rFonts w:ascii="Arial" w:cs="Arial" w:eastAsia="Arial" w:hAnsi="Arial"/>
          <w:sz w:val="18"/>
          <w:szCs w:val="18"/>
          <w:color w:val="auto"/>
        </w:rPr>
        <w:t>On September 6, 2017, we entered into an agreement to sell the Omaha-based component of our Wealth Management business. The sale closed on January 12, 2018. We received proceeds of $10.0 million, net of working capital requirements, and recorded a $524,000 gain on the sale, which is included as “Gain on sale of operations” on our Condensed Consolidated Statements of Comprehensive Income. The sale reduced goodwill and intangible assets but did not have a material impact on our Condensed Consolidated Balance Sheet. The following table presents cash proceeds received and net assets sold (in thousands):</w:t>
      </w:r>
    </w:p>
    <w:p>
      <w:pPr>
        <w:spacing w:after="0" w:line="284" w:lineRule="exact"/>
        <w:rPr>
          <w:sz w:val="20"/>
          <w:szCs w:val="20"/>
          <w:color w:val="auto"/>
        </w:rPr>
      </w:pPr>
    </w:p>
    <w:tbl>
      <w:tblPr>
        <w:tblLayout w:type="fixed"/>
        <w:tblInd w:w="2620" w:type="dxa"/>
        <w:tblCellMar>
          <w:top w:w="0" w:type="dxa"/>
          <w:left w:w="0" w:type="dxa"/>
          <w:bottom w:w="0" w:type="dxa"/>
          <w:right w:w="0" w:type="dxa"/>
        </w:tblCellMar>
      </w:tblPr>
      <w:tr>
        <w:trPr>
          <w:trHeight w:val="27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Proceeds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10,013</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Net assets sold:</w:t>
            </w:r>
          </w:p>
        </w:tc>
        <w:tc>
          <w:tcPr>
            <w:tcW w:w="8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8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7,340</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8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2,170</w:t>
            </w: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8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8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4020" w:type="dxa"/>
            <w:vAlign w:val="bottom"/>
          </w:tcPr>
          <w:p>
            <w:pPr>
              <w:ind w:left="20"/>
              <w:spacing w:after="0"/>
              <w:rPr>
                <w:sz w:val="20"/>
                <w:szCs w:val="20"/>
                <w:color w:val="auto"/>
              </w:rPr>
            </w:pPr>
            <w:r>
              <w:rPr>
                <w:rFonts w:ascii="Arial" w:cs="Arial" w:eastAsia="Arial" w:hAnsi="Arial"/>
                <w:sz w:val="18"/>
                <w:szCs w:val="18"/>
                <w:color w:val="auto"/>
              </w:rPr>
              <w:t>Gain on sale of operations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524</w:t>
            </w:r>
          </w:p>
        </w:tc>
      </w:tr>
      <w:tr>
        <w:trPr>
          <w:trHeight w:val="20"/>
        </w:trPr>
        <w:tc>
          <w:tcPr>
            <w:tcW w:w="4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500"/>
        <w:spacing w:after="0" w:line="277" w:lineRule="auto"/>
        <w:rPr>
          <w:sz w:val="20"/>
          <w:szCs w:val="20"/>
          <w:color w:val="auto"/>
        </w:rPr>
      </w:pPr>
      <w:r>
        <w:rPr>
          <w:rFonts w:ascii="Arial" w:cs="Arial" w:eastAsia="Arial" w:hAnsi="Arial"/>
          <w:sz w:val="18"/>
          <w:szCs w:val="18"/>
          <w:color w:val="auto"/>
        </w:rPr>
        <w:t>The component is reported within both our Advisory and Trust segments. The sale did not represent a major strategic shift in our business and did not qualify for discontinued operations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in the opinion of management to present fairly our interim financial position and results of operations and cash flows for the periods presented. The accompanying Condensed Consolidated Financial Statements are presented in accordance with GAAP and the rules and regulations of the Securities and Exchange Commission (“SEC”).</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364" w:right="279" w:bottom="1440" w:gutter="0" w:footer="0" w:header="0"/>
        </w:sectPr>
      </w:pPr>
    </w:p>
    <w:bookmarkStart w:id="8" w:name="page9"/>
    <w:bookmarkEnd w:id="8"/>
    <w:p>
      <w:pPr>
        <w:jc w:val="center"/>
        <w:ind w:left="280" w:right="212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15" w:lineRule="exact"/>
        <w:rPr>
          <w:sz w:val="20"/>
          <w:szCs w:val="20"/>
          <w:color w:val="auto"/>
        </w:rPr>
      </w:pPr>
    </w:p>
    <w:p>
      <w:pPr>
        <w:ind w:right="60" w:firstLine="500"/>
        <w:spacing w:after="0" w:line="270"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our Consolidated Financial Statements, and notes thereto, included in our Annual Report on Form 10-K for the year ended December 31, 2018, filed with the SEC.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 In the current year, we created a new expense item on the Condensed Consolidated Statements of Comprehensive Income for “(Gain) loss on foreign currency transactions,” which was previously included in “General and Administrative” expense, and a new cash flow item on the Condensed Consolidated Statements of Cash Flows for “Non-cash lease expense,” which was previously included in the changes in operating assets and liabilities within “Other liabilities.” Prior year financial statements were reclassified to conform to this presentation. These reclassifications had no impact on net income, stockholders’ equity or cash flows as previously reported.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11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In February 2016, the FASB issued Accounting Standards Update (“ASU”) 2016-02, </w:t>
      </w:r>
      <w:r>
        <w:rPr>
          <w:rFonts w:ascii="Arial" w:cs="Arial" w:eastAsia="Arial" w:hAnsi="Arial"/>
          <w:sz w:val="16"/>
          <w:szCs w:val="16"/>
          <w:i w:val="1"/>
          <w:iCs w:val="1"/>
          <w:color w:val="auto"/>
        </w:rPr>
        <w:t>Leases</w:t>
      </w:r>
      <w:r>
        <w:rPr>
          <w:rFonts w:ascii="Arial" w:cs="Arial" w:eastAsia="Arial" w:hAnsi="Arial"/>
          <w:sz w:val="16"/>
          <w:szCs w:val="16"/>
          <w:color w:val="auto"/>
        </w:rPr>
        <w:t>. ASU 2016-02 requires lessees to recognize a lease liability and a right-of-use asset for all leases at the commencement date, excluding short-term leases. Leases will be classified as either financing or operating, with classification impacting the pattern of expense recognition in the income statement. The amendment is effective for fiscal years beginning after December 15, 2018, including interim periods within those fiscal years. We adopted the standard as of January 1, 2019 under the modified retrospective approach, which provides a method for recording existing leases at adoption and in comparative periods that approximates the results of a full retrospective approach. We elected the package of practical expedients permitted under the transition guidance, which, among other things, allows us to carry forward the historical lease classification and elect hindsight to determine certain lease terms for existing leases. See further discussion in Note 13 “Leases.”</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impacts of the adoption of ASU 2016-02 to our previously reported results (in thousands):</w:t>
      </w:r>
    </w:p>
    <w:p>
      <w:pPr>
        <w:spacing w:after="0" w:line="172"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New Lease</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7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0"/>
              </w:rPr>
              <w:t>As Previously</w:t>
            </w: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Standard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7200" w:type="dxa"/>
            <w:vAlign w:val="bottom"/>
          </w:tcPr>
          <w:p>
            <w:pPr>
              <w:ind w:left="20"/>
              <w:spacing w:after="0"/>
              <w:rPr>
                <w:sz w:val="20"/>
                <w:szCs w:val="20"/>
                <w:color w:val="auto"/>
              </w:rPr>
            </w:pPr>
            <w:r>
              <w:rPr>
                <w:rFonts w:ascii="Arial" w:cs="Arial" w:eastAsia="Arial" w:hAnsi="Arial"/>
                <w:sz w:val="16"/>
                <w:szCs w:val="16"/>
                <w:b w:val="1"/>
                <w:bCs w:val="1"/>
                <w:color w:val="auto"/>
              </w:rPr>
              <w:t>Balance Sheet as of December 31, 2018:</w:t>
            </w:r>
          </w:p>
        </w:tc>
        <w:tc>
          <w:tcPr>
            <w:tcW w:w="140" w:type="dxa"/>
            <w:vAlign w:val="bottom"/>
          </w:tcPr>
          <w:p>
            <w:pPr>
              <w:spacing w:after="0"/>
              <w:rPr>
                <w:sz w:val="18"/>
                <w:szCs w:val="18"/>
                <w:color w:val="auto"/>
              </w:rPr>
            </w:pPr>
          </w:p>
        </w:tc>
        <w:tc>
          <w:tcPr>
            <w:tcW w:w="13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1"/>
              </w:rPr>
              <w:t>Reported</w:t>
            </w: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w:t>
            </w:r>
          </w:p>
        </w:tc>
        <w:tc>
          <w:tcPr>
            <w:tcW w:w="16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6"/>
                <w:szCs w:val="16"/>
                <w:b w:val="1"/>
                <w:bCs w:val="1"/>
                <w:color w:val="auto"/>
                <w:w w:val="90"/>
              </w:rPr>
              <w:t>As Restated</w:t>
            </w:r>
          </w:p>
        </w:tc>
      </w:tr>
      <w:tr>
        <w:trPr>
          <w:trHeight w:val="33"/>
        </w:trPr>
        <w:tc>
          <w:tcPr>
            <w:tcW w:w="7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8,698</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21"/>
                <w:szCs w:val="21"/>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1,432</w:t>
            </w:r>
          </w:p>
        </w:tc>
      </w:tr>
      <w:tr>
        <w:trPr>
          <w:trHeight w:val="27"/>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9,331</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The purpose of this amendment is to simplify the accounting for share-based payments granted to nonemployees for goods and services by</w:t>
      </w:r>
      <w:r>
        <w:rPr>
          <w:rFonts w:ascii="Arial" w:cs="Arial" w:eastAsia="Arial" w:hAnsi="Arial"/>
          <w:sz w:val="18"/>
          <w:szCs w:val="18"/>
          <w:i w:val="1"/>
          <w:iCs w:val="1"/>
          <w:color w:val="auto"/>
        </w:rPr>
        <w:t xml:space="preserve"> </w:t>
      </w:r>
      <w:r>
        <w:rPr>
          <w:rFonts w:ascii="Arial" w:cs="Arial" w:eastAsia="Arial" w:hAnsi="Arial"/>
          <w:sz w:val="18"/>
          <w:szCs w:val="18"/>
          <w:color w:val="auto"/>
        </w:rPr>
        <w:t>aligning it with the accounting used for arrangements with employees. We adopted the standard as of January 1, 2019 and it did not have a material impact on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171"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The purpose of this amendment is to modify, remove and add certain disclosure requirements for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Under ASU 2018-13, entities are required to disclose the amount of total gains or losses recognized in other comprehensive income attributable to assets and liabilities categorized within Level 3 of the fair value hierarchy. The ASU includes an incremental requirement about significant unobservable inputs for Level 3 fair value measurements. The requirement to disclose reasons for transfers between Level 1 and Level 2 was removed. Various requirements for Level 3 disclosure were also modified. The amendments in this ASU are effective for all entities for fiscal years and interim periods beginning after December 15, 2019. We do not expect the amendment to have a material impact on our Consolidated Financial Statements, and we plan to adopt this amendment within the required time frame.</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1" w:right="27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15"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Internal-Use Software (Topic 350):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Implementation Costs Incurred in a Cloud Computing Arrangement That Is a Service Contract. </w:t>
      </w:r>
      <w:r>
        <w:rPr>
          <w:rFonts w:ascii="Arial" w:cs="Arial" w:eastAsia="Arial" w:hAnsi="Arial"/>
          <w:sz w:val="16"/>
          <w:szCs w:val="16"/>
          <w:color w:val="auto"/>
        </w:rPr>
        <w:t>The purpose of this amendment is to align the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amendments in this update are effective for public companies for fiscal years beginning after December 15, 2019, including interim periods within that fiscal year. We do not expect the amendment to have a material impact on our Consolidated Financial Statements, and we plan to adopt the standard within the required time frame.</w:t>
      </w:r>
    </w:p>
    <w:p>
      <w:pPr>
        <w:spacing w:after="0" w:line="5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 xml:space="preserve">In May 2019, the FASB issued ASU 2019-05, </w:t>
      </w:r>
      <w:r>
        <w:rPr>
          <w:rFonts w:ascii="Arial" w:cs="Arial" w:eastAsia="Arial" w:hAnsi="Arial"/>
          <w:sz w:val="18"/>
          <w:szCs w:val="18"/>
          <w:i w:val="1"/>
          <w:iCs w:val="1"/>
          <w:color w:val="auto"/>
        </w:rPr>
        <w:t>Financial Instruments—Credit Losses (Topic 326): Targeted Transition Relief.</w:t>
      </w:r>
      <w:r>
        <w:rPr>
          <w:rFonts w:ascii="Arial" w:cs="Arial" w:eastAsia="Arial" w:hAnsi="Arial"/>
          <w:sz w:val="18"/>
          <w:szCs w:val="18"/>
          <w:color w:val="auto"/>
        </w:rPr>
        <w:t xml:space="preserve"> The purpose of this amendment is to amend ASU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to allow companies to irrevocably elect, upon adoption of ASU 2016-13, the fair value option on financial instruments that were previously recorded at amortized cost and are within the scope of ASC 326-20, </w:t>
      </w:r>
      <w:r>
        <w:rPr>
          <w:rFonts w:ascii="Arial" w:cs="Arial" w:eastAsia="Arial" w:hAnsi="Arial"/>
          <w:sz w:val="18"/>
          <w:szCs w:val="18"/>
          <w:i w:val="1"/>
          <w:iCs w:val="1"/>
          <w:color w:val="auto"/>
        </w:rPr>
        <w:t>Financial Instruments-Credit Losses:Amortization Cost</w:t>
      </w:r>
      <w:r>
        <w:rPr>
          <w:rFonts w:ascii="Arial" w:cs="Arial" w:eastAsia="Arial" w:hAnsi="Arial"/>
          <w:sz w:val="18"/>
          <w:szCs w:val="18"/>
          <w:color w:val="auto"/>
        </w:rPr>
        <w:t xml:space="preserve">, if the instruments are eligible for the fair value option under Accounting Standards Codification 825 - </w:t>
      </w:r>
      <w:r>
        <w:rPr>
          <w:rFonts w:ascii="Arial" w:cs="Arial" w:eastAsia="Arial" w:hAnsi="Arial"/>
          <w:sz w:val="18"/>
          <w:szCs w:val="18"/>
          <w:i w:val="1"/>
          <w:iCs w:val="1"/>
          <w:color w:val="auto"/>
        </w:rPr>
        <w:t>Financial Instruments</w:t>
      </w:r>
      <w:r>
        <w:rPr>
          <w:rFonts w:ascii="Arial" w:cs="Arial" w:eastAsia="Arial" w:hAnsi="Arial"/>
          <w:sz w:val="18"/>
          <w:szCs w:val="18"/>
          <w:color w:val="auto"/>
        </w:rPr>
        <w:t>. The fair value option election does not apply to held-to-maturity debt securities. The amendments in this update are effective for public companies for fiscal years beginning after December 15, 2019, including interim periods within that fiscal year. We do not expect the amendment to have a material impact on our Consolidated Financial Statements, and we plan to adopt the standard within the required time frame.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75" w:lineRule="exact"/>
        <w:rPr>
          <w:sz w:val="20"/>
          <w:szCs w:val="20"/>
          <w:color w:val="auto"/>
        </w:rPr>
      </w:pPr>
    </w:p>
    <w:p>
      <w:pPr>
        <w:ind w:right="80" w:firstLine="500"/>
        <w:spacing w:after="0" w:line="297" w:lineRule="auto"/>
        <w:rPr>
          <w:sz w:val="20"/>
          <w:szCs w:val="20"/>
          <w:color w:val="auto"/>
        </w:rPr>
      </w:pPr>
      <w:r>
        <w:rPr>
          <w:rFonts w:ascii="Arial" w:cs="Arial" w:eastAsia="Arial" w:hAnsi="Arial"/>
          <w:sz w:val="16"/>
          <w:szCs w:val="16"/>
          <w:color w:val="auto"/>
        </w:rPr>
        <w:t>Basic earnings per common share is computed by dividing net income available to common stockholders by the weighted average number of shares outstanding for the applicable period. Diluted earnings per share is computed based on the weighted average number of shares outstanding plus the effect of any dilutive shares of restricted stock granted to employees and non-employee directors. There were approximately 131,000 anti-dilutive restricted shares outstanding for the three months ended June 30, 2019, and there were no anti-dilutive restricted shares outstanding for the three months ended June 30, 2018. There were approximately 91,000 and 5,000 anti-dilutive restricted shares outstanding for the six months ended June 30, 2019 and 2018, respectively.</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the computation of basic and diluted earnings per share (in thousands, except per share and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380" w:type="dxa"/>
            <w:vAlign w:val="bottom"/>
            <w:gridSpan w:val="4"/>
          </w:tcPr>
          <w:p>
            <w:pPr>
              <w:jc w:val="right"/>
              <w:ind w:right="251"/>
              <w:spacing w:after="0"/>
              <w:rPr>
                <w:sz w:val="20"/>
                <w:szCs w:val="20"/>
                <w:color w:val="auto"/>
              </w:rPr>
            </w:pPr>
            <w:r>
              <w:rPr>
                <w:rFonts w:ascii="Arial" w:cs="Arial" w:eastAsia="Arial" w:hAnsi="Arial"/>
                <w:sz w:val="16"/>
                <w:szCs w:val="16"/>
                <w:b w:val="1"/>
                <w:bCs w:val="1"/>
                <w:color w:val="auto"/>
                <w:w w:val="97"/>
              </w:rPr>
              <w:t>Six Months Ended June 30,</w:t>
            </w:r>
          </w:p>
        </w:tc>
      </w:tr>
      <w:tr>
        <w:trPr>
          <w:trHeight w:val="47"/>
        </w:trPr>
        <w:tc>
          <w:tcPr>
            <w:tcW w:w="60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1"/>
        </w:trPr>
        <w:tc>
          <w:tcPr>
            <w:tcW w:w="6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r>
      <w:tr>
        <w:trPr>
          <w:trHeight w:val="33"/>
        </w:trPr>
        <w:tc>
          <w:tcPr>
            <w:tcW w:w="6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15,970</w:t>
            </w:r>
          </w:p>
        </w:tc>
      </w:tr>
      <w:tr>
        <w:trPr>
          <w:trHeight w:val="297"/>
        </w:trPr>
        <w:tc>
          <w:tcPr>
            <w:tcW w:w="6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 - basic</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8,446,610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8,399,148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8,406,367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8,336,923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Dilutive potential shares from unvested restricted shares</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30,167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144,205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61,222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206,478</w:t>
            </w:r>
          </w:p>
        </w:tc>
      </w:tr>
      <w:tr>
        <w:trPr>
          <w:trHeight w:val="27"/>
        </w:trPr>
        <w:tc>
          <w:tcPr>
            <w:tcW w:w="6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 - diluted</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8,476,777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8,543,353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8,467,589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8,543,401</w:t>
            </w:r>
          </w:p>
        </w:tc>
      </w:tr>
      <w:tr>
        <w:trPr>
          <w:trHeight w:val="297"/>
        </w:trPr>
        <w:tc>
          <w:tcPr>
            <w:tcW w:w="6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1.92</w:t>
            </w:r>
          </w:p>
        </w:tc>
      </w:tr>
      <w:tr>
        <w:trPr>
          <w:trHeight w:val="27"/>
        </w:trPr>
        <w:tc>
          <w:tcPr>
            <w:tcW w:w="6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r>
      <w:tr>
        <w:trPr>
          <w:trHeight w:val="27"/>
        </w:trPr>
        <w:tc>
          <w:tcPr>
            <w:tcW w:w="6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75"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During 2018, we made a $5.4 million strategic investment in a private company, which is included in “Investments” on our Condensed Consolidated Balance Sheets. This investment represents an equity interest in a private company without a readily-determinable fair value. The Company has elected to apply the measurement alternative of cost minus impairment, if any, plus or minus changes resulting from observable price changes. As of June 30, 2019 and December 31, 2018, there were no observable price changes or indicators of impairment for this investment.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69" w:lineRule="exact"/>
        <w:rPr>
          <w:sz w:val="20"/>
          <w:szCs w:val="20"/>
          <w:color w:val="auto"/>
        </w:rPr>
      </w:pPr>
    </w:p>
    <w:p>
      <w:pPr>
        <w:jc w:val="both"/>
        <w:ind w:right="340" w:firstLine="486"/>
        <w:spacing w:after="0" w:line="264" w:lineRule="auto"/>
        <w:rPr>
          <w:sz w:val="20"/>
          <w:szCs w:val="20"/>
          <w:color w:val="auto"/>
        </w:rPr>
      </w:pPr>
      <w:r>
        <w:rPr>
          <w:rFonts w:ascii="Arial" w:cs="Arial" w:eastAsia="Arial" w:hAnsi="Arial"/>
          <w:sz w:val="18"/>
          <w:szCs w:val="18"/>
          <w:color w:val="auto"/>
        </w:rPr>
        <w:t>In February 2019, we made a $250,000 investment in Westwood Hospitality Fund I, LLC, a private investment fund. Our investment is included in “Investments” on our Condensed Consolidated Balance Sheets and will be measured at fair value on a recurring basis using net asset value (“NAV”) as a practical expedient.</w:t>
      </w:r>
    </w:p>
    <w:p>
      <w:pPr>
        <w:spacing w:after="0" w:line="73"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All other investments are accounted for as trading securities, are carried at fair value on a recurring basis and are included in “Investments, at fair value” on our Condensed Consolidated Balance Sheets.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Investments carried at fair value are presented in the table below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7"/>
                <w:szCs w:val="17"/>
                <w:color w:val="auto"/>
              </w:rPr>
            </w:pPr>
          </w:p>
        </w:tc>
        <w:tc>
          <w:tcPr>
            <w:tcW w:w="960" w:type="dxa"/>
            <w:vAlign w:val="bottom"/>
          </w:tcPr>
          <w:p>
            <w:pPr>
              <w:jc w:val="center"/>
              <w:ind w:right="72"/>
              <w:spacing w:after="0"/>
              <w:rPr>
                <w:sz w:val="20"/>
                <w:szCs w:val="20"/>
                <w:color w:val="auto"/>
              </w:rPr>
            </w:pPr>
            <w:r>
              <w:rPr>
                <w:rFonts w:ascii="Arial" w:cs="Arial" w:eastAsia="Arial" w:hAnsi="Arial"/>
                <w:sz w:val="16"/>
                <w:szCs w:val="16"/>
                <w:b w:val="1"/>
                <w:bCs w:val="1"/>
                <w:color w:val="auto"/>
                <w:w w:val="94"/>
              </w:rPr>
              <w:t>Estimated</w:t>
            </w:r>
          </w:p>
        </w:tc>
      </w:tr>
      <w:tr>
        <w:trPr>
          <w:trHeight w:val="203"/>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7"/>
                <w:szCs w:val="17"/>
                <w:color w:val="auto"/>
              </w:rPr>
            </w:pPr>
          </w:p>
        </w:tc>
        <w:tc>
          <w:tcPr>
            <w:tcW w:w="960" w:type="dxa"/>
            <w:vAlign w:val="bottom"/>
          </w:tcPr>
          <w:p>
            <w:pPr>
              <w:jc w:val="center"/>
              <w:ind w:right="72"/>
              <w:spacing w:after="0"/>
              <w:rPr>
                <w:sz w:val="20"/>
                <w:szCs w:val="20"/>
                <w:color w:val="auto"/>
              </w:rPr>
            </w:pPr>
            <w:r>
              <w:rPr>
                <w:rFonts w:ascii="Arial" w:cs="Arial" w:eastAsia="Arial" w:hAnsi="Arial"/>
                <w:sz w:val="16"/>
                <w:szCs w:val="16"/>
                <w:b w:val="1"/>
                <w:bCs w:val="1"/>
                <w:color w:val="auto"/>
              </w:rPr>
              <w:t>Market</w:t>
            </w:r>
          </w:p>
        </w:tc>
      </w:tr>
      <w:tr>
        <w:trPr>
          <w:trHeight w:val="210"/>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180" w:type="dxa"/>
            <w:vAlign w:val="bottom"/>
          </w:tcPr>
          <w:p>
            <w:pPr>
              <w:spacing w:after="0"/>
              <w:rPr>
                <w:sz w:val="18"/>
                <w:szCs w:val="18"/>
                <w:color w:val="auto"/>
              </w:rPr>
            </w:pPr>
          </w:p>
        </w:tc>
        <w:tc>
          <w:tcPr>
            <w:tcW w:w="960" w:type="dxa"/>
            <w:vAlign w:val="bottom"/>
          </w:tcPr>
          <w:p>
            <w:pPr>
              <w:jc w:val="center"/>
              <w:ind w:right="7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2019:</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30,701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30,954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10,067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Equity funds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6,581</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trading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47,602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Private investment fund</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250</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investments carried at fair value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47,852</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2018:</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48,177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48,409</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10,354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Equity funds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7,018</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trading securities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65,781</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As of June 30, 2019 and December 31, 2018, approximately $6.5 million and $6.1 million, respectively, in corporate funds were invested in Westwood Funds®. See Note 8 “Variable Interest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75" w:lineRule="exact"/>
        <w:rPr>
          <w:sz w:val="20"/>
          <w:szCs w:val="20"/>
          <w:color w:val="auto"/>
        </w:rPr>
      </w:pPr>
    </w:p>
    <w:p>
      <w:pPr>
        <w:ind w:right="40" w:firstLine="500"/>
        <w:spacing w:after="0" w:line="270" w:lineRule="auto"/>
        <w:rPr>
          <w:sz w:val="20"/>
          <w:szCs w:val="20"/>
          <w:color w:val="auto"/>
        </w:rPr>
      </w:pPr>
      <w:r>
        <w:rPr>
          <w:rFonts w:ascii="Arial" w:cs="Arial" w:eastAsia="Arial" w:hAnsi="Arial"/>
          <w:sz w:val="17"/>
          <w:szCs w:val="17"/>
          <w:color w:val="auto"/>
        </w:rPr>
        <w:t>We determine estimated fair values for our financial instruments using available information. The fair value amounts discussed in our Condensed Consolidated Financial Statements are not necessarily indicative of either amounts realizable upon disposition of these instruments or our intent or ability to dispose of these assets. The estimated fair value of cash and cash equivalents, accounts receivable, prepaid income taxes, other current assets, accounts payable and accrued liabilities, dividends payable, compensation and benefits payable and income taxes payable approximates their carrying value due to their short-term maturities. The carrying amount of investments designated as trading securities, primarily U.S. Government and Government agency obligations, money market funds, Westwood Funds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mutual funds, Westwood Investment Funds Plc (the “UCITS Fund”) and Westwood Trust common trust fund shares, equals their fair value based on prices quoted in active markets and, with respect to common trust funds, the net asset value of the shares held as reported by each fund. Market values of our money market holdings generally do not fluctuate. Our strategic investment in a private company discussed in Note 4 “Investments” is excluded from the recurring fair value table shown below, as we have elected to apply the measurement alternative for this investment.</w:t>
      </w:r>
    </w:p>
    <w:p>
      <w:pPr>
        <w:spacing w:after="0" w:line="124" w:lineRule="exact"/>
        <w:rPr>
          <w:sz w:val="20"/>
          <w:szCs w:val="20"/>
          <w:color w:val="auto"/>
        </w:rPr>
      </w:pPr>
    </w:p>
    <w:p>
      <w:pPr>
        <w:ind w:right="40" w:firstLine="500"/>
        <w:spacing w:after="0" w:line="258" w:lineRule="auto"/>
        <w:rPr>
          <w:sz w:val="20"/>
          <w:szCs w:val="20"/>
          <w:color w:val="auto"/>
        </w:rPr>
      </w:pPr>
      <w:r>
        <w:rPr>
          <w:rFonts w:ascii="Arial" w:cs="Arial" w:eastAsia="Arial" w:hAnsi="Arial"/>
          <w:sz w:val="18"/>
          <w:szCs w:val="18"/>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1" w:lineRule="exact"/>
        <w:rPr>
          <w:sz w:val="20"/>
          <w:szCs w:val="20"/>
          <w:color w:val="auto"/>
        </w:rPr>
      </w:pP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w:t>
      </w:r>
    </w:p>
    <w:p>
      <w:pPr>
        <w:spacing w:after="0" w:line="48" w:lineRule="exact"/>
        <w:rPr>
          <w:rFonts w:ascii="Arial" w:cs="Arial" w:eastAsia="Arial" w:hAnsi="Arial"/>
          <w:sz w:val="18"/>
          <w:szCs w:val="18"/>
          <w:color w:val="auto"/>
        </w:rPr>
      </w:pP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directly or indirectly observable</w:t>
      </w:r>
    </w:p>
    <w:p>
      <w:pPr>
        <w:spacing w:after="0" w:line="63" w:lineRule="exact"/>
        <w:rPr>
          <w:rFonts w:ascii="Arial" w:cs="Arial" w:eastAsia="Arial" w:hAnsi="Arial"/>
          <w:sz w:val="18"/>
          <w:szCs w:val="18"/>
          <w:color w:val="auto"/>
        </w:rPr>
      </w:pP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significant unobservable inputs where there is little or no market activity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69" w:lineRule="exact"/>
        <w:rPr>
          <w:sz w:val="20"/>
          <w:szCs w:val="20"/>
          <w:color w:val="auto"/>
        </w:rPr>
      </w:pPr>
    </w:p>
    <w:p>
      <w:pPr>
        <w:ind w:right="40" w:firstLine="500"/>
        <w:spacing w:after="0" w:line="277" w:lineRule="auto"/>
        <w:rPr>
          <w:sz w:val="20"/>
          <w:szCs w:val="20"/>
          <w:color w:val="auto"/>
        </w:rPr>
      </w:pPr>
      <w:r>
        <w:rPr>
          <w:rFonts w:ascii="Arial" w:cs="Arial" w:eastAsia="Arial" w:hAnsi="Arial"/>
          <w:sz w:val="18"/>
          <w:szCs w:val="18"/>
          <w:color w:val="auto"/>
        </w:rPr>
        <w:t>The following table summarizes the values of our investments measured at fair value on a recurring basis within the fair value hierarchy as of the dates indicated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Investments</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Measured at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43"/>
        </w:trPr>
        <w:tc>
          <w:tcPr>
            <w:tcW w:w="5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21"/>
                <w:szCs w:val="21"/>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21"/>
                <w:szCs w:val="21"/>
                <w:color w:val="auto"/>
              </w:rPr>
            </w:pPr>
          </w:p>
        </w:tc>
        <w:tc>
          <w:tcPr>
            <w:tcW w:w="1140" w:type="dxa"/>
            <w:vAlign w:val="bottom"/>
            <w:gridSpan w:val="2"/>
          </w:tcPr>
          <w:p>
            <w:pPr>
              <w:jc w:val="center"/>
              <w:ind w:right="240"/>
              <w:spacing w:after="0" w:line="243" w:lineRule="exact"/>
              <w:rPr>
                <w:sz w:val="20"/>
                <w:szCs w:val="20"/>
                <w:color w:val="auto"/>
              </w:rPr>
            </w:pPr>
            <w:r>
              <w:rPr>
                <w:rFonts w:ascii="Arial" w:cs="Arial" w:eastAsia="Arial" w:hAnsi="Arial"/>
                <w:sz w:val="28"/>
                <w:szCs w:val="28"/>
                <w:b w:val="1"/>
                <w:bCs w:val="1"/>
                <w:color w:val="auto"/>
                <w:w w:val="91"/>
                <w:vertAlign w:val="subscript"/>
              </w:rPr>
              <w:t>NAV</w:t>
            </w:r>
            <w:r>
              <w:rPr>
                <w:rFonts w:ascii="Arial" w:cs="Arial" w:eastAsia="Arial" w:hAnsi="Arial"/>
                <w:sz w:val="10"/>
                <w:szCs w:val="10"/>
                <w:color w:val="auto"/>
                <w:w w:val="91"/>
              </w:rPr>
              <w:t xml:space="preserve"> (1)</w:t>
            </w:r>
          </w:p>
        </w:tc>
        <w:tc>
          <w:tcPr>
            <w:tcW w:w="220" w:type="dxa"/>
            <w:vAlign w:val="bottom"/>
          </w:tcPr>
          <w:p>
            <w:pPr>
              <w:spacing w:after="0"/>
              <w:rPr>
                <w:sz w:val="21"/>
                <w:szCs w:val="21"/>
                <w:color w:val="auto"/>
              </w:rPr>
            </w:pPr>
          </w:p>
        </w:tc>
        <w:tc>
          <w:tcPr>
            <w:tcW w:w="740" w:type="dxa"/>
            <w:vAlign w:val="bottom"/>
          </w:tcPr>
          <w:p>
            <w:pPr>
              <w:jc w:val="right"/>
              <w:ind w:right="215"/>
              <w:spacing w:after="0"/>
              <w:rPr>
                <w:sz w:val="20"/>
                <w:szCs w:val="20"/>
                <w:color w:val="auto"/>
              </w:rPr>
            </w:pPr>
            <w:r>
              <w:rPr>
                <w:rFonts w:ascii="Arial" w:cs="Arial" w:eastAsia="Arial" w:hAnsi="Arial"/>
                <w:sz w:val="16"/>
                <w:szCs w:val="16"/>
                <w:b w:val="1"/>
                <w:bCs w:val="1"/>
                <w:color w:val="auto"/>
              </w:rPr>
              <w:t>Total</w:t>
            </w:r>
          </w:p>
        </w:tc>
      </w:tr>
      <w:tr>
        <w:trPr>
          <w:trHeight w:val="244"/>
        </w:trPr>
        <w:tc>
          <w:tcPr>
            <w:tcW w:w="5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June 30, 2019:</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Investments in trading securities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47,602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47,602</w:t>
            </w: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investment fund</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w:t>
            </w:r>
          </w:p>
        </w:tc>
      </w:tr>
      <w:tr>
        <w:trPr>
          <w:trHeight w:val="223"/>
        </w:trPr>
        <w:tc>
          <w:tcPr>
            <w:tcW w:w="5200" w:type="dxa"/>
            <w:vAlign w:val="bottom"/>
          </w:tcPr>
          <w:p>
            <w:pPr>
              <w:ind w:left="380"/>
              <w:spacing w:after="0"/>
              <w:rPr>
                <w:sz w:val="20"/>
                <w:szCs w:val="20"/>
                <w:color w:val="auto"/>
              </w:rPr>
            </w:pPr>
            <w:r>
              <w:rPr>
                <w:rFonts w:ascii="Arial" w:cs="Arial" w:eastAsia="Arial" w:hAnsi="Arial"/>
                <w:sz w:val="18"/>
                <w:szCs w:val="18"/>
                <w:color w:val="auto"/>
              </w:rPr>
              <w:t>Total investments carried at fair value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47,602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ind w:left="5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47,852</w:t>
            </w:r>
          </w:p>
        </w:tc>
      </w:tr>
      <w:tr>
        <w:trPr>
          <w:trHeight w:val="67"/>
        </w:trPr>
        <w:tc>
          <w:tcPr>
            <w:tcW w:w="52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78"/>
        </w:trPr>
        <w:tc>
          <w:tcPr>
            <w:tcW w:w="5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2018:</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trading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65,781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65,781</w:t>
            </w:r>
          </w:p>
        </w:tc>
      </w:tr>
      <w:tr>
        <w:trPr>
          <w:trHeight w:val="223"/>
        </w:trPr>
        <w:tc>
          <w:tcPr>
            <w:tcW w:w="5200" w:type="dxa"/>
            <w:vAlign w:val="bottom"/>
          </w:tcPr>
          <w:p>
            <w:pPr>
              <w:ind w:left="380"/>
              <w:spacing w:after="0"/>
              <w:rPr>
                <w:sz w:val="20"/>
                <w:szCs w:val="20"/>
                <w:color w:val="auto"/>
              </w:rPr>
            </w:pPr>
            <w:r>
              <w:rPr>
                <w:rFonts w:ascii="Arial" w:cs="Arial" w:eastAsia="Arial" w:hAnsi="Arial"/>
                <w:sz w:val="18"/>
                <w:szCs w:val="18"/>
                <w:color w:val="auto"/>
              </w:rPr>
              <w:t>Total investments carried at fair value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65,781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ind w:left="5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65,781</w:t>
            </w:r>
          </w:p>
        </w:tc>
      </w:tr>
      <w:tr>
        <w:trPr>
          <w:trHeight w:val="27"/>
        </w:trPr>
        <w:tc>
          <w:tcPr>
            <w:tcW w:w="5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68433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spacing w:after="0" w:line="191" w:lineRule="exact"/>
        <w:rPr>
          <w:sz w:val="20"/>
          <w:szCs w:val="20"/>
          <w:color w:val="auto"/>
        </w:rPr>
      </w:pPr>
    </w:p>
    <w:p>
      <w:pPr>
        <w:ind w:left="40" w:right="680" w:hanging="5"/>
        <w:spacing w:after="0" w:line="253" w:lineRule="auto"/>
        <w:tabs>
          <w:tab w:leader="none" w:pos="244" w:val="left"/>
        </w:tabs>
        <w:numPr>
          <w:ilvl w:val="1"/>
          <w:numId w:val="4"/>
        </w:numPr>
        <w:rPr>
          <w:rFonts w:ascii="Arial" w:cs="Arial" w:eastAsia="Arial" w:hAnsi="Arial"/>
          <w:sz w:val="14"/>
          <w:szCs w:val="14"/>
          <w:color w:val="auto"/>
        </w:rPr>
      </w:pPr>
      <w:r>
        <w:rPr>
          <w:rFonts w:ascii="Arial" w:cs="Arial" w:eastAsia="Arial" w:hAnsi="Arial"/>
          <w:sz w:val="14"/>
          <w:szCs w:val="14"/>
          <w:color w:val="auto"/>
        </w:rPr>
        <w:t>Comprised of certain investments measured at fair value using NAV as a practical expedient. The fair value amounts presented in this table are intended to permit reconciliation of the fair value hierarchy to the amounts presented on our Condensed Consolidated Balance Sheets.</w:t>
      </w:r>
    </w:p>
    <w:p>
      <w:pPr>
        <w:spacing w:after="0" w:line="255" w:lineRule="exact"/>
        <w:rPr>
          <w:rFonts w:ascii="Arial" w:cs="Arial" w:eastAsia="Arial" w:hAnsi="Arial"/>
          <w:sz w:val="14"/>
          <w:szCs w:val="14"/>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jc w:val="both"/>
        <w:ind w:firstLine="500"/>
        <w:spacing w:after="0" w:line="312" w:lineRule="auto"/>
        <w:rPr>
          <w:sz w:val="20"/>
          <w:szCs w:val="20"/>
          <w:color w:val="auto"/>
        </w:rPr>
      </w:pPr>
      <w:r>
        <w:rPr>
          <w:rFonts w:ascii="Arial" w:cs="Arial" w:eastAsia="Arial" w:hAnsi="Arial"/>
          <w:sz w:val="16"/>
          <w:szCs w:val="16"/>
          <w:color w:val="auto"/>
        </w:rPr>
        <w:t>Goodwill represents the excess of the cost of acquired assets over the fair value of the underlying identifiable assets at the date of acquisition. Goodwill is not amortized but is tested for impairment at least annually. We completed our annual goodwill impairment assessment during the third quarter of 2018 and determined that no impairment loss was required. No impairments on goodwill were recorded during the three or six months ended June 30, 2019 or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ind w:right="120" w:firstLine="500"/>
        <w:spacing w:after="0" w:line="259" w:lineRule="auto"/>
        <w:rPr>
          <w:sz w:val="20"/>
          <w:szCs w:val="20"/>
          <w:color w:val="auto"/>
        </w:rPr>
      </w:pPr>
      <w:r>
        <w:rPr>
          <w:rFonts w:ascii="Arial" w:cs="Arial" w:eastAsia="Arial" w:hAnsi="Arial"/>
          <w:sz w:val="18"/>
          <w:szCs w:val="18"/>
          <w:color w:val="auto"/>
        </w:rPr>
        <w:t>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impairments on intangible assets were recorded during the three or six months ended June 30, 2019 or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loss” were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As of June 30, 2019</w:t>
            </w:r>
          </w:p>
        </w:tc>
        <w:tc>
          <w:tcPr>
            <w:tcW w:w="120" w:type="dxa"/>
            <w:vAlign w:val="bottom"/>
          </w:tcPr>
          <w:p>
            <w:pPr>
              <w:spacing w:after="0"/>
              <w:rPr>
                <w:sz w:val="18"/>
                <w:szCs w:val="18"/>
                <w:color w:val="auto"/>
              </w:rPr>
            </w:pPr>
          </w:p>
        </w:tc>
        <w:tc>
          <w:tcPr>
            <w:tcW w:w="1820" w:type="dxa"/>
            <w:vAlign w:val="bottom"/>
          </w:tcPr>
          <w:p>
            <w:pPr>
              <w:jc w:val="right"/>
              <w:ind w:right="16"/>
              <w:spacing w:after="0"/>
              <w:rPr>
                <w:sz w:val="20"/>
                <w:szCs w:val="20"/>
                <w:color w:val="auto"/>
              </w:rPr>
            </w:pPr>
            <w:r>
              <w:rPr>
                <w:rFonts w:ascii="Arial" w:cs="Arial" w:eastAsia="Arial" w:hAnsi="Arial"/>
                <w:sz w:val="16"/>
                <w:szCs w:val="16"/>
                <w:b w:val="1"/>
                <w:bCs w:val="1"/>
                <w:color w:val="auto"/>
                <w:w w:val="90"/>
              </w:rPr>
              <w:t>As of December 31, 2018</w:t>
            </w:r>
          </w:p>
        </w:tc>
        <w:tc>
          <w:tcPr>
            <w:tcW w:w="0" w:type="dxa"/>
            <w:vAlign w:val="bottom"/>
          </w:tcPr>
          <w:p>
            <w:pPr>
              <w:spacing w:after="0"/>
              <w:rPr>
                <w:sz w:val="1"/>
                <w:szCs w:val="1"/>
                <w:color w:val="auto"/>
              </w:rPr>
            </w:pPr>
          </w:p>
        </w:tc>
      </w:tr>
      <w:tr>
        <w:trPr>
          <w:trHeight w:val="47"/>
        </w:trPr>
        <w:tc>
          <w:tcPr>
            <w:tcW w:w="4260" w:type="dxa"/>
            <w:vAlign w:val="bottom"/>
            <w:tcBorders>
              <w:bottom w:val="single" w:sz="8" w:color="CCEEFF"/>
            </w:tcBorders>
          </w:tcPr>
          <w:p>
            <w:pPr>
              <w:spacing w:after="0"/>
              <w:rPr>
                <w:sz w:val="4"/>
                <w:szCs w:val="4"/>
                <w:color w:val="auto"/>
              </w:rPr>
            </w:pPr>
          </w:p>
        </w:tc>
        <w:tc>
          <w:tcPr>
            <w:tcW w:w="33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(4,883)</w:t>
            </w:r>
          </w:p>
        </w:tc>
        <w:tc>
          <w:tcPr>
            <w:tcW w:w="0" w:type="dxa"/>
            <w:vAlign w:val="bottom"/>
          </w:tcPr>
          <w:p>
            <w:pPr>
              <w:spacing w:after="0"/>
              <w:rPr>
                <w:sz w:val="1"/>
                <w:szCs w:val="1"/>
                <w:color w:val="auto"/>
              </w:rPr>
            </w:pPr>
          </w:p>
        </w:tc>
      </w:tr>
      <w:tr>
        <w:trPr>
          <w:trHeight w:val="223"/>
        </w:trPr>
        <w:tc>
          <w:tcPr>
            <w:tcW w:w="426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33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(3,317)</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(4,883)</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300" w:type="dxa"/>
            <w:vAlign w:val="bottom"/>
            <w:vMerge w:val="restart"/>
          </w:tcPr>
          <w:p>
            <w:pPr>
              <w:jc w:val="right"/>
              <w:ind w:right="167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3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6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VARIABLE INTEREST ENTITIES</w:t>
      </w:r>
    </w:p>
    <w:p>
      <w:pPr>
        <w:spacing w:after="0" w:line="229" w:lineRule="exact"/>
        <w:rPr>
          <w:sz w:val="20"/>
          <w:szCs w:val="20"/>
          <w:color w:val="auto"/>
        </w:rPr>
      </w:pPr>
    </w:p>
    <w:p>
      <w:pPr>
        <w:ind w:right="60" w:firstLine="486"/>
        <w:spacing w:after="0" w:line="286" w:lineRule="auto"/>
        <w:rPr>
          <w:sz w:val="20"/>
          <w:szCs w:val="20"/>
          <w:color w:val="auto"/>
        </w:rPr>
      </w:pPr>
      <w:r>
        <w:rPr>
          <w:rFonts w:ascii="Arial" w:cs="Arial" w:eastAsia="Arial" w:hAnsi="Arial"/>
          <w:sz w:val="16"/>
          <w:szCs w:val="16"/>
          <w:color w:val="auto"/>
        </w:rPr>
        <w:t xml:space="preserve">We have evaluated (i) our advisory relationships with the UCITS Fund and the Westwood Funds®, (ii) our relationship as sponsor of the Common Trust Funds (“CTFs”) and managing member of the private investment funds Westwood Hospitality Fund I, LLC and Westwood Technology Opportunities Fund I, LP (collectively, the “Private Funds”) and (iii) the private company discussed in Note 4 </w:t>
      </w:r>
      <w:r>
        <w:rPr>
          <w:rFonts w:ascii="Arial" w:cs="Arial" w:eastAsia="Arial" w:hAnsi="Arial"/>
          <w:sz w:val="16"/>
          <w:szCs w:val="16"/>
          <w:color w:val="222222"/>
        </w:rPr>
        <w:t>“Investments”</w:t>
      </w:r>
      <w:r>
        <w:rPr>
          <w:rFonts w:ascii="Arial" w:cs="Arial" w:eastAsia="Arial" w:hAnsi="Arial"/>
          <w:sz w:val="16"/>
          <w:szCs w:val="16"/>
          <w:color w:val="auto"/>
        </w:rPr>
        <w:t xml:space="preserve"> (“Private Equity”) to determine whether each of these entities is a variable interest entity (“VIE”) or voting ownership entity (“VOE”). Based on our analysis, we determined that the CTFs and Private Funds were VIEs, as the at-risk equity holders do not have the ability to direct the activities that most significantly impact the entity’s economic performance, and the Company and its representatives have a majority control of the entities' respective boards of directors and can influence the respective entities' management and affairs. Although we have related parties on the UCITS Fund board of directors, the shareholders have rights to remove the current directors by a simple majority vote and so we determined that the UCITS Fund is not a VIE. As the Company and its representatives do not have representation on the Westwood Funds® or the Private Equity independent boards of directors, which direct the activities that most significantly impact the entities' economic performance, we determined that the Westwood Funds® and the Private Equity were not VIEs. Therefore, the UCITS Fund, Westwood Funds® and Private Equity should be analyzed under the VOE consolidation method. Based on our analysis of our investments in these entities for the periods ending June 30, 2019 and December 31, 2018, we have not consolidated the CTFs, Private Funds or LLCs under the VIE method or the UCITS Fund, Westwood Funds® or Private Equity under the VOE method, and therefore the financial results of these entities are not included in the Company’s consolidated financial results.</w:t>
      </w:r>
    </w:p>
    <w:p>
      <w:pPr>
        <w:spacing w:after="0" w:line="67" w:lineRule="exact"/>
        <w:rPr>
          <w:sz w:val="20"/>
          <w:szCs w:val="20"/>
          <w:color w:val="auto"/>
        </w:rPr>
      </w:pPr>
    </w:p>
    <w:p>
      <w:pPr>
        <w:jc w:val="both"/>
        <w:ind w:right="220" w:firstLine="500"/>
        <w:spacing w:after="0" w:line="264" w:lineRule="auto"/>
        <w:rPr>
          <w:sz w:val="20"/>
          <w:szCs w:val="20"/>
          <w:color w:val="auto"/>
        </w:rPr>
      </w:pPr>
      <w:r>
        <w:rPr>
          <w:rFonts w:ascii="Arial" w:cs="Arial" w:eastAsia="Arial" w:hAnsi="Arial"/>
          <w:sz w:val="18"/>
          <w:szCs w:val="18"/>
          <w:color w:val="auto"/>
        </w:rPr>
        <w:t>As of June 30, 2019 and December 31, 2018, our seed investments in the Westwood Funds aggregated approximately $6.5 million and $6.1 million, respectively. The seed investments were provided for the sole purpose of showing the economic substance needed to establish the funds and are included in “Investments, at fair value” on our Condensed Consolidated Balance Sheets.</w:t>
      </w:r>
    </w:p>
    <w:p>
      <w:pPr>
        <w:spacing w:after="0" w:line="73" w:lineRule="exact"/>
        <w:rPr>
          <w:sz w:val="20"/>
          <w:szCs w:val="20"/>
          <w:color w:val="auto"/>
        </w:rPr>
      </w:pPr>
    </w:p>
    <w:p>
      <w:pPr>
        <w:ind w:right="80" w:firstLine="500"/>
        <w:spacing w:after="0" w:line="255" w:lineRule="auto"/>
        <w:rPr>
          <w:sz w:val="20"/>
          <w:szCs w:val="20"/>
          <w:color w:val="auto"/>
        </w:rPr>
      </w:pPr>
      <w:r>
        <w:rPr>
          <w:rFonts w:ascii="Arial" w:cs="Arial" w:eastAsia="Arial" w:hAnsi="Arial"/>
          <w:sz w:val="18"/>
          <w:szCs w:val="18"/>
          <w:color w:val="auto"/>
        </w:rPr>
        <w:t>We have not otherwise provided any financial support not previously contractually obligated to provide, and there are no arrangements that would require us to provide additional financial support to any of these entities. Our seed investments in the above-mentioned Westwood Funds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 UCITS Fund and the CTFs are accounted for as investments consistent with our other investments described in Note 4 “Investments.” We recognized fee revenue from the Westwood VIEs and Westwood VOEs of approximately $8.4 million and $12.0 million for the three months ended June 30, 2019 and 2018, respectively. We recognized fee revenue from the Westwood VIEs and Westwood VOEs of approximately $17.1 million and $24.6 million for the six months ended June 30, 2019 and 2018, respectively.</w:t>
      </w:r>
    </w:p>
    <w:p>
      <w:pPr>
        <w:spacing w:after="0" w:line="139" w:lineRule="exact"/>
        <w:rPr>
          <w:sz w:val="20"/>
          <w:szCs w:val="20"/>
          <w:color w:val="auto"/>
        </w:rPr>
      </w:pPr>
    </w:p>
    <w:p>
      <w:pPr>
        <w:ind w:right="20" w:firstLine="500"/>
        <w:spacing w:after="0" w:line="277" w:lineRule="auto"/>
        <w:rPr>
          <w:sz w:val="20"/>
          <w:szCs w:val="20"/>
          <w:color w:val="auto"/>
        </w:rPr>
      </w:pPr>
      <w:r>
        <w:rPr>
          <w:rFonts w:ascii="Arial" w:cs="Arial" w:eastAsia="Arial" w:hAnsi="Arial"/>
          <w:sz w:val="18"/>
          <w:szCs w:val="18"/>
          <w:color w:val="auto"/>
        </w:rPr>
        <w:t>The following table displays the assets under management, the amounts of our seed investments included in “Investments” on our consolidated balance sheets, and the risk of loss in each vehicle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As of June 30, 2019</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12"/>
              <w:spacing w:after="0"/>
              <w:rPr>
                <w:sz w:val="20"/>
                <w:szCs w:val="20"/>
                <w:color w:val="auto"/>
              </w:rPr>
            </w:pPr>
            <w:r>
              <w:rPr>
                <w:rFonts w:ascii="Arial" w:cs="Arial" w:eastAsia="Arial" w:hAnsi="Arial"/>
                <w:sz w:val="16"/>
                <w:szCs w:val="16"/>
                <w:b w:val="1"/>
                <w:bCs w:val="1"/>
                <w:color w:val="auto"/>
                <w:w w:val="83"/>
              </w:rPr>
              <w:t>Assets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12"/>
              <w:spacing w:after="0"/>
              <w:rPr>
                <w:sz w:val="20"/>
                <w:szCs w:val="20"/>
                <w:color w:val="auto"/>
              </w:rPr>
            </w:pPr>
            <w:r>
              <w:rPr>
                <w:rFonts w:ascii="Arial" w:cs="Arial" w:eastAsia="Arial" w:hAnsi="Arial"/>
                <w:sz w:val="16"/>
                <w:szCs w:val="16"/>
                <w:b w:val="1"/>
                <w:bCs w:val="1"/>
                <w:color w:val="auto"/>
                <w:w w:val="95"/>
              </w:rPr>
              <w:t>Under</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Corporate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12"/>
              <w:spacing w:after="0"/>
              <w:rPr>
                <w:sz w:val="20"/>
                <w:szCs w:val="20"/>
                <w:color w:val="auto"/>
              </w:rPr>
            </w:pPr>
            <w:r>
              <w:rPr>
                <w:rFonts w:ascii="Arial" w:cs="Arial" w:eastAsia="Arial" w:hAnsi="Arial"/>
                <w:sz w:val="16"/>
                <w:szCs w:val="16"/>
                <w:b w:val="1"/>
                <w:bCs w:val="1"/>
                <w:color w:val="auto"/>
                <w:w w:val="94"/>
              </w:rPr>
              <w:t>Management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Investment</w:t>
            </w:r>
          </w:p>
        </w:tc>
        <w:tc>
          <w:tcPr>
            <w:tcW w:w="160" w:type="dxa"/>
            <w:vAlign w:val="bottom"/>
          </w:tcPr>
          <w:p>
            <w:pPr>
              <w:spacing w:after="0"/>
              <w:rPr>
                <w:sz w:val="18"/>
                <w:szCs w:val="18"/>
                <w:color w:val="auto"/>
              </w:rPr>
            </w:pPr>
          </w:p>
        </w:tc>
        <w:tc>
          <w:tcPr>
            <w:tcW w:w="1320" w:type="dxa"/>
            <w:vAlign w:val="bottom"/>
          </w:tcPr>
          <w:p>
            <w:pPr>
              <w:jc w:val="right"/>
              <w:ind w:right="91"/>
              <w:spacing w:after="0"/>
              <w:rPr>
                <w:sz w:val="20"/>
                <w:szCs w:val="20"/>
                <w:color w:val="auto"/>
              </w:rPr>
            </w:pPr>
            <w:r>
              <w:rPr>
                <w:rFonts w:ascii="Arial" w:cs="Arial" w:eastAsia="Arial" w:hAnsi="Arial"/>
                <w:sz w:val="16"/>
                <w:szCs w:val="16"/>
                <w:b w:val="1"/>
                <w:bCs w:val="1"/>
                <w:color w:val="auto"/>
                <w:w w:val="95"/>
              </w:rPr>
              <w:t>Amount at Risk</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VIEs/VOEs:</w:t>
            </w:r>
          </w:p>
        </w:tc>
        <w:tc>
          <w:tcPr>
            <w:tcW w:w="2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380"/>
              <w:spacing w:after="0"/>
              <w:rPr>
                <w:sz w:val="20"/>
                <w:szCs w:val="20"/>
                <w:color w:val="auto"/>
              </w:rPr>
            </w:pPr>
            <w:r>
              <w:rPr>
                <w:rFonts w:ascii="Arial" w:cs="Arial" w:eastAsia="Arial" w:hAnsi="Arial"/>
                <w:sz w:val="18"/>
                <w:szCs w:val="18"/>
                <w:color w:val="auto"/>
              </w:rPr>
              <w:t>Westwood Funds®</w:t>
            </w:r>
          </w:p>
        </w:tc>
        <w:tc>
          <w:tcPr>
            <w:tcW w:w="29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2,612</w:t>
            </w:r>
          </w:p>
        </w:tc>
        <w:tc>
          <w:tcPr>
            <w:tcW w:w="3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Trust Funds</w:t>
            </w:r>
          </w:p>
        </w:tc>
        <w:tc>
          <w:tcPr>
            <w:tcW w:w="2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tcPr>
          <w:p>
            <w:pPr>
              <w:ind w:left="380"/>
              <w:spacing w:after="0"/>
              <w:rPr>
                <w:sz w:val="20"/>
                <w:szCs w:val="20"/>
                <w:color w:val="auto"/>
              </w:rPr>
            </w:pPr>
            <w:r>
              <w:rPr>
                <w:rFonts w:ascii="Arial" w:cs="Arial" w:eastAsia="Arial" w:hAnsi="Arial"/>
                <w:sz w:val="18"/>
                <w:szCs w:val="18"/>
                <w:color w:val="auto"/>
              </w:rPr>
              <w:t>UCITS Fund</w:t>
            </w:r>
          </w:p>
        </w:tc>
        <w:tc>
          <w:tcPr>
            <w:tcW w:w="2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Private Funds</w:t>
            </w:r>
          </w:p>
        </w:tc>
        <w:tc>
          <w:tcPr>
            <w:tcW w:w="2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020" w:type="dxa"/>
            <w:vAlign w:val="bottom"/>
          </w:tcPr>
          <w:p>
            <w:pPr>
              <w:ind w:left="380"/>
              <w:spacing w:after="0"/>
              <w:rPr>
                <w:sz w:val="20"/>
                <w:szCs w:val="20"/>
                <w:color w:val="auto"/>
              </w:rPr>
            </w:pPr>
            <w:r>
              <w:rPr>
                <w:rFonts w:ascii="Arial" w:cs="Arial" w:eastAsia="Arial" w:hAnsi="Arial"/>
                <w:sz w:val="18"/>
                <w:szCs w:val="18"/>
                <w:color w:val="auto"/>
              </w:rPr>
              <w:t>Private Equity</w:t>
            </w:r>
          </w:p>
        </w:tc>
        <w:tc>
          <w:tcPr>
            <w:tcW w:w="2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assets:</w:t>
            </w:r>
          </w:p>
        </w:tc>
        <w:tc>
          <w:tcPr>
            <w:tcW w:w="2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380"/>
              <w:spacing w:after="0"/>
              <w:rPr>
                <w:sz w:val="20"/>
                <w:szCs w:val="20"/>
                <w:color w:val="auto"/>
              </w:rPr>
            </w:pPr>
            <w:r>
              <w:rPr>
                <w:rFonts w:ascii="Arial" w:cs="Arial" w:eastAsia="Arial" w:hAnsi="Arial"/>
                <w:sz w:val="18"/>
                <w:szCs w:val="18"/>
                <w:color w:val="auto"/>
              </w:rPr>
              <w:t>Wealth Management</w:t>
            </w:r>
          </w:p>
        </w:tc>
        <w:tc>
          <w:tcPr>
            <w:tcW w:w="2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Institutional</w:t>
            </w:r>
          </w:p>
        </w:tc>
        <w:tc>
          <w:tcPr>
            <w:tcW w:w="2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color w:val="auto"/>
              </w:rPr>
              <w:t>Total Assets Under Management</w:t>
            </w:r>
          </w:p>
        </w:tc>
        <w:tc>
          <w:tcPr>
            <w:tcW w:w="2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15,388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740" w:type="dxa"/>
            <w:vAlign w:val="bottom"/>
            <w:vMerge w:val="restart"/>
          </w:tcPr>
          <w:p>
            <w:pPr>
              <w:jc w:val="right"/>
              <w:ind w:right="87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7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2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Advisory and Trust fees are calculated based on a percentage of assets under management and the performance obligation is realized over the current calendar quarter. Once clients receive our investment advisory services we have an enforceable right to payment.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Fee Revenues</w:t>
      </w:r>
    </w:p>
    <w:p>
      <w:pPr>
        <w:spacing w:after="0" w:line="17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Our advisory fees are generated by Westwood Management and Westwood International, which manage client accounts under investment advisory and sub-advisory agreements. Advisory fees are typically calculated based on a percentage of assets under management and are paid in accordance with the terms of the agreements. Advisory fees are paid quarterly in advance based on assets under management on the last day of the preceding quarter, quarterly in arrears based on assets under management on the last day of the quarter just ended or are based on a daily or monthly analysis of assets under management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w:t>
      </w:r>
    </w:p>
    <w:p>
      <w:pPr>
        <w:spacing w:after="0" w:line="124"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Institutional investors include separate accounts of (i) corporate pension and profit sharing plans, public employee retirement funds, Taft 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w:t>
      </w:r>
    </w:p>
    <w:p>
      <w:pPr>
        <w:spacing w:after="0" w:line="117"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color w:val="auto"/>
        </w:rPr>
        <w:t>Mutual funds include the Westwood Funds®, a family of mutual funds for which Westwood Management serves as advisor. These funds are available to individual investors, as well as offered as part of our investment strategies for institutional investors and wealth management accounts.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Performance Based Obligations</w:t>
      </w:r>
    </w:p>
    <w:p>
      <w:pPr>
        <w:spacing w:after="0" w:line="175"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A limited number of our advisory clients have a contractual performance-based fee component in their contracts, which generates additional revenues if we outperform a specified index over a specific period of time. The revenue is based on future market performance and is susceptible to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Fee Revenues</w:t>
      </w:r>
    </w:p>
    <w:p>
      <w:pPr>
        <w:spacing w:after="0" w:line="17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Our trust fees are generated by Westwood Trust pursuant to trust or custodial agreements. Trust fees are separately negotiated with each client and are generally based on a percentage of assets under management. Westwood Trust also provides trust services to a small number of clients on a fixed fee basis. The fees for most of our trust clients are calculated quarterly in arrears, based on a daily average of assets under management for the quarter. Since billing periods for most of Westwood Trust’s clients coincide with the calendar quarter, revenue is fully recognized within the quarter and our Condensed Consolidated Financial Statements do not contain a significant amount of deferred trust fee revenues.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Disaggregated</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Sales taxes are excluded from revenues. The following table presents our revenue disaggregated by account type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180" w:type="dxa"/>
            <w:vAlign w:val="bottom"/>
          </w:tcPr>
          <w:p>
            <w:pPr>
              <w:spacing w:after="0"/>
              <w:rPr>
                <w:sz w:val="18"/>
                <w:szCs w:val="18"/>
                <w:color w:val="auto"/>
              </w:rPr>
            </w:pPr>
          </w:p>
        </w:tc>
        <w:tc>
          <w:tcPr>
            <w:tcW w:w="2200" w:type="dxa"/>
            <w:vAlign w:val="bottom"/>
            <w:gridSpan w:val="4"/>
          </w:tcPr>
          <w:p>
            <w:pPr>
              <w:jc w:val="right"/>
              <w:ind w:right="131"/>
              <w:spacing w:after="0"/>
              <w:rPr>
                <w:sz w:val="20"/>
                <w:szCs w:val="20"/>
                <w:color w:val="auto"/>
              </w:rPr>
            </w:pPr>
            <w:r>
              <w:rPr>
                <w:rFonts w:ascii="Arial" w:cs="Arial" w:eastAsia="Arial" w:hAnsi="Arial"/>
                <w:sz w:val="16"/>
                <w:szCs w:val="16"/>
                <w:b w:val="1"/>
                <w:bCs w:val="1"/>
                <w:color w:val="auto"/>
                <w:w w:val="94"/>
              </w:rPr>
              <w:t>Six Months Ended June 30,</w:t>
            </w:r>
          </w:p>
        </w:tc>
      </w:tr>
      <w:tr>
        <w:trPr>
          <w:trHeight w:val="33"/>
        </w:trPr>
        <w:tc>
          <w:tcPr>
            <w:tcW w:w="6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r>
      <w:tr>
        <w:trPr>
          <w:trHeight w:val="33"/>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Advisory Fees: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Institutional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9,372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15,684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19,811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32,389</w:t>
            </w: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15,503</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Wealth Management</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64</w:t>
            </w: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Performance-based</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Trust Fees</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6,444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7,465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12,983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15,074</w:t>
            </w: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r>
      <w:tr>
        <w:trPr>
          <w:trHeight w:val="257"/>
        </w:trPr>
        <w:tc>
          <w:tcPr>
            <w:tcW w:w="654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21,709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32,760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45,571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66,327</w:t>
            </w:r>
          </w:p>
        </w:tc>
      </w:tr>
      <w:tr>
        <w:trPr>
          <w:trHeight w:val="20"/>
        </w:trPr>
        <w:tc>
          <w:tcPr>
            <w:tcW w:w="6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have clients in various locations around the world. The following table presents our revenue disaggregated by our clients' geographical locations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Performance-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Three Months Ended June 30, 2019</w:t>
            </w:r>
          </w:p>
        </w:tc>
        <w:tc>
          <w:tcPr>
            <w:tcW w:w="260" w:type="dxa"/>
            <w:vAlign w:val="bottom"/>
          </w:tcPr>
          <w:p>
            <w:pPr>
              <w:spacing w:after="0"/>
              <w:rPr>
                <w:sz w:val="18"/>
                <w:szCs w:val="18"/>
                <w:color w:val="auto"/>
              </w:rPr>
            </w:pPr>
          </w:p>
        </w:tc>
        <w:tc>
          <w:tcPr>
            <w:tcW w:w="1160" w:type="dxa"/>
            <w:vAlign w:val="bottom"/>
          </w:tcPr>
          <w:p>
            <w:pPr>
              <w:jc w:val="right"/>
              <w:ind w:right="311"/>
              <w:spacing w:after="0"/>
              <w:rPr>
                <w:sz w:val="20"/>
                <w:szCs w:val="20"/>
                <w:color w:val="auto"/>
              </w:rPr>
            </w:pPr>
            <w:r>
              <w:rPr>
                <w:rFonts w:ascii="Arial" w:cs="Arial" w:eastAsia="Arial" w:hAnsi="Arial"/>
                <w:sz w:val="16"/>
                <w:szCs w:val="16"/>
                <w:b w:val="1"/>
                <w:bCs w:val="1"/>
                <w:color w:val="auto"/>
              </w:rPr>
              <w:t>Advisory</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based</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r>
      <w:tr>
        <w:trPr>
          <w:trHeight w:val="33"/>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746</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12,714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6,444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19,564</w:t>
            </w: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14,695</w:t>
            </w:r>
          </w:p>
        </w:tc>
        <w:tc>
          <w:tcPr>
            <w:tcW w:w="4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6,444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21,709</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2019</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Asia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813</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813</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1,610</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26,322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12,983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40,408</w:t>
            </w: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31,101</w:t>
            </w:r>
          </w:p>
        </w:tc>
        <w:tc>
          <w:tcPr>
            <w:tcW w:w="4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12,983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45,571</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13</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Performance-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Three Months Ended June 30, 2018</w:t>
            </w:r>
          </w:p>
        </w:tc>
        <w:tc>
          <w:tcPr>
            <w:tcW w:w="26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Advisory</w:t>
            </w:r>
          </w:p>
        </w:tc>
        <w:tc>
          <w:tcPr>
            <w:tcW w:w="30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based</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r>
      <w:tr>
        <w:trPr>
          <w:trHeight w:val="33"/>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Australia</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974</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1,347</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27,526</w:t>
            </w: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23,473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7,465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32,760</w:t>
            </w:r>
          </w:p>
        </w:tc>
      </w:tr>
      <w:tr>
        <w:trPr>
          <w:trHeight w:val="311"/>
        </w:trPr>
        <w:tc>
          <w:tcPr>
            <w:tcW w:w="4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Six Months Ended June 30, 2018</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Australia</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1,996</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2,590</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55,518</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47,956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15,074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2,984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66,327</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INCENTIVE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75" w:lineRule="exact"/>
        <w:rPr>
          <w:sz w:val="20"/>
          <w:szCs w:val="20"/>
          <w:color w:val="auto"/>
        </w:rPr>
      </w:pPr>
    </w:p>
    <w:p>
      <w:pPr>
        <w:ind w:firstLine="500"/>
        <w:spacing w:after="0" w:line="279" w:lineRule="auto"/>
        <w:rPr>
          <w:sz w:val="20"/>
          <w:szCs w:val="20"/>
          <w:color w:val="auto"/>
        </w:rPr>
      </w:pPr>
      <w:r>
        <w:rPr>
          <w:rFonts w:ascii="Arial" w:cs="Arial" w:eastAsia="Arial" w:hAnsi="Arial"/>
          <w:sz w:val="17"/>
          <w:szCs w:val="17"/>
          <w:color w:val="auto"/>
        </w:rPr>
        <w:t>We have issued restricted shares to our employees and non-employee directors. The Sixth Amended and Restated Westwood Holdings Group, Inc. Stock Incentive Plan (the “Plan”) reserves shares of Westwood common stock for issuance to eligible employees, directors and consultants of Westwood or its subsidiaries in the form of restricted stock. The total number of shares issuable under the Plan (including predecessor plans to the Plan) may not exceed 5,048,100 shares. At June 30, 2019, approximately 488,000 shares remain available for issuance under the Plan.</w:t>
      </w:r>
    </w:p>
    <w:p>
      <w:pPr>
        <w:spacing w:after="0" w:line="171" w:lineRule="exact"/>
        <w:rPr>
          <w:sz w:val="20"/>
          <w:szCs w:val="20"/>
          <w:color w:val="auto"/>
        </w:rPr>
      </w:pPr>
    </w:p>
    <w:p>
      <w:pPr>
        <w:ind w:right="680" w:firstLine="500"/>
        <w:spacing w:after="0" w:line="277" w:lineRule="auto"/>
        <w:rPr>
          <w:sz w:val="20"/>
          <w:szCs w:val="20"/>
          <w:color w:val="auto"/>
        </w:rPr>
      </w:pPr>
      <w:r>
        <w:rPr>
          <w:rFonts w:ascii="Arial" w:cs="Arial" w:eastAsia="Arial" w:hAnsi="Arial"/>
          <w:sz w:val="18"/>
          <w:szCs w:val="18"/>
          <w:color w:val="auto"/>
        </w:rPr>
        <w:t>The following table presents the total stock-based compensation expense recorded for stock-based compensation arrangements for the periods indicated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0" w:type="dxa"/>
            <w:vAlign w:val="bottom"/>
          </w:tcPr>
          <w:p>
            <w:pPr>
              <w:spacing w:after="0"/>
              <w:rPr>
                <w:sz w:val="18"/>
                <w:szCs w:val="18"/>
                <w:color w:val="auto"/>
              </w:rPr>
            </w:pPr>
          </w:p>
        </w:tc>
        <w:tc>
          <w:tcPr>
            <w:tcW w:w="2260" w:type="dxa"/>
            <w:vAlign w:val="bottom"/>
            <w:gridSpan w:val="6"/>
          </w:tcPr>
          <w:p>
            <w:pPr>
              <w:jc w:val="right"/>
              <w:ind w:right="140"/>
              <w:spacing w:after="0"/>
              <w:rPr>
                <w:sz w:val="20"/>
                <w:szCs w:val="20"/>
                <w:color w:val="auto"/>
              </w:rPr>
            </w:pPr>
            <w:r>
              <w:rPr>
                <w:rFonts w:ascii="Arial" w:cs="Arial" w:eastAsia="Arial" w:hAnsi="Arial"/>
                <w:sz w:val="16"/>
                <w:szCs w:val="16"/>
                <w:b w:val="1"/>
                <w:bCs w:val="1"/>
                <w:color w:val="auto"/>
                <w:w w:val="92"/>
              </w:rPr>
              <w:t>Three Months Ended June 30,</w:t>
            </w:r>
          </w:p>
        </w:tc>
        <w:tc>
          <w:tcPr>
            <w:tcW w:w="140" w:type="dxa"/>
            <w:vAlign w:val="bottom"/>
          </w:tcPr>
          <w:p>
            <w:pPr>
              <w:spacing w:after="0"/>
              <w:rPr>
                <w:sz w:val="18"/>
                <w:szCs w:val="18"/>
                <w:color w:val="auto"/>
              </w:rPr>
            </w:pPr>
          </w:p>
        </w:tc>
        <w:tc>
          <w:tcPr>
            <w:tcW w:w="2020" w:type="dxa"/>
            <w:vAlign w:val="bottom"/>
            <w:gridSpan w:val="4"/>
          </w:tcPr>
          <w:p>
            <w:pPr>
              <w:jc w:val="right"/>
              <w:ind w:right="31"/>
              <w:spacing w:after="0"/>
              <w:rPr>
                <w:sz w:val="20"/>
                <w:szCs w:val="20"/>
                <w:color w:val="auto"/>
              </w:rPr>
            </w:pPr>
            <w:r>
              <w:rPr>
                <w:rFonts w:ascii="Arial" w:cs="Arial" w:eastAsia="Arial" w:hAnsi="Arial"/>
                <w:sz w:val="16"/>
                <w:szCs w:val="16"/>
                <w:b w:val="1"/>
                <w:bCs w:val="1"/>
                <w:color w:val="auto"/>
                <w:w w:val="90"/>
              </w:rPr>
              <w:t>Six Months Ended June 30,</w:t>
            </w:r>
          </w:p>
        </w:tc>
      </w:tr>
      <w:tr>
        <w:trPr>
          <w:trHeight w:val="33"/>
        </w:trPr>
        <w:tc>
          <w:tcPr>
            <w:tcW w:w="7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7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2018</w:t>
            </w:r>
          </w:p>
        </w:tc>
      </w:tr>
      <w:tr>
        <w:trPr>
          <w:trHeight w:val="33"/>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condition stock-based compensation expense</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5,325</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Performance condition stock-based compensation expense</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2,364</w:t>
            </w: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under the Plan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7,689</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Canadian Plan stock-based compensation expense</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274</w:t>
            </w: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75"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Under the Plan, we have granted to employees and non-employee directors restricted stock subject to service conditions and to certain key employees restricted stock subject to both service and performance conditions.</w:t>
      </w:r>
    </w:p>
    <w:p>
      <w:pPr>
        <w:spacing w:after="0" w:line="62" w:lineRule="exact"/>
        <w:rPr>
          <w:sz w:val="20"/>
          <w:szCs w:val="20"/>
          <w:color w:val="auto"/>
        </w:rPr>
      </w:pPr>
    </w:p>
    <w:p>
      <w:pPr>
        <w:ind w:right="260" w:firstLine="486"/>
        <w:spacing w:after="0" w:line="342" w:lineRule="auto"/>
        <w:rPr>
          <w:sz w:val="20"/>
          <w:szCs w:val="20"/>
          <w:color w:val="auto"/>
        </w:rPr>
      </w:pPr>
      <w:r>
        <w:rPr>
          <w:rFonts w:ascii="Arial" w:cs="Arial" w:eastAsia="Arial" w:hAnsi="Arial"/>
          <w:sz w:val="16"/>
          <w:szCs w:val="16"/>
          <w:color w:val="auto"/>
        </w:rPr>
        <w:t>As of June 30, 2019, there was approximately $19.1 million of unrecognized compensation cost for restricted stock grants under the Plan, which we expect to recognize over a weighted-average period of 2.6 years. Our two types of restricted stock grants under the Plan are discussed below.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Only to a Service Condition</w:t>
      </w:r>
    </w:p>
    <w:p>
      <w:pPr>
        <w:spacing w:after="0" w:line="171" w:lineRule="exact"/>
        <w:rPr>
          <w:sz w:val="20"/>
          <w:szCs w:val="20"/>
          <w:color w:val="auto"/>
        </w:rPr>
      </w:pPr>
    </w:p>
    <w:p>
      <w:pPr>
        <w:ind w:right="120" w:firstLine="500"/>
        <w:spacing w:after="0" w:line="264" w:lineRule="auto"/>
        <w:rPr>
          <w:sz w:val="20"/>
          <w:szCs w:val="20"/>
          <w:color w:val="auto"/>
        </w:rPr>
      </w:pPr>
      <w:r>
        <w:rPr>
          <w:rFonts w:ascii="Arial" w:cs="Arial" w:eastAsia="Arial" w:hAnsi="Arial"/>
          <w:sz w:val="18"/>
          <w:szCs w:val="18"/>
          <w:color w:val="auto"/>
        </w:rPr>
        <w:t>We calculate compensation cost for restricted stock grants by using the fair market value of our common stock at the date of grant, the number of shares issued and an adjustment for restrictions on dividends. This compensation cost is amortized on a straight-line basis over the applicable vesting period, with adjustments for forfeitures recorded as they occur.</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details the status and changes in our restricted stock grants subject only to a service condition for the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40" w:type="dxa"/>
            <w:vAlign w:val="bottom"/>
          </w:tcPr>
          <w:p>
            <w:pPr>
              <w:spacing w:after="0"/>
              <w:rPr>
                <w:sz w:val="14"/>
                <w:szCs w:val="14"/>
                <w:color w:val="auto"/>
              </w:rPr>
            </w:pPr>
          </w:p>
        </w:tc>
        <w:tc>
          <w:tcPr>
            <w:tcW w:w="1380" w:type="dxa"/>
            <w:vAlign w:val="bottom"/>
            <w:vMerge w:val="restart"/>
          </w:tcPr>
          <w:p>
            <w:pPr>
              <w:jc w:val="right"/>
              <w:ind w:right="375"/>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157"/>
              <w:spacing w:after="0"/>
              <w:rPr>
                <w:sz w:val="20"/>
                <w:szCs w:val="20"/>
                <w:color w:val="auto"/>
              </w:rPr>
            </w:pPr>
            <w:r>
              <w:rPr>
                <w:rFonts w:ascii="Arial" w:cs="Arial" w:eastAsia="Arial" w:hAnsi="Arial"/>
                <w:sz w:val="15"/>
                <w:szCs w:val="15"/>
                <w:b w:val="1"/>
                <w:bCs w:val="1"/>
                <w:color w:val="auto"/>
              </w:rPr>
              <w:t>Weighted Average</w:t>
            </w:r>
          </w:p>
        </w:tc>
        <w:tc>
          <w:tcPr>
            <w:tcW w:w="0" w:type="dxa"/>
            <w:vAlign w:val="bottom"/>
          </w:tcPr>
          <w:p>
            <w:pPr>
              <w:spacing w:after="0"/>
              <w:rPr>
                <w:sz w:val="1"/>
                <w:szCs w:val="1"/>
                <w:color w:val="auto"/>
              </w:rPr>
            </w:pPr>
          </w:p>
        </w:tc>
      </w:tr>
      <w:tr>
        <w:trPr>
          <w:trHeight w:val="202"/>
        </w:trPr>
        <w:tc>
          <w:tcPr>
            <w:tcW w:w="824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5"/>
                <w:szCs w:val="15"/>
                <w:b w:val="1"/>
                <w:bCs w:val="1"/>
                <w:color w:val="auto"/>
                <w:w w:val="95"/>
              </w:rPr>
              <w:t>Grant Date Fair Value</w:t>
            </w:r>
          </w:p>
        </w:tc>
        <w:tc>
          <w:tcPr>
            <w:tcW w:w="0" w:type="dxa"/>
            <w:vAlign w:val="bottom"/>
          </w:tcPr>
          <w:p>
            <w:pPr>
              <w:spacing w:after="0"/>
              <w:rPr>
                <w:sz w:val="1"/>
                <w:szCs w:val="1"/>
                <w:color w:val="auto"/>
              </w:rPr>
            </w:pPr>
          </w:p>
        </w:tc>
      </w:tr>
      <w:tr>
        <w:trPr>
          <w:trHeight w:val="23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January 1, 2019</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440,073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56.40</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55"/>
              <w:spacing w:after="0"/>
              <w:rPr>
                <w:sz w:val="20"/>
                <w:szCs w:val="20"/>
                <w:color w:val="auto"/>
              </w:rPr>
            </w:pPr>
            <w:r>
              <w:rPr>
                <w:rFonts w:ascii="Arial" w:cs="Arial" w:eastAsia="Arial" w:hAnsi="Arial"/>
                <w:sz w:val="17"/>
                <w:szCs w:val="17"/>
                <w:color w:val="auto"/>
              </w:rPr>
              <w:t>198,295</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7"/>
              <w:spacing w:after="0"/>
              <w:rPr>
                <w:sz w:val="20"/>
                <w:szCs w:val="20"/>
                <w:color w:val="auto"/>
              </w:rPr>
            </w:pPr>
            <w:r>
              <w:rPr>
                <w:rFonts w:ascii="Arial" w:cs="Arial" w:eastAsia="Arial" w:hAnsi="Arial"/>
                <w:sz w:val="17"/>
                <w:szCs w:val="17"/>
                <w:color w:val="auto"/>
              </w:rPr>
              <w:t>38.64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(162,287)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57.14</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7"/>
                <w:szCs w:val="17"/>
                <w:color w:val="auto"/>
              </w:rPr>
              <w:t>(50,182)</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7"/>
              <w:spacing w:after="0"/>
              <w:rPr>
                <w:sz w:val="20"/>
                <w:szCs w:val="20"/>
                <w:color w:val="auto"/>
              </w:rPr>
            </w:pPr>
            <w:r>
              <w:rPr>
                <w:rFonts w:ascii="Arial" w:cs="Arial" w:eastAsia="Arial" w:hAnsi="Arial"/>
                <w:sz w:val="17"/>
                <w:szCs w:val="17"/>
                <w:color w:val="auto"/>
              </w:rPr>
              <w:t>51.67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June 30, 2019</w:t>
            </w:r>
          </w:p>
        </w:tc>
        <w:tc>
          <w:tcPr>
            <w:tcW w:w="13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425,899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48.40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to Service and Performance Conditions</w:t>
      </w:r>
    </w:p>
    <w:p>
      <w:pPr>
        <w:spacing w:after="0" w:line="17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Under the Plan, certain key employees were provided agreements for grants of restricted shares that vest over multiple year periods subject to achieving annual performance goals established by the Compensation Committee of Westwood’s Board of Directors. Each year the Compensation Committee establishes specific goals for that year’s vesting of the restricted shares. The date that the Compensation Committee establishes annual goals is considered to be the grant date and the fair value measurement date to determine expense on the shares that are likely to vest. The vesting period ends when the Compensation Committee formally approves the performance-based restricted stock vesting based on the specific performance goals from the Company’s audited consolidated financial statements. If a portion of the performance-based restricted shares does not vest, no compensation expense is recognized for that portion and any previously recognized compensation expense related to shares that do not vest is reversed.</w:t>
      </w:r>
    </w:p>
    <w:p>
      <w:pPr>
        <w:spacing w:after="0" w:line="113"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In March 2019, the Compensation Committee established fiscal 2019 goals based on various departmental and company-wide performance goals. During the first six months of 2019, we recorded expense related to the applicable percentage of the performance-based restricted shares expected to meet or exceed the performance goals needed to earn the shares.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details the status and changes in our restricted stock grants subject to service and performance conditions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6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38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ind w:right="157"/>
              <w:spacing w:after="0"/>
              <w:rPr>
                <w:sz w:val="20"/>
                <w:szCs w:val="20"/>
                <w:color w:val="auto"/>
              </w:rPr>
            </w:pPr>
            <w:r>
              <w:rPr>
                <w:rFonts w:ascii="Arial" w:cs="Arial" w:eastAsia="Arial" w:hAnsi="Arial"/>
                <w:sz w:val="15"/>
                <w:szCs w:val="15"/>
                <w:b w:val="1"/>
                <w:bCs w:val="1"/>
                <w:color w:val="auto"/>
              </w:rPr>
              <w:t>Weighted Average</w:t>
            </w:r>
          </w:p>
        </w:tc>
        <w:tc>
          <w:tcPr>
            <w:tcW w:w="0" w:type="dxa"/>
            <w:vAlign w:val="bottom"/>
          </w:tcPr>
          <w:p>
            <w:pPr>
              <w:spacing w:after="0"/>
              <w:rPr>
                <w:sz w:val="1"/>
                <w:szCs w:val="1"/>
                <w:color w:val="auto"/>
              </w:rPr>
            </w:pPr>
          </w:p>
        </w:tc>
      </w:tr>
      <w:tr>
        <w:trPr>
          <w:trHeight w:val="202"/>
        </w:trPr>
        <w:tc>
          <w:tcPr>
            <w:tcW w:w="3860" w:type="dxa"/>
            <w:vAlign w:val="bottom"/>
            <w:tcBorders>
              <w:bottom w:val="single" w:sz="8" w:color="CCEEFF"/>
            </w:tcBorders>
          </w:tcPr>
          <w:p>
            <w:pPr>
              <w:spacing w:after="0"/>
              <w:rPr>
                <w:sz w:val="17"/>
                <w:szCs w:val="17"/>
                <w:color w:val="auto"/>
              </w:rPr>
            </w:pPr>
          </w:p>
        </w:tc>
        <w:tc>
          <w:tcPr>
            <w:tcW w:w="43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5"/>
                <w:szCs w:val="15"/>
                <w:b w:val="1"/>
                <w:bCs w:val="1"/>
                <w:color w:val="auto"/>
                <w:w w:val="95"/>
              </w:rPr>
              <w:t>Grant Date Fair Value</w:t>
            </w:r>
          </w:p>
        </w:tc>
        <w:tc>
          <w:tcPr>
            <w:tcW w:w="0" w:type="dxa"/>
            <w:vAlign w:val="bottom"/>
          </w:tcPr>
          <w:p>
            <w:pPr>
              <w:spacing w:after="0"/>
              <w:rPr>
                <w:sz w:val="1"/>
                <w:szCs w:val="1"/>
                <w:color w:val="auto"/>
              </w:rPr>
            </w:pPr>
          </w:p>
        </w:tc>
      </w:tr>
      <w:tr>
        <w:trPr>
          <w:trHeight w:val="23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January 1, 2019</w:t>
            </w:r>
          </w:p>
        </w:tc>
        <w:tc>
          <w:tcPr>
            <w:tcW w:w="57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156,293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55.66</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Granted</w:t>
            </w:r>
          </w:p>
        </w:tc>
        <w:tc>
          <w:tcPr>
            <w:tcW w:w="5760" w:type="dxa"/>
            <w:vAlign w:val="bottom"/>
            <w:gridSpan w:val="2"/>
          </w:tcPr>
          <w:p>
            <w:pPr>
              <w:jc w:val="right"/>
              <w:ind w:right="59"/>
              <w:spacing w:after="0"/>
              <w:rPr>
                <w:sz w:val="20"/>
                <w:szCs w:val="20"/>
                <w:color w:val="auto"/>
              </w:rPr>
            </w:pPr>
            <w:r>
              <w:rPr>
                <w:rFonts w:ascii="Arial" w:cs="Arial" w:eastAsia="Arial" w:hAnsi="Arial"/>
                <w:sz w:val="17"/>
                <w:szCs w:val="17"/>
                <w:color w:val="auto"/>
              </w:rPr>
              <w:t>21,186</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7"/>
              <w:spacing w:after="0"/>
              <w:rPr>
                <w:sz w:val="20"/>
                <w:szCs w:val="20"/>
                <w:color w:val="auto"/>
              </w:rPr>
            </w:pPr>
            <w:r>
              <w:rPr>
                <w:rFonts w:ascii="Arial" w:cs="Arial" w:eastAsia="Arial" w:hAnsi="Arial"/>
                <w:sz w:val="17"/>
                <w:szCs w:val="17"/>
                <w:color w:val="auto"/>
              </w:rPr>
              <w:t>37.97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(80,493)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56.09</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5760" w:type="dxa"/>
            <w:vAlign w:val="bottom"/>
            <w:gridSpan w:val="2"/>
          </w:tcPr>
          <w:p>
            <w:pPr>
              <w:jc w:val="right"/>
              <w:spacing w:after="0"/>
              <w:rPr>
                <w:sz w:val="20"/>
                <w:szCs w:val="20"/>
                <w:color w:val="auto"/>
              </w:rPr>
            </w:pPr>
            <w:r>
              <w:rPr>
                <w:rFonts w:ascii="Arial" w:cs="Arial" w:eastAsia="Arial" w:hAnsi="Arial"/>
                <w:sz w:val="17"/>
                <w:szCs w:val="17"/>
                <w:color w:val="auto"/>
              </w:rPr>
              <w:t>(19,495)</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7"/>
              <w:spacing w:after="0"/>
              <w:rPr>
                <w:sz w:val="20"/>
                <w:szCs w:val="20"/>
                <w:color w:val="auto"/>
              </w:rPr>
            </w:pPr>
            <w:r>
              <w:rPr>
                <w:rFonts w:ascii="Arial" w:cs="Arial" w:eastAsia="Arial" w:hAnsi="Arial"/>
                <w:sz w:val="17"/>
                <w:szCs w:val="17"/>
                <w:color w:val="auto"/>
              </w:rPr>
              <w:t>55.18</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June 30, 2019</w:t>
            </w:r>
          </w:p>
        </w:tc>
        <w:tc>
          <w:tcPr>
            <w:tcW w:w="576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77,491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50.29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bottom w:val="single" w:sz="8" w:color="CCEEFF"/>
            </w:tcBorders>
            <w:vMerge w:val="restart"/>
          </w:tcPr>
          <w:p>
            <w:pPr>
              <w:jc w:val="right"/>
              <w:ind w:right="2354"/>
              <w:spacing w:after="0"/>
              <w:rPr>
                <w:sz w:val="20"/>
                <w:szCs w:val="20"/>
                <w:color w:val="auto"/>
              </w:rPr>
            </w:pPr>
            <w:r>
              <w:rPr>
                <w:rFonts w:ascii="Arial" w:cs="Arial" w:eastAsia="Arial" w:hAnsi="Arial"/>
                <w:sz w:val="18"/>
                <w:szCs w:val="18"/>
                <w:color w:val="auto"/>
              </w:rPr>
              <w:t>15</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6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jc w:val="center"/>
        <w:ind w:left="260" w:right="214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Plan</w:t>
      </w:r>
    </w:p>
    <w:p>
      <w:pPr>
        <w:spacing w:after="0" w:line="175"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The Share Award Plan of Westwood Holdings Group, Inc. for Service Provided in Canada to its Subsidiaries (the “Canadian Plan”) provides compensation in the form of common stock for services performed by employees of Westwood International. Under the Canadian Plan, no more than $10 million CDN ($7.6 million in U.S. Dollars using the exchange rate on June 30, 2019) may be funded to the plan trustee for purchases of common stock with respect to awards granted under the Canadian Plan. At June 30, 2019, approximately $2.3 million CDN ($1.7 million in U.S. Dollars using the exchange rate on June 30, 2019) remains available for issuance under the Canadian Plan, or approximately 49,000 shares based on the closing share price of our stock of $35.20 as of June 30, 2019. During the first six months of 2019, the trust formed pursuant to the Canadian Plan purchased 25,047 Westwood common shares in the open market for approximately $980,000. As of June 30, 2019, the trust holds 61,078 shares of Westwood common stock. As of June 30, 2019, unrecognized compensation cost related to restricted stock grants under the Canadian Plan totaled $1.1 million, which we expect to recognize over a weighted-average period of 2.0 years.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Mutual Fund Share Incentive Awards</w:t>
      </w:r>
    </w:p>
    <w:p>
      <w:pPr>
        <w:spacing w:after="0" w:line="175" w:lineRule="exact"/>
        <w:rPr>
          <w:sz w:val="20"/>
          <w:szCs w:val="20"/>
          <w:color w:val="auto"/>
        </w:rPr>
      </w:pPr>
    </w:p>
    <w:p>
      <w:pPr>
        <w:ind w:firstLine="500"/>
        <w:spacing w:after="0" w:line="255" w:lineRule="auto"/>
        <w:rPr>
          <w:sz w:val="20"/>
          <w:szCs w:val="20"/>
          <w:color w:val="auto"/>
        </w:rPr>
      </w:pPr>
      <w:r>
        <w:rPr>
          <w:rFonts w:ascii="Arial" w:cs="Arial" w:eastAsia="Arial" w:hAnsi="Arial"/>
          <w:sz w:val="18"/>
          <w:szCs w:val="18"/>
          <w:color w:val="auto"/>
        </w:rPr>
        <w:t xml:space="preserve">We grant annually to certain employees mutual fund incentive awards, which are bonus awards based on our mutual funds achieving specific performance goals. Awards granted are notionally credited to a participant account maintained by us that contains a number of mutual fund shares equal to the award amount divided by the net closing value of a fund share on the date the amount is credited to the account. We maintain the award in a corporate investment account until vesting. </w:t>
      </w:r>
      <w:r>
        <w:rPr>
          <w:rFonts w:ascii="Arial" w:cs="Arial" w:eastAsia="Arial" w:hAnsi="Arial"/>
          <w:sz w:val="18"/>
          <w:szCs w:val="18"/>
          <w:color w:val="222222"/>
        </w:rPr>
        <w:t>The investment may increase or decrease based on changes in the value of the mutual fund shares awarded, including</w:t>
      </w:r>
      <w:r>
        <w:rPr>
          <w:rFonts w:ascii="Arial" w:cs="Arial" w:eastAsia="Arial" w:hAnsi="Arial"/>
          <w:sz w:val="18"/>
          <w:szCs w:val="18"/>
          <w:color w:val="auto"/>
        </w:rPr>
        <w:t xml:space="preserve"> </w:t>
      </w:r>
      <w:r>
        <w:rPr>
          <w:rFonts w:ascii="Arial" w:cs="Arial" w:eastAsia="Arial" w:hAnsi="Arial"/>
          <w:sz w:val="18"/>
          <w:szCs w:val="18"/>
          <w:color w:val="222222"/>
        </w:rPr>
        <w:t xml:space="preserve">reinvested income from the mutual funds during the vesting period. </w:t>
      </w:r>
      <w:r>
        <w:rPr>
          <w:rFonts w:ascii="Arial" w:cs="Arial" w:eastAsia="Arial" w:hAnsi="Arial"/>
          <w:sz w:val="18"/>
          <w:szCs w:val="18"/>
          <w:color w:val="000000"/>
        </w:rPr>
        <w:t>Unvested mutual fund awards are included under</w:t>
      </w:r>
      <w:r>
        <w:rPr>
          <w:rFonts w:ascii="Arial" w:cs="Arial" w:eastAsia="Arial" w:hAnsi="Arial"/>
          <w:sz w:val="18"/>
          <w:szCs w:val="18"/>
          <w:color w:val="222222"/>
        </w:rPr>
        <w:t xml:space="preserve"> “Investments, at fair value” on our Condensed Consolidated Balance Sheets.</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Awards vest over approximately two years of service following the year in which the participant earned the award. We begin accruing a liability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mutual fund incentive awards when we believe it is probable that the award will be earned and record expense for these awards over the service period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award, which is three years. During the year in which the amount of the award is determined, we record expense based on the expected value of the award.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the award is earned, we record expense based on the value of the shares awarded and the percentage of the vesting period that has elapsed. Our liability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these awards may increase or decrease based on changes in the value of the mutual fund shares awarded, including reinvested income from the mutual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funds during the vesting period. Upon vesting, participants receive the value of the mutual fund share awards adjusted for earnings or losses attributable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underlying mutual funds. For the three months ended June 30, 2019 and 2018, we recorded expense of approximately $14,000 and $11,000,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mutual fund share incentive awards. For the six months ended June 30, 2019, we recorded a net $112,000 credit to mutual fund expense, primarily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related to the forfeiture of a mutual fund award during the first quarter. For the six months ended June 30, 2018, we recorded expense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$185,000 related to mutual fund share incentive awards. As of June 30, 2019 and December 31, 2018, we had an accrued liability of approximately $56,000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$635,000, respectively, related to mutual fund share incentive awards.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11. INCOME TAXES</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effective income tax rate was 29.9% for the second quarter of 2019, compared with 26.9% for the second quarter of 2018. Our effective income tax rate was 45.7% for the first six months of 2019, compared with 25.5% for the first six months of 2018. The current year-to-date rate was negatively impacted by a $638,000 discrete tax expense related to a permanent difference between book and tax restricted stock expense based on a decrease in our stock price between the grant and vesting 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Audit</w:t>
      </w:r>
    </w:p>
    <w:p>
      <w:pPr>
        <w:spacing w:after="0" w:line="121"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The Company is subject to taxation in the United States and various state and foreign jurisdictions. The audit of our 2015, 2016 and 2017 tax returns in a state jurisdiction in which we operate has been closed with no findings and had no impact on our Consolidated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1" w:right="259" w:bottom="1440" w:gutter="0" w:footer="0" w:header="0"/>
        </w:sectPr>
      </w:pPr>
    </w:p>
    <w:bookmarkStart w:id="18" w:name="page19"/>
    <w:bookmarkEnd w:id="18"/>
    <w:p>
      <w:pPr>
        <w:jc w:val="center"/>
        <w:ind w:left="280" w:right="212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12. RELATED PARTY TRANSACTIONS</w:t>
      </w:r>
    </w:p>
    <w:p>
      <w:pPr>
        <w:spacing w:after="0" w:line="175"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Some of our directors, executive officers and their affiliates invest personal funds directly in trust accounts that we manage. For the three months ended June 30, 2019 and 2018, we recorded trust fees from these accounts of $84,000 and $92,000, respectively. For the six months ended June 30, 2019 and 2018, we recorded trust fees from these accounts of $162,000 and $187,000, respectively. There was approximately $84,000 due from these accounts as of June 30, 2019 and December 31, 2018.</w:t>
      </w:r>
    </w:p>
    <w:p>
      <w:pPr>
        <w:spacing w:after="0" w:line="79" w:lineRule="exact"/>
        <w:rPr>
          <w:sz w:val="20"/>
          <w:szCs w:val="20"/>
          <w:color w:val="auto"/>
        </w:rPr>
      </w:pPr>
    </w:p>
    <w:p>
      <w:pPr>
        <w:ind w:right="120" w:firstLine="500"/>
        <w:spacing w:after="0" w:line="270" w:lineRule="auto"/>
        <w:rPr>
          <w:sz w:val="20"/>
          <w:szCs w:val="20"/>
          <w:color w:val="auto"/>
        </w:rPr>
      </w:pPr>
      <w:r>
        <w:rPr>
          <w:rFonts w:ascii="Arial" w:cs="Arial" w:eastAsia="Arial" w:hAnsi="Arial"/>
          <w:sz w:val="17"/>
          <w:szCs w:val="17"/>
          <w:color w:val="222222"/>
        </w:rPr>
        <w:t xml:space="preserve">The Company engages in transactions with its affiliates in the ordinary course of business. Westwood International and </w:t>
      </w:r>
      <w:r>
        <w:rPr>
          <w:rFonts w:ascii="Arial" w:cs="Arial" w:eastAsia="Arial" w:hAnsi="Arial"/>
          <w:sz w:val="17"/>
          <w:szCs w:val="17"/>
          <w:color w:val="000000"/>
        </w:rPr>
        <w:t>Westwood Management</w:t>
      </w:r>
      <w:r>
        <w:rPr>
          <w:rFonts w:ascii="Arial" w:cs="Arial" w:eastAsia="Arial" w:hAnsi="Arial"/>
          <w:sz w:val="17"/>
          <w:szCs w:val="17"/>
          <w:color w:val="222222"/>
        </w:rPr>
        <w:t xml:space="preserve"> provide investment advisory services to the Westwood Funds®, and Westwood International provides investment advisory services to the UCITS Fund. Certain members of our management serve on the board of directors of the UCITS Fund, and we have capital invested in three of the Westwood Funds®. Under the terms of the investment advisory agreements, the Company earns quarterly fees paid by clients of the fund or by the funds directly. The fees are based on negotiated fee schedules applied to assets under management. These fees are commensurate with market rates. For the three months ended June 30, 2019 and 2018, the Company earned approximately $805,000 and $1.1 million, respectively, in fees from the affiliated funds. For the six months ended June 30, 2019 and 2018, the Company earned approximately $1.6 million and $2.3 million, respectively, in fees from the affiliated funds. These fees do not include fees paid directly to Westwood International by certain clients invested in the UCITS Fund that have an investment management agreement with Westwood International. As of June 30, 2019 and December 31, 2018, $313,000 and $295,000, respectively, of these fees were outstanding and included in “Accounts receivable” on our Condensed Consolidated Balance Sheets.</w:t>
      </w:r>
    </w:p>
    <w:p>
      <w:pPr>
        <w:spacing w:after="0" w:line="70" w:lineRule="exact"/>
        <w:rPr>
          <w:sz w:val="20"/>
          <w:szCs w:val="20"/>
          <w:color w:val="auto"/>
        </w:rPr>
      </w:pPr>
    </w:p>
    <w:p>
      <w:pPr>
        <w:ind w:right="40" w:firstLine="500"/>
        <w:spacing w:after="0" w:line="276" w:lineRule="auto"/>
        <w:rPr>
          <w:sz w:val="20"/>
          <w:szCs w:val="20"/>
          <w:color w:val="auto"/>
        </w:rPr>
      </w:pPr>
      <w:r>
        <w:rPr>
          <w:rFonts w:ascii="Arial" w:cs="Arial" w:eastAsia="Arial" w:hAnsi="Arial"/>
          <w:sz w:val="17"/>
          <w:szCs w:val="17"/>
          <w:color w:val="222222"/>
        </w:rPr>
        <w:t xml:space="preserve">As discussed in Note 4 “Investments,” the Company made a strategic investment in </w:t>
      </w:r>
      <w:r>
        <w:rPr>
          <w:rFonts w:ascii="Arial" w:cs="Arial" w:eastAsia="Arial" w:hAnsi="Arial"/>
          <w:sz w:val="17"/>
          <w:szCs w:val="17"/>
          <w:color w:val="000000"/>
        </w:rPr>
        <w:t>a private company during 2018</w:t>
      </w:r>
      <w:r>
        <w:rPr>
          <w:rFonts w:ascii="Arial" w:cs="Arial" w:eastAsia="Arial" w:hAnsi="Arial"/>
          <w:sz w:val="17"/>
          <w:szCs w:val="17"/>
          <w:color w:val="222222"/>
        </w:rPr>
        <w:t>. We previously entered into a separate agreement with this private company to implement portfolio management and digital solutions products. For the three months ended June 30, 2019 and 2018, we incurred approximately $448,000 and $530,000, respectively, in expenses payable to this company. For the six months ended June 30, 2019 and 2018, we incurred approximately $580,000 and $605,000, respectively, in expenses payable to this company. These expenses are included in “Information technology expenses” on our Condensed Consolidated Statements of Comprehensive Income.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229"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We have operating leases for corporate offices and for certain office equipment. The lease terms for our corporate offices vary and have remaining lease terms ranging from 1 to 7 years. The corporate office lease payments are fixed and are based upon contractual monthly rates. The majority of our corporate office leases do not include options to extend or terminate the leases, and each lease is re-negotiated before its leasing period ends. We lease office equipment for a period of 2 years. In June 2019, we entered into a sublease agreement for a portion of newly built-out space in our corporate office. The sublease agreement has a term of 7 years, and the sublease income is included in “Other income” on our Condensed Consolidated Statements of Comprehensive Income.</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presents the components of lease costs, as well as supplemental cash flow information, related to our leases (in thousands):</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52070</wp:posOffset>
            </wp:positionV>
            <wp:extent cx="13722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03" w:lineRule="exact"/>
        <w:rPr>
          <w:sz w:val="20"/>
          <w:szCs w:val="20"/>
          <w:color w:val="auto"/>
        </w:rPr>
      </w:pPr>
    </w:p>
    <w:p>
      <w:pPr>
        <w:ind w:left="7340"/>
        <w:spacing w:after="0"/>
        <w:tabs>
          <w:tab w:leader="none" w:pos="846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52070</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03" w:lineRule="exact"/>
        <w:rPr>
          <w:sz w:val="20"/>
          <w:szCs w:val="20"/>
          <w:color w:val="auto"/>
        </w:rPr>
      </w:pPr>
    </w:p>
    <w:p>
      <w:pPr>
        <w:ind w:left="220"/>
        <w:spacing w:after="0"/>
        <w:tabs>
          <w:tab w:leader="none" w:pos="132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39" w:lineRule="exact"/>
        <w:rPr>
          <w:sz w:val="20"/>
          <w:szCs w:val="20"/>
          <w:color w:val="auto"/>
        </w:rPr>
      </w:pPr>
    </w:p>
    <w:p>
      <w:pPr>
        <w:sectPr>
          <w:pgSz w:w="11900" w:h="16838" w:orient="portrait"/>
          <w:cols w:equalWidth="0" w:num="2">
            <w:col w:w="9120" w:space="280"/>
            <w:col w:w="202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7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897</w:t>
            </w:r>
          </w:p>
        </w:tc>
        <w:tc>
          <w:tcPr>
            <w:tcW w:w="4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cash flow information:</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1,044</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Right-of-use assets obtained in exchange for lease obligations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441</w:t>
            </w:r>
          </w:p>
        </w:tc>
      </w:tr>
    </w:tbl>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Operating lease cost is included in “General and administrative” expense on our Condensed Consolidated Statements of Comprehensive Income.</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information regarding our operating leases (in thousands, except years and rates):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type w:val="continuous"/>
        </w:sectPr>
      </w:pPr>
    </w:p>
    <w:bookmarkStart w:id="19" w:name="page20"/>
    <w:bookmarkEnd w:id="19"/>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2019</w:t>
            </w:r>
          </w:p>
        </w:tc>
        <w:tc>
          <w:tcPr>
            <w:tcW w:w="1660" w:type="dxa"/>
            <w:vAlign w:val="bottom"/>
            <w:gridSpan w:val="4"/>
          </w:tcPr>
          <w:p>
            <w:pPr>
              <w:jc w:val="right"/>
              <w:ind w:right="300"/>
              <w:spacing w:after="0"/>
              <w:rPr>
                <w:sz w:val="20"/>
                <w:szCs w:val="20"/>
                <w:color w:val="auto"/>
              </w:rPr>
            </w:pPr>
            <w:r>
              <w:rPr>
                <w:rFonts w:ascii="Arial" w:cs="Arial" w:eastAsia="Arial" w:hAnsi="Arial"/>
                <w:sz w:val="16"/>
                <w:szCs w:val="16"/>
                <w:b w:val="1"/>
                <w:bCs w:val="1"/>
                <w:color w:val="auto"/>
                <w:w w:val="92"/>
              </w:rPr>
              <w:t>December 31, 2018</w:t>
            </w:r>
          </w:p>
        </w:tc>
      </w:tr>
      <w:tr>
        <w:trPr>
          <w:trHeight w:val="33"/>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8,149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8,698</w:t>
            </w:r>
          </w:p>
        </w:tc>
        <w:tc>
          <w:tcPr>
            <w:tcW w:w="240" w:type="dxa"/>
            <w:vAlign w:val="bottom"/>
          </w:tcPr>
          <w:p>
            <w:pPr>
              <w:spacing w:after="0"/>
              <w:rPr>
                <w:sz w:val="21"/>
                <w:szCs w:val="21"/>
                <w:color w:val="auto"/>
              </w:rPr>
            </w:pPr>
          </w:p>
        </w:tc>
      </w:tr>
      <w:tr>
        <w:trPr>
          <w:trHeight w:val="270"/>
        </w:trPr>
        <w:tc>
          <w:tcPr>
            <w:tcW w:w="8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1,432</w:t>
            </w:r>
          </w:p>
        </w:tc>
        <w:tc>
          <w:tcPr>
            <w:tcW w:w="240" w:type="dxa"/>
            <w:vAlign w:val="bottom"/>
          </w:tcPr>
          <w:p>
            <w:pPr>
              <w:spacing w:after="0"/>
              <w:rPr>
                <w:sz w:val="21"/>
                <w:szCs w:val="2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Non-current lease liabilities</w:t>
            </w:r>
          </w:p>
        </w:tc>
        <w:tc>
          <w:tcPr>
            <w:tcW w:w="18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8,564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9,331</w:t>
            </w:r>
          </w:p>
        </w:tc>
        <w:tc>
          <w:tcPr>
            <w:tcW w:w="240" w:type="dxa"/>
            <w:vAlign w:val="bottom"/>
          </w:tcPr>
          <w:p>
            <w:pPr>
              <w:spacing w:after="0"/>
              <w:rPr>
                <w:sz w:val="21"/>
                <w:szCs w:val="2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10,085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10,763</w:t>
            </w:r>
          </w:p>
        </w:tc>
        <w:tc>
          <w:tcPr>
            <w:tcW w:w="240" w:type="dxa"/>
            <w:vAlign w:val="bottom"/>
          </w:tcPr>
          <w:p>
            <w:pPr>
              <w:spacing w:after="0"/>
              <w:rPr>
                <w:sz w:val="21"/>
                <w:szCs w:val="21"/>
                <w:color w:val="auto"/>
              </w:rPr>
            </w:pPr>
          </w:p>
        </w:tc>
      </w:tr>
      <w:tr>
        <w:trPr>
          <w:trHeight w:val="270"/>
        </w:trPr>
        <w:tc>
          <w:tcPr>
            <w:tcW w:w="8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 (in years)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21"/>
                <w:szCs w:val="2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1"/>
                <w:szCs w:val="21"/>
                <w:color w:val="auto"/>
              </w:rPr>
            </w:pPr>
          </w:p>
        </w:tc>
      </w:tr>
      <w:tr>
        <w:trPr>
          <w:trHeight w:val="459"/>
        </w:trPr>
        <w:tc>
          <w:tcPr>
            <w:tcW w:w="8240" w:type="dxa"/>
            <w:vAlign w:val="bottom"/>
          </w:tcPr>
          <w:p>
            <w:pPr>
              <w:ind w:left="500"/>
              <w:spacing w:after="0"/>
              <w:rPr>
                <w:sz w:val="20"/>
                <w:szCs w:val="20"/>
                <w:color w:val="auto"/>
              </w:rPr>
            </w:pPr>
            <w:r>
              <w:rPr>
                <w:rFonts w:ascii="Arial" w:cs="Arial" w:eastAsia="Arial" w:hAnsi="Arial"/>
                <w:sz w:val="18"/>
                <w:szCs w:val="18"/>
                <w:color w:val="auto"/>
              </w:rPr>
              <w:t>The maturities of lease liabilities are as follows (in thousands):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2"/>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3"/>
              </w:rPr>
              <w:t>Operating Leases</w:t>
            </w:r>
          </w:p>
        </w:tc>
      </w:tr>
      <w:tr>
        <w:trPr>
          <w:trHeight w:val="33"/>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(excluding the six months ended June 30, 2019)</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2,117</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1,550</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w:t>
            </w:r>
          </w:p>
        </w:tc>
      </w:tr>
      <w:tr>
        <w:trPr>
          <w:trHeight w:val="237"/>
        </w:trPr>
        <w:tc>
          <w:tcPr>
            <w:tcW w:w="8240" w:type="dxa"/>
            <w:vAlign w:val="bottom"/>
          </w:tcPr>
          <w:p>
            <w:pPr>
              <w:ind w:left="360"/>
              <w:spacing w:after="0"/>
              <w:rPr>
                <w:sz w:val="20"/>
                <w:szCs w:val="20"/>
                <w:color w:val="auto"/>
              </w:rPr>
            </w:pPr>
            <w:r>
              <w:rPr>
                <w:rFonts w:ascii="Arial" w:cs="Arial" w:eastAsia="Arial" w:hAnsi="Arial"/>
                <w:sz w:val="18"/>
                <w:szCs w:val="18"/>
                <w:color w:val="auto"/>
              </w:rPr>
              <w:t>Total undiscounted lease payments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12,082</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discount</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(1,997)</w:t>
            </w:r>
          </w:p>
        </w:tc>
      </w:tr>
      <w:tr>
        <w:trPr>
          <w:trHeight w:val="257"/>
        </w:trPr>
        <w:tc>
          <w:tcPr>
            <w:tcW w:w="8240" w:type="dxa"/>
            <w:vAlign w:val="bottom"/>
          </w:tcPr>
          <w:p>
            <w:pPr>
              <w:ind w:left="360"/>
              <w:spacing w:after="0"/>
              <w:rPr>
                <w:sz w:val="20"/>
                <w:szCs w:val="20"/>
                <w:color w:val="auto"/>
              </w:rPr>
            </w:pPr>
            <w:r>
              <w:rPr>
                <w:rFonts w:ascii="Arial" w:cs="Arial" w:eastAsia="Arial" w:hAnsi="Arial"/>
                <w:sz w:val="18"/>
                <w:szCs w:val="18"/>
                <w:color w:val="auto"/>
              </w:rPr>
              <w:t>Total lease liabilities</w:t>
            </w: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10,085</w:t>
            </w:r>
          </w:p>
        </w:tc>
      </w:tr>
      <w:tr>
        <w:trPr>
          <w:trHeight w:val="20"/>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175" w:lineRule="exact"/>
        <w:rPr>
          <w:sz w:val="20"/>
          <w:szCs w:val="20"/>
          <w:color w:val="auto"/>
        </w:rPr>
      </w:pPr>
    </w:p>
    <w:p>
      <w:pPr>
        <w:ind w:firstLine="500"/>
        <w:spacing w:after="0" w:line="272" w:lineRule="auto"/>
        <w:rPr>
          <w:sz w:val="20"/>
          <w:szCs w:val="20"/>
          <w:color w:val="auto"/>
        </w:rPr>
      </w:pPr>
      <w:r>
        <w:rPr>
          <w:rFonts w:ascii="Arial" w:cs="Arial" w:eastAsia="Arial" w:hAnsi="Arial"/>
          <w:sz w:val="17"/>
          <w:szCs w:val="17"/>
          <w:color w:val="auto"/>
        </w:rPr>
        <w:t>We operate two segments: Advisory and Trust. These segments are managed separately based on the types of products and services offered and their related client bases. The Company’s segment information is prepared on the same basis that management reviews the financial information for operational decision-making purposes. The Company’s chief operating decision maker, our Chief Executive Officer, evaluates the performance of our segments based primarily on fee revenues and Economic Earnings. 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121" w:lineRule="exact"/>
        <w:rPr>
          <w:sz w:val="20"/>
          <w:szCs w:val="20"/>
          <w:color w:val="auto"/>
        </w:rPr>
      </w:pPr>
    </w:p>
    <w:p>
      <w:pPr>
        <w:ind w:right="440" w:firstLine="500"/>
        <w:spacing w:after="0" w:line="312" w:lineRule="auto"/>
        <w:rPr>
          <w:sz w:val="20"/>
          <w:szCs w:val="20"/>
          <w:color w:val="auto"/>
        </w:rPr>
      </w:pPr>
      <w:r>
        <w:rPr>
          <w:rFonts w:ascii="Arial" w:cs="Arial" w:eastAsia="Arial" w:hAnsi="Arial"/>
          <w:sz w:val="16"/>
          <w:szCs w:val="16"/>
          <w:color w:val="auto"/>
        </w:rPr>
        <w:t>Our Advisory segment provides investment advisory services to corporate retirement plans, public retirement plans, endowments, foundations, individuals, the Westwood Funds</w:t>
      </w:r>
      <w:r>
        <w:rPr>
          <w:rFonts w:ascii="Arial" w:cs="Arial" w:eastAsia="Arial" w:hAnsi="Arial"/>
          <w:sz w:val="16"/>
          <w:szCs w:val="16"/>
          <w:b w:val="1"/>
          <w:bCs w:val="1"/>
          <w:i w:val="1"/>
          <w:iCs w:val="1"/>
          <w:color w:val="auto"/>
        </w:rPr>
        <w:t>®</w:t>
      </w:r>
      <w:r>
        <w:rPr>
          <w:rFonts w:ascii="Arial" w:cs="Arial" w:eastAsia="Arial" w:hAnsi="Arial"/>
          <w:sz w:val="16"/>
          <w:szCs w:val="16"/>
          <w:color w:val="auto"/>
        </w:rPr>
        <w:t>, and the UCITS Fund, as well as investment subadvisory services to mutual funds and our Trust segment. Westwood Management and Westwood International, which provide investment advisory services to similar clients, are included in our Advisory segment.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Trust provides trust and custodial services and participation in common trust funds that it sponsors to institutions and high net worth individuals.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Westwood Trust is included in our Trust segment.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Westwood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Advisory</w:t>
            </w:r>
          </w:p>
        </w:tc>
        <w:tc>
          <w:tcPr>
            <w:tcW w:w="2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Holdings</w:t>
            </w:r>
          </w:p>
        </w:tc>
        <w:tc>
          <w:tcPr>
            <w:tcW w:w="16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3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2019</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14,815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6,444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21,259</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interest and dividend revenue</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7"/>
        </w:trPr>
        <w:tc>
          <w:tcPr>
            <w:tcW w:w="482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16,047</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6,599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21,709</w:t>
            </w:r>
          </w:p>
        </w:tc>
        <w:tc>
          <w:tcPr>
            <w:tcW w:w="0" w:type="dxa"/>
            <w:vAlign w:val="bottom"/>
          </w:tcPr>
          <w:p>
            <w:pPr>
              <w:spacing w:after="0"/>
              <w:rPr>
                <w:sz w:val="1"/>
                <w:szCs w:val="1"/>
                <w:color w:val="auto"/>
              </w:rPr>
            </w:pPr>
          </w:p>
        </w:tc>
      </w:tr>
      <w:tr>
        <w:trPr>
          <w:trHeight w:val="73"/>
        </w:trPr>
        <w:tc>
          <w:tcPr>
            <w:tcW w:w="48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Economic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4,773</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Less:  Restricted stock expense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2,430</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37"/>
        </w:trPr>
        <w:tc>
          <w:tcPr>
            <w:tcW w:w="4820" w:type="dxa"/>
            <w:vAlign w:val="bottom"/>
          </w:tcPr>
          <w:p>
            <w:pPr>
              <w:ind w:left="520"/>
              <w:spacing w:after="0"/>
              <w:rPr>
                <w:sz w:val="20"/>
                <w:szCs w:val="20"/>
                <w:color w:val="auto"/>
              </w:rPr>
            </w:pPr>
            <w:r>
              <w:rPr>
                <w:rFonts w:ascii="Arial" w:cs="Arial" w:eastAsia="Arial" w:hAnsi="Arial"/>
                <w:sz w:val="16"/>
                <w:szCs w:val="16"/>
                <w:color w:val="auto"/>
              </w:rPr>
              <w:t>Deferred taxes on goodwill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1,861</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232,380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64,771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179,486</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Segment goodwill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3,403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16,401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19,804</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Three Months Ended June 30, 2018</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32,587</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intersegment revenues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and dividend revenue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32,760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Economic Earnings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2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13,111</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1,457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(2,323)</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12,245</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Restricted stock expense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3,776</w:t>
            </w:r>
          </w:p>
        </w:tc>
        <w:tc>
          <w:tcPr>
            <w:tcW w:w="0" w:type="dxa"/>
            <w:vAlign w:val="bottom"/>
          </w:tcPr>
          <w:p>
            <w:pPr>
              <w:spacing w:after="0"/>
              <w:rPr>
                <w:sz w:val="1"/>
                <w:szCs w:val="1"/>
                <w:color w:val="auto"/>
              </w:rPr>
            </w:pPr>
          </w:p>
        </w:tc>
      </w:tr>
      <w:tr>
        <w:trPr>
          <w:trHeight w:val="237"/>
        </w:trPr>
        <w:tc>
          <w:tcPr>
            <w:tcW w:w="4820" w:type="dxa"/>
            <w:vAlign w:val="bottom"/>
          </w:tcPr>
          <w:p>
            <w:pPr>
              <w:ind w:left="520"/>
              <w:spacing w:after="0"/>
              <w:rPr>
                <w:sz w:val="20"/>
                <w:szCs w:val="20"/>
                <w:color w:val="auto"/>
              </w:rPr>
            </w:pPr>
            <w:r>
              <w:rPr>
                <w:rFonts w:ascii="Arial" w:cs="Arial" w:eastAsia="Arial" w:hAnsi="Arial"/>
                <w:sz w:val="16"/>
                <w:szCs w:val="16"/>
                <w:color w:val="auto"/>
              </w:rPr>
              <w:t>Intangible amortization</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Deferred taxes on goodwill</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7"/>
        </w:trPr>
        <w:tc>
          <w:tcPr>
            <w:tcW w:w="48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7,992</w:t>
            </w:r>
          </w:p>
        </w:tc>
        <w:tc>
          <w:tcPr>
            <w:tcW w:w="0" w:type="dxa"/>
            <w:vAlign w:val="bottom"/>
          </w:tcPr>
          <w:p>
            <w:pPr>
              <w:spacing w:after="0"/>
              <w:rPr>
                <w:sz w:val="1"/>
                <w:szCs w:val="1"/>
                <w:color w:val="auto"/>
              </w:rPr>
            </w:pPr>
          </w:p>
        </w:tc>
      </w:tr>
      <w:tr>
        <w:trPr>
          <w:trHeight w:val="73"/>
        </w:trPr>
        <w:tc>
          <w:tcPr>
            <w:tcW w:w="482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9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CCEEFF"/>
            </w:tcBorders>
          </w:tcPr>
          <w:p>
            <w:pPr>
              <w:spacing w:after="0"/>
              <w:rPr>
                <w:sz w:val="6"/>
                <w:szCs w:val="6"/>
                <w:color w:val="auto"/>
              </w:rPr>
            </w:pPr>
          </w:p>
        </w:tc>
        <w:tc>
          <w:tcPr>
            <w:tcW w:w="9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96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1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4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Segment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214,051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59,605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16,056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(105,445)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184,267</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Segment goodwill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3,403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16,401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19,804</w:t>
            </w:r>
          </w:p>
        </w:tc>
        <w:tc>
          <w:tcPr>
            <w:tcW w:w="0" w:type="dxa"/>
            <w:vAlign w:val="bottom"/>
          </w:tcPr>
          <w:p>
            <w:pPr>
              <w:spacing w:after="0"/>
              <w:rPr>
                <w:sz w:val="1"/>
                <w:szCs w:val="1"/>
                <w:color w:val="auto"/>
              </w:rPr>
            </w:pPr>
          </w:p>
        </w:tc>
      </w:tr>
      <w:tr>
        <w:trPr>
          <w:trHeight w:val="33"/>
        </w:trPr>
        <w:tc>
          <w:tcPr>
            <w:tcW w:w="4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Westwood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82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Advisory</w:t>
            </w:r>
          </w:p>
        </w:tc>
        <w:tc>
          <w:tcPr>
            <w:tcW w:w="2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Holdings</w:t>
            </w:r>
          </w:p>
        </w:tc>
        <w:tc>
          <w:tcPr>
            <w:tcW w:w="16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8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2019</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31,401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12,983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44,384</w:t>
            </w:r>
          </w:p>
        </w:tc>
      </w:tr>
      <w:tr>
        <w:trPr>
          <w:trHeight w:val="33"/>
        </w:trPr>
        <w:tc>
          <w:tcPr>
            <w:tcW w:w="4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intersegment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Net interest and dividend revenue</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595</w:t>
            </w:r>
          </w:p>
        </w:tc>
      </w:tr>
      <w:tr>
        <w:trPr>
          <w:trHeight w:val="33"/>
        </w:trPr>
        <w:tc>
          <w:tcPr>
            <w:tcW w:w="4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Other</w:t>
            </w:r>
          </w:p>
        </w:tc>
        <w:tc>
          <w:tcPr>
            <w:tcW w:w="43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w:t>
            </w:r>
          </w:p>
        </w:tc>
      </w:tr>
      <w:tr>
        <w:trPr>
          <w:trHeight w:val="21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34,307</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13,289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45,571</w:t>
            </w:r>
          </w:p>
        </w:tc>
      </w:tr>
      <w:tr>
        <w:trPr>
          <w:trHeight w:val="73"/>
        </w:trPr>
        <w:tc>
          <w:tcPr>
            <w:tcW w:w="4820" w:type="dxa"/>
            <w:vAlign w:val="bottom"/>
            <w:tcBorders>
              <w:bottom w:val="single" w:sz="8" w:color="CCEEFF"/>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21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Economic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10,091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8,890</w:t>
            </w:r>
          </w:p>
        </w:tc>
      </w:tr>
      <w:tr>
        <w:trPr>
          <w:trHeight w:val="237"/>
        </w:trPr>
        <w:tc>
          <w:tcPr>
            <w:tcW w:w="460" w:type="dxa"/>
            <w:vAlign w:val="bottom"/>
          </w:tcPr>
          <w:p>
            <w:pPr>
              <w:ind w:left="40"/>
              <w:spacing w:after="0"/>
              <w:rPr>
                <w:sz w:val="20"/>
                <w:szCs w:val="20"/>
                <w:color w:val="auto"/>
              </w:rPr>
            </w:pPr>
            <w:r>
              <w:rPr>
                <w:rFonts w:ascii="Arial" w:cs="Arial" w:eastAsia="Arial" w:hAnsi="Arial"/>
                <w:sz w:val="16"/>
                <w:szCs w:val="16"/>
                <w:color w:val="auto"/>
              </w:rPr>
              <w:t>Less:</w:t>
            </w:r>
          </w:p>
        </w:tc>
        <w:tc>
          <w:tcPr>
            <w:tcW w:w="4360" w:type="dxa"/>
            <w:vAlign w:val="bottom"/>
          </w:tcPr>
          <w:p>
            <w:pPr>
              <w:ind w:left="40"/>
              <w:spacing w:after="0"/>
              <w:rPr>
                <w:sz w:val="20"/>
                <w:szCs w:val="20"/>
                <w:color w:val="auto"/>
              </w:rPr>
            </w:pPr>
            <w:r>
              <w:rPr>
                <w:rFonts w:ascii="Arial" w:cs="Arial" w:eastAsia="Arial" w:hAnsi="Arial"/>
                <w:sz w:val="16"/>
                <w:szCs w:val="16"/>
                <w:color w:val="auto"/>
              </w:rPr>
              <w:t>Restricted stock expense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5,683</w:t>
            </w:r>
          </w:p>
        </w:tc>
      </w:tr>
      <w:tr>
        <w:trPr>
          <w:trHeight w:val="33"/>
        </w:trPr>
        <w:tc>
          <w:tcPr>
            <w:tcW w:w="4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w:t>
            </w:r>
          </w:p>
        </w:tc>
      </w:tr>
      <w:tr>
        <w:trPr>
          <w:trHeight w:val="237"/>
        </w:trPr>
        <w:tc>
          <w:tcPr>
            <w:tcW w:w="46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Deferred taxes on goodwill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118</w:t>
            </w:r>
          </w:p>
        </w:tc>
      </w:tr>
      <w:tr>
        <w:trPr>
          <w:trHeight w:val="33"/>
        </w:trPr>
        <w:tc>
          <w:tcPr>
            <w:tcW w:w="48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2,253</w:t>
            </w:r>
          </w:p>
        </w:tc>
      </w:tr>
      <w:tr>
        <w:trPr>
          <w:trHeight w:val="20"/>
        </w:trPr>
        <w:tc>
          <w:tcPr>
            <w:tcW w:w="48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2018</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50,940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15,074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66,014</w:t>
            </w:r>
          </w:p>
        </w:tc>
      </w:tr>
      <w:tr>
        <w:trPr>
          <w:trHeight w:val="33"/>
        </w:trPr>
        <w:tc>
          <w:tcPr>
            <w:tcW w:w="4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intersegment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Net interest and dividend revenue</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376</w:t>
            </w:r>
          </w:p>
        </w:tc>
      </w:tr>
      <w:tr>
        <w:trPr>
          <w:trHeight w:val="33"/>
        </w:trPr>
        <w:tc>
          <w:tcPr>
            <w:tcW w:w="4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Other</w:t>
            </w:r>
          </w:p>
        </w:tc>
        <w:tc>
          <w:tcPr>
            <w:tcW w:w="43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55,041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15,281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(3,995)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66,327</w:t>
            </w:r>
          </w:p>
        </w:tc>
      </w:tr>
      <w:tr>
        <w:trPr>
          <w:trHeight w:val="73"/>
        </w:trPr>
        <w:tc>
          <w:tcPr>
            <w:tcW w:w="4820" w:type="dxa"/>
            <w:vAlign w:val="bottom"/>
            <w:tcBorders>
              <w:bottom w:val="single" w:sz="8" w:color="CCEEFF"/>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21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Economic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26,910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24,887</w:t>
            </w:r>
          </w:p>
        </w:tc>
      </w:tr>
      <w:tr>
        <w:trPr>
          <w:trHeight w:val="237"/>
        </w:trPr>
        <w:tc>
          <w:tcPr>
            <w:tcW w:w="460" w:type="dxa"/>
            <w:vAlign w:val="bottom"/>
          </w:tcPr>
          <w:p>
            <w:pPr>
              <w:ind w:left="40"/>
              <w:spacing w:after="0"/>
              <w:rPr>
                <w:sz w:val="20"/>
                <w:szCs w:val="20"/>
                <w:color w:val="auto"/>
              </w:rPr>
            </w:pPr>
            <w:r>
              <w:rPr>
                <w:rFonts w:ascii="Arial" w:cs="Arial" w:eastAsia="Arial" w:hAnsi="Arial"/>
                <w:sz w:val="16"/>
                <w:szCs w:val="16"/>
                <w:color w:val="auto"/>
              </w:rPr>
              <w:t>Less:</w:t>
            </w:r>
          </w:p>
        </w:tc>
        <w:tc>
          <w:tcPr>
            <w:tcW w:w="4360" w:type="dxa"/>
            <w:vAlign w:val="bottom"/>
          </w:tcPr>
          <w:p>
            <w:pPr>
              <w:ind w:left="40"/>
              <w:spacing w:after="0"/>
              <w:rPr>
                <w:sz w:val="20"/>
                <w:szCs w:val="20"/>
                <w:color w:val="auto"/>
              </w:rPr>
            </w:pPr>
            <w:r>
              <w:rPr>
                <w:rFonts w:ascii="Arial" w:cs="Arial" w:eastAsia="Arial" w:hAnsi="Arial"/>
                <w:sz w:val="16"/>
                <w:szCs w:val="16"/>
                <w:color w:val="auto"/>
              </w:rPr>
              <w:t>Restricted stock expense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7,963</w:t>
            </w:r>
          </w:p>
        </w:tc>
      </w:tr>
      <w:tr>
        <w:trPr>
          <w:trHeight w:val="33"/>
        </w:trPr>
        <w:tc>
          <w:tcPr>
            <w:tcW w:w="4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w:t>
            </w:r>
          </w:p>
        </w:tc>
      </w:tr>
      <w:tr>
        <w:trPr>
          <w:trHeight w:val="237"/>
        </w:trPr>
        <w:tc>
          <w:tcPr>
            <w:tcW w:w="46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Deferred taxes on goodwill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118</w:t>
            </w:r>
          </w:p>
        </w:tc>
      </w:tr>
      <w:tr>
        <w:trPr>
          <w:trHeight w:val="33"/>
        </w:trPr>
        <w:tc>
          <w:tcPr>
            <w:tcW w:w="48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15,970</w:t>
            </w: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500"/>
        <w:spacing w:after="0" w:line="286" w:lineRule="auto"/>
        <w:rPr>
          <w:sz w:val="20"/>
          <w:szCs w:val="20"/>
          <w:color w:val="auto"/>
        </w:rPr>
      </w:pPr>
      <w:r>
        <w:rPr>
          <w:rFonts w:ascii="Arial" w:cs="Arial" w:eastAsia="Arial" w:hAnsi="Arial"/>
          <w:sz w:val="17"/>
          <w:szCs w:val="17"/>
          <w:color w:val="auto"/>
        </w:rPr>
        <w:t>We are providing a performance measure that we refer to as Economic Earnings. Our management and the Board of Directors review Economic Earnings to evaluate our ongoing performance, allocate resources and determine our dividend policy. We also believe that this performance measure is useful for management and investors when evaluating our underlying operating and financial performance and our available resources.</w:t>
      </w:r>
    </w:p>
    <w:p>
      <w:pPr>
        <w:spacing w:after="0" w:line="57" w:lineRule="exact"/>
        <w:rPr>
          <w:sz w:val="20"/>
          <w:szCs w:val="20"/>
          <w:color w:val="auto"/>
        </w:rPr>
      </w:pPr>
    </w:p>
    <w:p>
      <w:pPr>
        <w:ind w:right="80" w:firstLine="500"/>
        <w:spacing w:after="0" w:line="259" w:lineRule="auto"/>
        <w:rPr>
          <w:sz w:val="20"/>
          <w:szCs w:val="20"/>
          <w:color w:val="auto"/>
        </w:rPr>
      </w:pPr>
      <w:r>
        <w:rPr>
          <w:rFonts w:ascii="Arial" w:cs="Arial" w:eastAsia="Arial" w:hAnsi="Arial"/>
          <w:sz w:val="18"/>
          <w:szCs w:val="18"/>
          <w:color w:val="auto"/>
        </w:rPr>
        <w:t>In calculating Economic Earnings, we add to net income the non-cash expense associated with equity-based compensation awards of restricted stock, amortization of intangible assets and the deferred taxes related to the tax-basis amortization of goodwill. Although depreciation on property and equipment is a non-cash expense, we do not add it back when calculating Economic Earnings because depreciation charges represent a decline in the value of the related assets that will ultimately require replacement.</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provide a reconciliation of Net income to Economic Earnings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180" w:type="dxa"/>
            <w:vAlign w:val="bottom"/>
          </w:tcPr>
          <w:p>
            <w:pPr>
              <w:spacing w:after="0"/>
              <w:rPr>
                <w:sz w:val="18"/>
                <w:szCs w:val="18"/>
                <w:color w:val="auto"/>
              </w:rPr>
            </w:pPr>
          </w:p>
        </w:tc>
        <w:tc>
          <w:tcPr>
            <w:tcW w:w="2200" w:type="dxa"/>
            <w:vAlign w:val="bottom"/>
            <w:gridSpan w:val="4"/>
          </w:tcPr>
          <w:p>
            <w:pPr>
              <w:jc w:val="right"/>
              <w:ind w:right="135"/>
              <w:spacing w:after="0"/>
              <w:rPr>
                <w:sz w:val="20"/>
                <w:szCs w:val="20"/>
                <w:color w:val="auto"/>
              </w:rPr>
            </w:pPr>
            <w:r>
              <w:rPr>
                <w:rFonts w:ascii="Arial" w:cs="Arial" w:eastAsia="Arial" w:hAnsi="Arial"/>
                <w:sz w:val="16"/>
                <w:szCs w:val="16"/>
                <w:b w:val="1"/>
                <w:bCs w:val="1"/>
                <w:color w:val="auto"/>
                <w:w w:val="94"/>
              </w:rPr>
              <w:t>Six Months Ended June 30,</w:t>
            </w:r>
          </w:p>
        </w:tc>
        <w:tc>
          <w:tcPr>
            <w:tcW w:w="0" w:type="dxa"/>
            <w:vAlign w:val="bottom"/>
          </w:tcPr>
          <w:p>
            <w:pPr>
              <w:spacing w:after="0"/>
              <w:rPr>
                <w:sz w:val="1"/>
                <w:szCs w:val="1"/>
                <w:color w:val="auto"/>
              </w:rPr>
            </w:pPr>
          </w:p>
        </w:tc>
      </w:tr>
      <w:tr>
        <w:trPr>
          <w:trHeight w:val="47"/>
        </w:trPr>
        <w:tc>
          <w:tcPr>
            <w:tcW w:w="46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6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5"/>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6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2,253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15,970</w:t>
            </w:r>
          </w:p>
        </w:tc>
        <w:tc>
          <w:tcPr>
            <w:tcW w:w="0" w:type="dxa"/>
            <w:vAlign w:val="bottom"/>
          </w:tcPr>
          <w:p>
            <w:pPr>
              <w:spacing w:after="0"/>
              <w:rPr>
                <w:sz w:val="1"/>
                <w:szCs w:val="1"/>
                <w:color w:val="auto"/>
              </w:rPr>
            </w:pP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Add: Stock-based compensation expense</w:t>
            </w:r>
          </w:p>
        </w:tc>
        <w:tc>
          <w:tcPr>
            <w:tcW w:w="1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3,776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5,683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7,963</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 Intangible amortization</w:t>
            </w:r>
          </w:p>
        </w:tc>
        <w:tc>
          <w:tcPr>
            <w:tcW w:w="1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836</w:t>
            </w:r>
          </w:p>
        </w:tc>
        <w:tc>
          <w:tcPr>
            <w:tcW w:w="0" w:type="dxa"/>
            <w:vAlign w:val="bottom"/>
          </w:tcPr>
          <w:p>
            <w:pPr>
              <w:spacing w:after="0"/>
              <w:rPr>
                <w:sz w:val="1"/>
                <w:szCs w:val="1"/>
                <w:color w:val="auto"/>
              </w:rPr>
            </w:pP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Add: Tax benefit from goodwill amortization</w:t>
            </w:r>
          </w:p>
        </w:tc>
        <w:tc>
          <w:tcPr>
            <w:tcW w:w="1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2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8,890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24,887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ind w:right="650"/>
              <w:spacing w:after="0"/>
              <w:rPr>
                <w:sz w:val="20"/>
                <w:szCs w:val="20"/>
                <w:color w:val="auto"/>
              </w:rPr>
            </w:pPr>
            <w:r>
              <w:rPr>
                <w:rFonts w:ascii="Arial" w:cs="Arial" w:eastAsia="Arial" w:hAnsi="Arial"/>
                <w:sz w:val="18"/>
                <w:szCs w:val="18"/>
                <w:color w:val="auto"/>
              </w:rPr>
              <w:t>20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jc w:val="center"/>
        <w:ind w:left="1040" w:right="136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Declared</w:t>
      </w:r>
    </w:p>
    <w:p>
      <w:pPr>
        <w:spacing w:after="0" w:line="175"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In July 2019, Westwood’s Board of Directors declared a quarterly cash dividend of $0.72 per common share, payable on October 1, 2019, to stockholders of record on September 6, 2019.</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620"/>
          </w:cols>
          <w:pgMar w:left="240" w:top="121" w:right="1039" w:bottom="1440" w:gutter="0" w:footer="0" w:header="0"/>
        </w:sectPr>
      </w:pPr>
    </w:p>
    <w:bookmarkStart w:id="23" w:name="page24"/>
    <w:bookmarkEnd w:id="23"/>
    <w:p>
      <w:pPr>
        <w:spacing w:after="0"/>
        <w:tabs>
          <w:tab w:leader="none" w:pos="1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ind w:right="80" w:firstLine="500"/>
        <w:spacing w:after="0" w:line="272" w:lineRule="auto"/>
        <w:rPr>
          <w:sz w:val="20"/>
          <w:szCs w:val="20"/>
          <w:color w:val="auto"/>
        </w:rPr>
      </w:pPr>
      <w:r>
        <w:rPr>
          <w:rFonts w:ascii="Arial" w:cs="Arial" w:eastAsia="Arial" w:hAnsi="Arial"/>
          <w:sz w:val="17"/>
          <w:szCs w:val="17"/>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“may,” “target,” “designed,” “on track,” “comfortable with,” “optimistic”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2018, filed with the SEC, and those risks set forth below:</w:t>
      </w:r>
    </w:p>
    <w:p>
      <w:pPr>
        <w:spacing w:after="0" w:line="70" w:lineRule="exact"/>
        <w:rPr>
          <w:sz w:val="20"/>
          <w:szCs w:val="20"/>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composition and market value of our assets under management;</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regulations adversely affecting the financial services industry;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investment management industry;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assets under management includes investments in foreign companies;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and market new investment strategies successfully;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reputation and our relationships with current and potential customers;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effective cyber security;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perform operational tasks;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identify and execute on our strategic initiatives;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effective information systems;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select and oversee third-party vendors;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properly address conflicts of interest;</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adequate insurance coverage;</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our fee structure in light of competitive fee pressures;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relationships with investment consulting firms; and</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significant concentration of our revenues in a small number of customers.</w:t>
      </w:r>
    </w:p>
    <w:p>
      <w:pPr>
        <w:spacing w:after="0" w:line="17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364"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5" w:lineRule="exact"/>
        <w:rPr>
          <w:sz w:val="20"/>
          <w:szCs w:val="20"/>
          <w:color w:val="auto"/>
        </w:rPr>
      </w:pPr>
    </w:p>
    <w:p>
      <w:pPr>
        <w:ind w:right="40" w:firstLine="500"/>
        <w:spacing w:after="0" w:line="290" w:lineRule="auto"/>
        <w:rPr>
          <w:sz w:val="20"/>
          <w:szCs w:val="20"/>
          <w:color w:val="auto"/>
        </w:rPr>
      </w:pPr>
      <w:r>
        <w:rPr>
          <w:rFonts w:ascii="Arial" w:cs="Arial" w:eastAsia="Arial" w:hAnsi="Arial"/>
          <w:sz w:val="16"/>
          <w:szCs w:val="16"/>
          <w:color w:val="auto"/>
        </w:rPr>
        <w:t>We manage investment assets and provide services for our clients through our subsidiaries, Westwood Management Corp. and Westwood Advisors, L.L.C. (each of which is an SEC-registered investment advisor and referred to hereinafter together as “Westwood Management”), Westwood International Advisors Inc. (“Westwood International”) and Westwood Trust. Westwood Management provides investment advisory services to institutional investors, a family of mutual funds called the Westwood Funds®, other mutual funds, an Irish investment company authorized pursuant to the European Communities (Undertakings for Collective Investment in Transferable Securities) Regulation 2011 (as amended) (the “UCITS Fund”), individuals and clients of Westwood Trust. Westwood International provides investment advisory services to institutional clients, the Westwood Funds®, other mutual funds, the UCITS Fund and clients of Westwood Trust. Westwood Trust provides trust and custodial services and participation in common trust funds to institutions and high net worth individuals. Our revenues are generally derived from fees based on a percentage of assets under management.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 of our Omaha Operations</w:t>
      </w:r>
    </w:p>
    <w:p>
      <w:pPr>
        <w:spacing w:after="0" w:line="171" w:lineRule="exact"/>
        <w:rPr>
          <w:sz w:val="20"/>
          <w:szCs w:val="20"/>
          <w:color w:val="auto"/>
        </w:rPr>
      </w:pPr>
    </w:p>
    <w:p>
      <w:pPr>
        <w:ind w:right="40" w:firstLine="500"/>
        <w:spacing w:after="0" w:line="302" w:lineRule="auto"/>
        <w:rPr>
          <w:sz w:val="20"/>
          <w:szCs w:val="20"/>
          <w:color w:val="auto"/>
        </w:rPr>
      </w:pPr>
      <w:r>
        <w:rPr>
          <w:rFonts w:ascii="Arial" w:cs="Arial" w:eastAsia="Arial" w:hAnsi="Arial"/>
          <w:sz w:val="16"/>
          <w:szCs w:val="16"/>
          <w:color w:val="auto"/>
        </w:rPr>
        <w:t>On September 6, 2017, we entered into an agreement to sell the Omaha-based component of our Wealth Management business. The sale closed on January 12, 2018. We received proceeds of $10.0 million, net of working capital requirements, and recorded a gain on the sale of $524,000, which is included as “Gain on sale of operations” on our Consolidated Statement of Comprehensive Income. The component is reported within both our Advisory and Trust segments. The sale did not represent a major strategic shift in our business and did not qualify for discontinued operations reporting.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firstLine="500"/>
        <w:spacing w:after="0" w:line="289" w:lineRule="auto"/>
        <w:rPr>
          <w:sz w:val="20"/>
          <w:szCs w:val="20"/>
          <w:color w:val="auto"/>
        </w:rPr>
      </w:pPr>
      <w:r>
        <w:rPr>
          <w:rFonts w:ascii="Arial" w:cs="Arial" w:eastAsia="Arial" w:hAnsi="Arial"/>
          <w:sz w:val="16"/>
          <w:szCs w:val="16"/>
          <w:color w:val="auto"/>
        </w:rPr>
        <w:t>We derive our revenues from investment advisory fees, trust fees and other revenues. Our advisory fees are generated by Westwood Management and Westwood International, which manage client accounts under investment advisory and subadvisory agreements. Advisory fees are typically calculated based on a percentage of assets under management and are paid in accordance with the terms of the agreements. Advisory fees are paid quarterly in advance based on assets under management on the last day of the preceding quarter, quarterly in arrears based on assets under management on the last day of the quarter just ended or are based on a daily or monthly analysis of assets under management for the stated period. We recognize advisory fee revenues as services are rendered. A limited number of our clients have a contractual performance-based fee component in their contracts, which generates additional revenues if we outperform a specified index over a specific period of time. We record revenues from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spacing w:after="0" w:line="59" w:lineRule="exact"/>
        <w:rPr>
          <w:sz w:val="20"/>
          <w:szCs w:val="20"/>
          <w:color w:val="auto"/>
        </w:rPr>
      </w:pPr>
    </w:p>
    <w:p>
      <w:pPr>
        <w:ind w:right="100" w:firstLine="500"/>
        <w:spacing w:after="0" w:line="273" w:lineRule="auto"/>
        <w:rPr>
          <w:sz w:val="20"/>
          <w:szCs w:val="20"/>
          <w:color w:val="auto"/>
        </w:rPr>
      </w:pPr>
      <w:r>
        <w:rPr>
          <w:rFonts w:ascii="Arial" w:cs="Arial" w:eastAsia="Arial" w:hAnsi="Arial"/>
          <w:sz w:val="17"/>
          <w:szCs w:val="17"/>
          <w:color w:val="auto"/>
        </w:rPr>
        <w:t>Our trust fees are generated by Westwood Trust pursuant to trust or custodial agreements. Trust fees are separately negotiated with each client and are generally based on a percentage of assets under management. Westwood Trust also provides trust services to a small number of clients on a fixed fee basis. Trust fees are primarily either calculated quarterly in arrears based on a daily average of assets under management for the quarter. Since billing periods for most of Westwood Trust’s clients coincide with the calendar quarter or monthly based on the month-end assets under management. Since billing periods for most of Westwood Trust's clients coincide with the calendar quarter, revenue is fully recognized within the quarter, and our Condensed Consolidated Financial Statements do not contain a significant amount of deferred trust fee revenues.</w:t>
      </w:r>
    </w:p>
    <w:p>
      <w:pPr>
        <w:spacing w:after="0" w:line="70" w:lineRule="exact"/>
        <w:rPr>
          <w:sz w:val="20"/>
          <w:szCs w:val="20"/>
          <w:color w:val="auto"/>
        </w:rPr>
      </w:pPr>
    </w:p>
    <w:p>
      <w:pPr>
        <w:ind w:right="60" w:firstLine="500"/>
        <w:spacing w:after="0" w:line="308" w:lineRule="auto"/>
        <w:rPr>
          <w:sz w:val="20"/>
          <w:szCs w:val="20"/>
          <w:color w:val="auto"/>
        </w:rPr>
      </w:pPr>
      <w:r>
        <w:rPr>
          <w:rFonts w:ascii="Arial" w:cs="Arial" w:eastAsia="Arial" w:hAnsi="Arial"/>
          <w:sz w:val="17"/>
          <w:szCs w:val="17"/>
          <w:color w:val="auto"/>
        </w:rPr>
        <w:t>Our other revenues generally consist of interest and investment income. Although we generally invest most of our cash in U.S. Treasury securities, we also invest in equity and fixed income instruments and money market funds, including seed money for new investment strategies.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Employee compensation and benefits expenses generally consist of salaries, incentive compensation, equity-based compensation and benefits.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Sales and marketing expenses relate to our marketing efforts, including travel and entertainment, direct marketing and advertising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Westwood Mutual Funds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Westwood Mutual Funds expenses relate to our marketing, distribution and administration of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88"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Information Technology</w:t>
      </w:r>
    </w:p>
    <w:p>
      <w:pPr>
        <w:spacing w:after="0" w:line="117" w:lineRule="exact"/>
        <w:rPr>
          <w:sz w:val="20"/>
          <w:szCs w:val="20"/>
          <w:color w:val="auto"/>
        </w:rPr>
      </w:pPr>
    </w:p>
    <w:p>
      <w:pPr>
        <w:ind w:right="60" w:firstLine="554"/>
        <w:spacing w:after="0" w:line="277" w:lineRule="auto"/>
        <w:rPr>
          <w:sz w:val="20"/>
          <w:szCs w:val="20"/>
          <w:color w:val="auto"/>
        </w:rPr>
      </w:pPr>
      <w:r>
        <w:rPr>
          <w:rFonts w:ascii="Arial" w:cs="Arial" w:eastAsia="Arial" w:hAnsi="Arial"/>
          <w:sz w:val="18"/>
          <w:szCs w:val="18"/>
          <w:color w:val="auto"/>
        </w:rPr>
        <w:t>Information technology expenses are generally costs associated with proprietary investment research tools, maintenance and support, computing hardware, software licenses, telecommunications and other related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Professional services expenses generally consist of costs associated with subadvisory fees, audit, tax, legal and other professional services.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firstLine="500"/>
        <w:spacing w:after="0" w:line="308" w:lineRule="auto"/>
        <w:rPr>
          <w:sz w:val="20"/>
          <w:szCs w:val="20"/>
          <w:color w:val="auto"/>
        </w:rPr>
      </w:pPr>
      <w:r>
        <w:rPr>
          <w:rFonts w:ascii="Arial" w:cs="Arial" w:eastAsia="Arial" w:hAnsi="Arial"/>
          <w:sz w:val="17"/>
          <w:szCs w:val="17"/>
          <w:color w:val="auto"/>
        </w:rPr>
        <w:t>General and administrative expenses generally consist of costs associated with the lease of our office space, amortization, depreciation, insurance, custody expense, Directors' fees, investor relations, licenses and fees, office supplies and other miscellaneous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Foreign Currency Transactions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Gain (loss) on foreign currency transactions consists of foreign currency transactions primarily related to Westwood International Advisors.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Operations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Gain on sale of operations includes the gain on the sale of our Omaha-based component of our Wealth Management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Income consists of income from the sublease of a portion of our corporate office.</w:t>
      </w:r>
    </w:p>
    <w:p>
      <w:pPr>
        <w:spacing w:after="0" w:line="200" w:lineRule="exact"/>
        <w:rPr>
          <w:sz w:val="20"/>
          <w:szCs w:val="20"/>
          <w:color w:val="auto"/>
        </w:rPr>
      </w:pPr>
    </w:p>
    <w:p>
      <w:pPr>
        <w:spacing w:after="0" w:line="37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240" w:top="584" w:right="6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Assets Under Management</w:t>
      </w:r>
    </w:p>
    <w:p>
      <w:pPr>
        <w:spacing w:after="0" w:line="175" w:lineRule="exact"/>
        <w:rPr>
          <w:sz w:val="20"/>
          <w:szCs w:val="20"/>
          <w:color w:val="auto"/>
        </w:rPr>
      </w:pPr>
    </w:p>
    <w:p>
      <w:pPr>
        <w:ind w:right="140" w:firstLine="500"/>
        <w:spacing w:after="0" w:line="259" w:lineRule="auto"/>
        <w:rPr>
          <w:sz w:val="20"/>
          <w:szCs w:val="20"/>
          <w:color w:val="auto"/>
        </w:rPr>
      </w:pPr>
      <w:r>
        <w:rPr>
          <w:rFonts w:ascii="Arial" w:cs="Arial" w:eastAsia="Arial" w:hAnsi="Arial"/>
          <w:sz w:val="18"/>
          <w:szCs w:val="18"/>
          <w:color w:val="auto"/>
        </w:rPr>
        <w:t>Assets under management (“AUM”) decreased $6.2 billion to $15.4 billion at June 30, 2019 compared with $21.6 billion at June 30, 2018. The average of beginning and ending assets under management for the second quarter of 2019 was $16.1 billion compared to $22.1 billion for the second quarter of 2018. These decreases are due to net outflows, including $551 million of outflows related to the sale of the Omaha-based component of our Wealth Management business, partially offset by market appreciation, over the last twelve months.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displays assets under management as of June 30, 2019 and 2018 (in millions):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 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Institutional</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8,377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12,457</w:t>
            </w: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w w:val="96"/>
              </w:rPr>
              <w:t>(33)%</w:t>
            </w: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line="270" w:lineRule="exact"/>
              <w:rPr>
                <w:sz w:val="20"/>
                <w:szCs w:val="20"/>
                <w:color w:val="auto"/>
              </w:rPr>
            </w:pPr>
            <w:r>
              <w:rPr>
                <w:rFonts w:ascii="Arial" w:cs="Arial" w:eastAsia="Arial" w:hAnsi="Arial"/>
                <w:sz w:val="18"/>
                <w:szCs w:val="18"/>
                <w:color w:val="auto"/>
              </w:rPr>
              <w:t>Wealth Management</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4,399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4,935</w:t>
            </w:r>
          </w:p>
        </w:tc>
        <w:tc>
          <w:tcPr>
            <w:tcW w:w="1360" w:type="dxa"/>
            <w:vAlign w:val="bottom"/>
            <w:gridSpan w:val="2"/>
          </w:tcPr>
          <w:p>
            <w:pPr>
              <w:ind w:left="90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Mutual Funds</w:t>
            </w:r>
            <w:r>
              <w:rPr>
                <w:rFonts w:ascii="Arial" w:cs="Arial" w:eastAsia="Arial" w:hAnsi="Arial"/>
                <w:sz w:val="25"/>
                <w:szCs w:val="25"/>
                <w:color w:val="auto"/>
                <w:vertAlign w:val="superscript"/>
              </w:rPr>
              <w:t>(3)</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2,612</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4,199</w:t>
            </w: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line="264" w:lineRule="exact"/>
              <w:rPr>
                <w:sz w:val="20"/>
                <w:szCs w:val="20"/>
                <w:color w:val="auto"/>
              </w:rPr>
            </w:pPr>
            <w:r>
              <w:rPr>
                <w:rFonts w:ascii="Arial" w:cs="Arial" w:eastAsia="Arial" w:hAnsi="Arial"/>
                <w:sz w:val="18"/>
                <w:szCs w:val="18"/>
                <w:b w:val="1"/>
                <w:bCs w:val="1"/>
                <w:color w:val="auto"/>
              </w:rPr>
              <w:t>Total Assets Under Management</w:t>
            </w:r>
            <w:r>
              <w:rPr>
                <w:rFonts w:ascii="Arial" w:cs="Arial" w:eastAsia="Arial" w:hAnsi="Arial"/>
                <w:sz w:val="25"/>
                <w:szCs w:val="25"/>
                <w:b w:val="1"/>
                <w:bCs w:val="1"/>
                <w:color w:val="auto"/>
                <w:vertAlign w:val="superscript"/>
              </w:rPr>
              <w:t>(4)</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15,388</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21,591</w:t>
            </w:r>
          </w:p>
        </w:tc>
        <w:tc>
          <w:tcPr>
            <w:tcW w:w="1360" w:type="dxa"/>
            <w:vAlign w:val="bottom"/>
            <w:gridSpan w:val="2"/>
          </w:tcPr>
          <w:p>
            <w:pPr>
              <w:ind w:left="900"/>
              <w:spacing w:after="0"/>
              <w:rPr>
                <w:sz w:val="20"/>
                <w:szCs w:val="20"/>
                <w:color w:val="auto"/>
              </w:rPr>
            </w:pPr>
            <w:r>
              <w:rPr>
                <w:rFonts w:ascii="Arial" w:cs="Arial" w:eastAsia="Arial" w:hAnsi="Arial"/>
                <w:sz w:val="17"/>
                <w:szCs w:val="17"/>
                <w:color w:val="auto"/>
                <w:w w:val="96"/>
              </w:rPr>
              <w:t>(29)%</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4"/>
                <w:szCs w:val="14"/>
                <w:color w:val="auto"/>
              </w:rPr>
              <w:t>________________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4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jc w:val="both"/>
        <w:ind w:left="340" w:hanging="332"/>
        <w:spacing w:after="0" w:line="25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Institutional </w:t>
      </w:r>
      <w:r>
        <w:rPr>
          <w:rFonts w:ascii="Arial" w:cs="Arial" w:eastAsia="Arial" w:hAnsi="Arial"/>
          <w:sz w:val="16"/>
          <w:szCs w:val="16"/>
          <w:color w:val="auto"/>
        </w:rPr>
        <w:t>includes (i) separate accounts of corporate pension and profit sharing plans, public employee retirement funds, Taft-Hartley plans, endowments, foundations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w:t>
      </w:r>
    </w:p>
    <w:p>
      <w:pPr>
        <w:spacing w:after="0" w:line="25" w:lineRule="exact"/>
        <w:rPr>
          <w:rFonts w:ascii="Arial" w:cs="Arial" w:eastAsia="Arial" w:hAnsi="Arial"/>
          <w:sz w:val="16"/>
          <w:szCs w:val="16"/>
          <w:color w:val="auto"/>
        </w:rPr>
      </w:pPr>
    </w:p>
    <w:p>
      <w:pPr>
        <w:jc w:val="both"/>
        <w:ind w:left="340" w:hanging="332"/>
        <w:spacing w:after="0" w:line="272" w:lineRule="auto"/>
        <w:tabs>
          <w:tab w:leader="none" w:pos="34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Wealth Management </w:t>
      </w:r>
      <w:r>
        <w:rPr>
          <w:rFonts w:ascii="Arial" w:cs="Arial" w:eastAsia="Arial" w:hAnsi="Arial"/>
          <w:sz w:val="15"/>
          <w:szCs w:val="15"/>
          <w:color w:val="auto"/>
        </w:rPr>
        <w:t>includes assets for which Westwood Trust provides trust and custodial services and participation in common trust funds that it sponsors to institutions</w:t>
      </w:r>
      <w:r>
        <w:rPr>
          <w:rFonts w:ascii="Arial" w:cs="Arial" w:eastAsia="Arial" w:hAnsi="Arial"/>
          <w:sz w:val="15"/>
          <w:szCs w:val="15"/>
          <w:i w:val="1"/>
          <w:iCs w:val="1"/>
          <w:color w:val="auto"/>
        </w:rPr>
        <w:t xml:space="preserve"> </w:t>
      </w:r>
      <w:r>
        <w:rPr>
          <w:rFonts w:ascii="Arial" w:cs="Arial" w:eastAsia="Arial" w:hAnsi="Arial"/>
          <w:sz w:val="15"/>
          <w:szCs w:val="15"/>
          <w:color w:val="auto"/>
        </w:rPr>
        <w:t>and high net worth individuals pursuant to trust or agency agreements and assets for which Westwood Advisors, L.L.C. provided advisory services to high net worth individuals. Investment subadvisory services are provided for the common trust funds by Westwood Management, Westwood International Advisors and external unaffiliated subadvisors. For certain assets in this category Westwood Trust currently provides limited custody services for a minimal or no fee, viewing these assets as potentially converting to fee-generating managed assets in the future. As an example, some assets in this category consist of low-basis stock currently held in custody for clients where we believe such assets may convert to fee-generating managed assets following an intergenerational transfer of wealth.</w:t>
      </w:r>
    </w:p>
    <w:p>
      <w:pPr>
        <w:spacing w:after="0" w:line="15" w:lineRule="exact"/>
        <w:rPr>
          <w:rFonts w:ascii="Arial" w:cs="Arial" w:eastAsia="Arial" w:hAnsi="Arial"/>
          <w:sz w:val="15"/>
          <w:szCs w:val="15"/>
          <w:color w:val="auto"/>
        </w:rPr>
      </w:pPr>
    </w:p>
    <w:p>
      <w:pPr>
        <w:ind w:left="340" w:right="20" w:hanging="332"/>
        <w:spacing w:after="0" w:line="275"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Mutual Funds </w:t>
      </w:r>
      <w:r>
        <w:rPr>
          <w:rFonts w:ascii="Arial" w:cs="Arial" w:eastAsia="Arial" w:hAnsi="Arial"/>
          <w:sz w:val="16"/>
          <w:szCs w:val="16"/>
          <w:color w:val="auto"/>
        </w:rPr>
        <w:t>include the Westwood Funds</w:t>
      </w:r>
      <w:r>
        <w:rPr>
          <w:rFonts w:ascii="Arial" w:cs="Arial" w:eastAsia="Arial" w:hAnsi="Arial"/>
          <w:sz w:val="16"/>
          <w:szCs w:val="16"/>
          <w:b w:val="1"/>
          <w:bCs w:val="1"/>
          <w:i w:val="1"/>
          <w:iCs w:val="1"/>
          <w:color w:val="auto"/>
        </w:rPr>
        <w:t>®</w:t>
      </w:r>
      <w:r>
        <w:rPr>
          <w:rFonts w:ascii="Arial" w:cs="Arial" w:eastAsia="Arial" w:hAnsi="Arial"/>
          <w:sz w:val="16"/>
          <w:szCs w:val="16"/>
          <w:color w:val="auto"/>
        </w:rPr>
        <w:t>, a family of mutual funds for which Westwood Management serves as advisor. These funds are available to individual</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investors, as well as offered as part of our investment strategies for institutional and wealth management accounts.</w:t>
      </w:r>
    </w:p>
    <w:p>
      <w:pPr>
        <w:spacing w:after="0" w:line="6" w:lineRule="exact"/>
        <w:rPr>
          <w:rFonts w:ascii="Arial" w:cs="Arial" w:eastAsia="Arial" w:hAnsi="Arial"/>
          <w:sz w:val="16"/>
          <w:szCs w:val="16"/>
          <w:color w:val="auto"/>
        </w:rPr>
      </w:pPr>
    </w:p>
    <w:p>
      <w:pPr>
        <w:ind w:left="340" w:hanging="332"/>
        <w:spacing w:after="0" w:line="304"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AUM excludes $261 million and $259 million of assets under advisement (</w:t>
      </w:r>
      <w:r>
        <w:rPr>
          <w:rFonts w:ascii="Arial" w:cs="Arial" w:eastAsia="Arial" w:hAnsi="Arial"/>
          <w:sz w:val="18"/>
          <w:szCs w:val="18"/>
          <w:color w:val="auto"/>
        </w:rPr>
        <w:t>“</w:t>
      </w:r>
      <w:r>
        <w:rPr>
          <w:rFonts w:ascii="Arial" w:cs="Arial" w:eastAsia="Arial" w:hAnsi="Arial"/>
          <w:sz w:val="16"/>
          <w:szCs w:val="16"/>
          <w:color w:val="auto"/>
        </w:rPr>
        <w:t>AUA</w:t>
      </w:r>
      <w:r>
        <w:rPr>
          <w:rFonts w:ascii="Arial" w:cs="Arial" w:eastAsia="Arial" w:hAnsi="Arial"/>
          <w:sz w:val="18"/>
          <w:szCs w:val="18"/>
          <w:color w:val="auto"/>
        </w:rPr>
        <w:t>”</w:t>
      </w:r>
      <w:r>
        <w:rPr>
          <w:rFonts w:ascii="Arial" w:cs="Arial" w:eastAsia="Arial" w:hAnsi="Arial"/>
          <w:sz w:val="16"/>
          <w:szCs w:val="16"/>
          <w:color w:val="auto"/>
        </w:rPr>
        <w:t>) as of June 30, 2019 and 2018, respectively, related to our model portfolios for which we provided consulting advice but for which we did not have direct discretionary investment authority.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8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Roll-Forward of Assets Under Management</w:t>
      </w:r>
    </w:p>
    <w:p>
      <w:pPr>
        <w:spacing w:after="0" w:line="230"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180" w:type="dxa"/>
            <w:vAlign w:val="bottom"/>
          </w:tcPr>
          <w:p>
            <w:pPr>
              <w:spacing w:after="0"/>
              <w:rPr>
                <w:sz w:val="18"/>
                <w:szCs w:val="18"/>
                <w:color w:val="auto"/>
              </w:rPr>
            </w:pPr>
          </w:p>
        </w:tc>
        <w:tc>
          <w:tcPr>
            <w:tcW w:w="2160" w:type="dxa"/>
            <w:vAlign w:val="bottom"/>
            <w:gridSpan w:val="4"/>
          </w:tcPr>
          <w:p>
            <w:pPr>
              <w:jc w:val="right"/>
              <w:ind w:right="115"/>
              <w:spacing w:after="0"/>
              <w:rPr>
                <w:sz w:val="20"/>
                <w:szCs w:val="20"/>
                <w:color w:val="auto"/>
              </w:rPr>
            </w:pPr>
            <w:r>
              <w:rPr>
                <w:rFonts w:ascii="Arial" w:cs="Arial" w:eastAsia="Arial" w:hAnsi="Arial"/>
                <w:sz w:val="16"/>
                <w:szCs w:val="16"/>
                <w:b w:val="1"/>
                <w:bCs w:val="1"/>
                <w:color w:val="auto"/>
                <w:w w:val="93"/>
              </w:rPr>
              <w:t>Six Months Ended June 30,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0" w:type="dxa"/>
            <w:vAlign w:val="bottom"/>
            <w:gridSpan w:val="5"/>
            <w:vMerge w:val="restart"/>
          </w:tcPr>
          <w:p>
            <w:pPr>
              <w:spacing w:after="0"/>
              <w:rPr>
                <w:sz w:val="20"/>
                <w:szCs w:val="20"/>
                <w:color w:val="auto"/>
              </w:rPr>
            </w:pPr>
            <w:r>
              <w:rPr>
                <w:rFonts w:ascii="Arial" w:cs="Arial" w:eastAsia="Arial" w:hAnsi="Arial"/>
                <w:sz w:val="16"/>
                <w:szCs w:val="16"/>
                <w:i w:val="1"/>
                <w:iCs w:val="1"/>
                <w:color w:val="auto"/>
              </w:rPr>
              <w:t>(in millions)</w:t>
            </w: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40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1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5"/>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1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5"/>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400" w:type="dxa"/>
            <w:vAlign w:val="bottom"/>
            <w:gridSpan w:val="5"/>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Institutional</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7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400" w:type="dxa"/>
            <w:vAlign w:val="bottom"/>
            <w:gridSpan w:val="5"/>
          </w:tcPr>
          <w:p>
            <w:pPr>
              <w:spacing w:after="0"/>
              <w:rPr>
                <w:sz w:val="20"/>
                <w:szCs w:val="20"/>
                <w:color w:val="auto"/>
              </w:rPr>
            </w:pPr>
            <w:r>
              <w:rPr>
                <w:rFonts w:ascii="Arial" w:cs="Arial" w:eastAsia="Arial" w:hAnsi="Arial"/>
                <w:sz w:val="17"/>
                <w:szCs w:val="17"/>
                <w:color w:val="auto"/>
              </w:rPr>
              <w:t>Beginning of period assets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9,235</w:t>
            </w:r>
          </w:p>
        </w:tc>
        <w:tc>
          <w:tcPr>
            <w:tcW w:w="100" w:type="dxa"/>
            <w:vAlign w:val="bottom"/>
          </w:tcPr>
          <w:p>
            <w:pPr>
              <w:spacing w:after="0"/>
              <w:rPr>
                <w:sz w:val="20"/>
                <w:szCs w:val="20"/>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13,377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9,327</w:t>
            </w:r>
          </w:p>
        </w:tc>
        <w:tc>
          <w:tcPr>
            <w:tcW w:w="100" w:type="dxa"/>
            <w:vAlign w:val="bottom"/>
          </w:tcPr>
          <w:p>
            <w:pPr>
              <w:spacing w:after="0"/>
              <w:rPr>
                <w:sz w:val="20"/>
                <w:szCs w:val="20"/>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14,421</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7"/>
                <w:szCs w:val="17"/>
                <w:color w:val="auto"/>
              </w:rPr>
              <w:t>Inflows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400" w:type="dxa"/>
            <w:vAlign w:val="bottom"/>
            <w:gridSpan w:val="5"/>
          </w:tcPr>
          <w:p>
            <w:pPr>
              <w:ind w:left="360"/>
              <w:spacing w:after="0"/>
              <w:rPr>
                <w:sz w:val="20"/>
                <w:szCs w:val="20"/>
                <w:color w:val="auto"/>
              </w:rPr>
            </w:pPr>
            <w:r>
              <w:rPr>
                <w:rFonts w:ascii="Arial" w:cs="Arial" w:eastAsia="Arial" w:hAnsi="Arial"/>
                <w:sz w:val="17"/>
                <w:szCs w:val="17"/>
                <w:color w:val="auto"/>
              </w:rPr>
              <w:t>Outflows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(2,593)</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40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7"/>
                <w:szCs w:val="17"/>
                <w:color w:val="auto"/>
              </w:rPr>
              <w:t>Net client flows</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(1,808)</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400" w:type="dxa"/>
            <w:vAlign w:val="bottom"/>
            <w:gridSpan w:val="5"/>
          </w:tcPr>
          <w:p>
            <w:pPr>
              <w:ind w:left="360"/>
              <w:spacing w:after="0"/>
              <w:rPr>
                <w:sz w:val="20"/>
                <w:szCs w:val="20"/>
                <w:color w:val="auto"/>
              </w:rPr>
            </w:pPr>
            <w:r>
              <w:rPr>
                <w:rFonts w:ascii="Arial" w:cs="Arial" w:eastAsia="Arial" w:hAnsi="Arial"/>
                <w:sz w:val="17"/>
                <w:szCs w:val="17"/>
                <w:color w:val="auto"/>
              </w:rPr>
              <w:t>Market appreciation (depreciation)</w:t>
            </w:r>
          </w:p>
        </w:tc>
        <w:tc>
          <w:tcPr>
            <w:tcW w:w="12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1,177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Net change</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(1,964)</w:t>
            </w: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tcPr>
          <w:p>
            <w:pPr>
              <w:spacing w:after="0"/>
              <w:rPr>
                <w:sz w:val="24"/>
                <w:szCs w:val="24"/>
                <w:color w:val="auto"/>
              </w:rPr>
            </w:pPr>
          </w:p>
        </w:tc>
        <w:tc>
          <w:tcPr>
            <w:tcW w:w="6400" w:type="dxa"/>
            <w:vAlign w:val="bottom"/>
            <w:tcBorders>
              <w:bottom w:val="single" w:sz="8" w:color="CCEEFF"/>
            </w:tcBorders>
            <w:gridSpan w:val="5"/>
          </w:tcPr>
          <w:p>
            <w:pPr>
              <w:spacing w:after="0"/>
              <w:rPr>
                <w:sz w:val="20"/>
                <w:szCs w:val="20"/>
                <w:color w:val="auto"/>
              </w:rPr>
            </w:pPr>
            <w:r>
              <w:rPr>
                <w:rFonts w:ascii="Arial" w:cs="Arial" w:eastAsia="Arial" w:hAnsi="Arial"/>
                <w:sz w:val="17"/>
                <w:szCs w:val="17"/>
                <w:color w:val="auto"/>
              </w:rPr>
              <w:t>End of period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8,377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12,457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8,377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12,457</w:t>
            </w: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Wealth Management</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4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Beginning of period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5,566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400" w:type="dxa"/>
            <w:vAlign w:val="bottom"/>
            <w:gridSpan w:val="5"/>
          </w:tcPr>
          <w:p>
            <w:pPr>
              <w:ind w:left="360"/>
              <w:spacing w:after="0"/>
              <w:rPr>
                <w:sz w:val="20"/>
                <w:szCs w:val="20"/>
                <w:color w:val="auto"/>
              </w:rPr>
            </w:pPr>
            <w:r>
              <w:rPr>
                <w:rFonts w:ascii="Arial" w:cs="Arial" w:eastAsia="Arial" w:hAnsi="Arial"/>
                <w:sz w:val="17"/>
                <w:szCs w:val="17"/>
                <w:color w:val="auto"/>
              </w:rPr>
              <w:t>Inflows</w:t>
            </w:r>
          </w:p>
        </w:tc>
        <w:tc>
          <w:tcPr>
            <w:tcW w:w="12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239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400" w:type="dxa"/>
            <w:vAlign w:val="bottom"/>
            <w:gridSpan w:val="5"/>
            <w:shd w:val="clear" w:color="auto" w:fill="CCEEFF"/>
          </w:tcPr>
          <w:p>
            <w:pPr>
              <w:ind w:left="360"/>
              <w:spacing w:after="0" w:line="270" w:lineRule="exact"/>
              <w:rPr>
                <w:sz w:val="20"/>
                <w:szCs w:val="20"/>
                <w:color w:val="auto"/>
              </w:rPr>
            </w:pPr>
            <w:r>
              <w:rPr>
                <w:rFonts w:ascii="Arial" w:cs="Arial" w:eastAsia="Arial" w:hAnsi="Arial"/>
                <w:sz w:val="17"/>
                <w:szCs w:val="17"/>
                <w:color w:val="auto"/>
              </w:rPr>
              <w:t>Outflows</w:t>
            </w:r>
            <w:r>
              <w:rPr>
                <w:rFonts w:ascii="Arial" w:cs="Arial" w:eastAsia="Arial" w:hAnsi="Arial"/>
                <w:sz w:val="28"/>
                <w:szCs w:val="28"/>
                <w:color w:val="auto"/>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0" w:type="dxa"/>
            <w:vAlign w:val="bottom"/>
            <w:gridSpan w:val="5"/>
          </w:tcPr>
          <w:p>
            <w:pPr>
              <w:ind w:left="360"/>
              <w:spacing w:after="0"/>
              <w:rPr>
                <w:sz w:val="20"/>
                <w:szCs w:val="20"/>
                <w:color w:val="auto"/>
              </w:rPr>
            </w:pPr>
            <w:r>
              <w:rPr>
                <w:rFonts w:ascii="Arial" w:cs="Arial" w:eastAsia="Arial" w:hAnsi="Arial"/>
                <w:sz w:val="17"/>
                <w:szCs w:val="17"/>
                <w:color w:val="auto"/>
              </w:rPr>
              <w:t>Net client flows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(633)</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40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7"/>
                <w:szCs w:val="17"/>
                <w:color w:val="auto"/>
              </w:rPr>
              <w:t>Market appreciation (depreciation)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0" w:type="dxa"/>
            <w:vAlign w:val="bottom"/>
            <w:gridSpan w:val="5"/>
          </w:tcPr>
          <w:p>
            <w:pPr>
              <w:spacing w:after="0"/>
              <w:rPr>
                <w:sz w:val="20"/>
                <w:szCs w:val="20"/>
                <w:color w:val="auto"/>
              </w:rPr>
            </w:pPr>
            <w:r>
              <w:rPr>
                <w:rFonts w:ascii="Arial" w:cs="Arial" w:eastAsia="Arial" w:hAnsi="Arial"/>
                <w:sz w:val="17"/>
                <w:szCs w:val="17"/>
                <w:color w:val="auto"/>
              </w:rPr>
              <w:t>Net change</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356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(631)</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End of period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4,399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4,935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4,399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40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Mutual Funds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4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400" w:type="dxa"/>
            <w:vAlign w:val="bottom"/>
            <w:gridSpan w:val="5"/>
          </w:tcPr>
          <w:p>
            <w:pPr>
              <w:spacing w:after="0"/>
              <w:rPr>
                <w:sz w:val="20"/>
                <w:szCs w:val="20"/>
                <w:color w:val="auto"/>
              </w:rPr>
            </w:pPr>
            <w:r>
              <w:rPr>
                <w:rFonts w:ascii="Arial" w:cs="Arial" w:eastAsia="Arial" w:hAnsi="Arial"/>
                <w:sz w:val="17"/>
                <w:szCs w:val="17"/>
                <w:color w:val="auto"/>
              </w:rPr>
              <w:t>Beginning of period assets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3,168</w:t>
            </w:r>
          </w:p>
        </w:tc>
        <w:tc>
          <w:tcPr>
            <w:tcW w:w="100" w:type="dxa"/>
            <w:vAlign w:val="bottom"/>
          </w:tcPr>
          <w:p>
            <w:pPr>
              <w:spacing w:after="0"/>
              <w:rPr>
                <w:sz w:val="20"/>
                <w:szCs w:val="20"/>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4,244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3,236</w:t>
            </w:r>
          </w:p>
        </w:tc>
        <w:tc>
          <w:tcPr>
            <w:tcW w:w="100" w:type="dxa"/>
            <w:vAlign w:val="bottom"/>
          </w:tcPr>
          <w:p>
            <w:pPr>
              <w:spacing w:after="0"/>
              <w:rPr>
                <w:sz w:val="20"/>
                <w:szCs w:val="20"/>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4,242</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7"/>
                <w:szCs w:val="17"/>
                <w:color w:val="auto"/>
              </w:rPr>
              <w:t>Inflows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400" w:type="dxa"/>
            <w:vAlign w:val="bottom"/>
            <w:gridSpan w:val="5"/>
          </w:tcPr>
          <w:p>
            <w:pPr>
              <w:ind w:left="360"/>
              <w:spacing w:after="0"/>
              <w:rPr>
                <w:sz w:val="20"/>
                <w:szCs w:val="20"/>
                <w:color w:val="auto"/>
              </w:rPr>
            </w:pPr>
            <w:r>
              <w:rPr>
                <w:rFonts w:ascii="Arial" w:cs="Arial" w:eastAsia="Arial" w:hAnsi="Arial"/>
                <w:sz w:val="17"/>
                <w:szCs w:val="17"/>
                <w:color w:val="auto"/>
              </w:rPr>
              <w:t>Outflows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(568)</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40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7"/>
                <w:szCs w:val="17"/>
                <w:color w:val="auto"/>
              </w:rPr>
              <w:t>Net client flows</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400" w:type="dxa"/>
            <w:vAlign w:val="bottom"/>
            <w:gridSpan w:val="5"/>
          </w:tcPr>
          <w:p>
            <w:pPr>
              <w:ind w:left="360"/>
              <w:spacing w:after="0"/>
              <w:rPr>
                <w:sz w:val="20"/>
                <w:szCs w:val="20"/>
                <w:color w:val="auto"/>
              </w:rPr>
            </w:pPr>
            <w:r>
              <w:rPr>
                <w:rFonts w:ascii="Arial" w:cs="Arial" w:eastAsia="Arial" w:hAnsi="Arial"/>
                <w:sz w:val="17"/>
                <w:szCs w:val="17"/>
                <w:color w:val="auto"/>
              </w:rPr>
              <w:t>Market appreciation (depreciation)</w:t>
            </w:r>
          </w:p>
        </w:tc>
        <w:tc>
          <w:tcPr>
            <w:tcW w:w="12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399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Net change</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tcPr>
          <w:p>
            <w:pPr>
              <w:spacing w:after="0"/>
              <w:rPr>
                <w:sz w:val="24"/>
                <w:szCs w:val="24"/>
                <w:color w:val="auto"/>
              </w:rPr>
            </w:pPr>
          </w:p>
        </w:tc>
        <w:tc>
          <w:tcPr>
            <w:tcW w:w="6400" w:type="dxa"/>
            <w:vAlign w:val="bottom"/>
            <w:tcBorders>
              <w:bottom w:val="single" w:sz="8" w:color="CCEEFF"/>
            </w:tcBorders>
            <w:gridSpan w:val="5"/>
          </w:tcPr>
          <w:p>
            <w:pPr>
              <w:spacing w:after="0"/>
              <w:rPr>
                <w:sz w:val="20"/>
                <w:szCs w:val="20"/>
                <w:color w:val="auto"/>
              </w:rPr>
            </w:pPr>
            <w:r>
              <w:rPr>
                <w:rFonts w:ascii="Arial" w:cs="Arial" w:eastAsia="Arial" w:hAnsi="Arial"/>
                <w:sz w:val="17"/>
                <w:szCs w:val="17"/>
                <w:color w:val="auto"/>
              </w:rPr>
              <w:t>End of period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2,612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4,199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2,612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4,199</w:t>
            </w: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Total AUM</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Beginning of period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16,771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22,622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16,606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24,229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400" w:type="dxa"/>
            <w:vAlign w:val="bottom"/>
            <w:gridSpan w:val="5"/>
          </w:tcPr>
          <w:p>
            <w:pPr>
              <w:ind w:left="360"/>
              <w:spacing w:after="0"/>
              <w:rPr>
                <w:sz w:val="20"/>
                <w:szCs w:val="20"/>
                <w:color w:val="auto"/>
              </w:rPr>
            </w:pPr>
            <w:r>
              <w:rPr>
                <w:rFonts w:ascii="Arial" w:cs="Arial" w:eastAsia="Arial" w:hAnsi="Arial"/>
                <w:sz w:val="17"/>
                <w:szCs w:val="17"/>
                <w:color w:val="auto"/>
              </w:rPr>
              <w:t>Inflows</w:t>
            </w:r>
          </w:p>
        </w:tc>
        <w:tc>
          <w:tcPr>
            <w:tcW w:w="12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723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869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1,524</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40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7"/>
                <w:szCs w:val="17"/>
                <w:color w:val="auto"/>
              </w:rPr>
              <w:t>Outflows</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(3,981)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0" w:type="dxa"/>
            <w:vAlign w:val="bottom"/>
            <w:gridSpan w:val="5"/>
          </w:tcPr>
          <w:p>
            <w:pPr>
              <w:ind w:left="360"/>
              <w:spacing w:after="0"/>
              <w:rPr>
                <w:sz w:val="20"/>
                <w:szCs w:val="20"/>
                <w:color w:val="auto"/>
              </w:rPr>
            </w:pPr>
            <w:r>
              <w:rPr>
                <w:rFonts w:ascii="Arial" w:cs="Arial" w:eastAsia="Arial" w:hAnsi="Arial"/>
                <w:sz w:val="17"/>
                <w:szCs w:val="17"/>
                <w:color w:val="auto"/>
              </w:rPr>
              <w:t>Net client flows</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(1,925)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(3,250)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(2,457)</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40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7"/>
                <w:szCs w:val="17"/>
                <w:color w:val="auto"/>
              </w:rPr>
              <w:t>Market appreciation (depreciation)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0" w:type="dxa"/>
            <w:vAlign w:val="bottom"/>
            <w:gridSpan w:val="5"/>
          </w:tcPr>
          <w:p>
            <w:pPr>
              <w:spacing w:after="0"/>
              <w:rPr>
                <w:sz w:val="20"/>
                <w:szCs w:val="20"/>
                <w:color w:val="auto"/>
              </w:rPr>
            </w:pPr>
            <w:r>
              <w:rPr>
                <w:rFonts w:ascii="Arial" w:cs="Arial" w:eastAsia="Arial" w:hAnsi="Arial"/>
                <w:sz w:val="17"/>
                <w:szCs w:val="17"/>
                <w:color w:val="auto"/>
              </w:rPr>
              <w:t>Net change</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(1,383)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(1,031)</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(1,218)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(2,638)</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End of period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15,388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21,591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15,388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21,591</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-98425</wp:posOffset>
            </wp:positionV>
            <wp:extent cx="305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 w:lineRule="exact"/>
        <w:rPr>
          <w:sz w:val="20"/>
          <w:szCs w:val="20"/>
          <w:color w:val="auto"/>
        </w:rPr>
      </w:pPr>
    </w:p>
    <w:p>
      <w:pPr>
        <w:ind w:left="660" w:right="520" w:hanging="652"/>
        <w:spacing w:after="0" w:line="26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Wealth Management outflows include approximately $78 million and $531 million of assets related to the sale of the Omaha-based component of our Wealth Management business for the three and six months ended June 30, 2018,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and 2018</w:t>
      </w:r>
    </w:p>
    <w:p>
      <w:pPr>
        <w:spacing w:after="0" w:line="117" w:lineRule="exact"/>
        <w:rPr>
          <w:sz w:val="20"/>
          <w:szCs w:val="20"/>
          <w:color w:val="auto"/>
        </w:rPr>
      </w:pPr>
    </w:p>
    <w:p>
      <w:pPr>
        <w:ind w:right="400" w:firstLine="500"/>
        <w:spacing w:after="0" w:line="342" w:lineRule="auto"/>
        <w:rPr>
          <w:sz w:val="20"/>
          <w:szCs w:val="20"/>
          <w:color w:val="auto"/>
        </w:rPr>
      </w:pPr>
      <w:r>
        <w:rPr>
          <w:rFonts w:ascii="Arial" w:cs="Arial" w:eastAsia="Arial" w:hAnsi="Arial"/>
          <w:sz w:val="16"/>
          <w:szCs w:val="16"/>
          <w:color w:val="auto"/>
        </w:rPr>
        <w:t>The $1.4 billion decrease in assets under management for the three months ended June 30, 2019 was due to net outflows of $1.9 billion, offset by market appreciation of $542 million. Net outflows were primarily related to our Income Opportunity, LargeCap Value and SMidCap strategies.</w:t>
      </w:r>
    </w:p>
    <w:p>
      <w:pPr>
        <w:spacing w:after="0" w:line="70"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The $1.0 billion decrease in assets under management for the three months ended June 30, 2018 was due to market depreciation of $31 million and net outflows of $1.0 billion. Net outflows were primarily related to our SMidCap, LargeCap Value and Income Opportunity strategies and outflows related to the divestiture of our Omaha operations.</w:t>
      </w:r>
    </w:p>
    <w:p>
      <w:pPr>
        <w:sectPr>
          <w:pgSz w:w="11900" w:h="16838" w:orient="portrait"/>
          <w:cols w:equalWidth="0" w:num="1">
            <w:col w:w="11360"/>
          </w:cols>
          <w:pgMar w:left="240" w:top="688" w:right="29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360"/>
          </w:cols>
          <w:pgMar w:left="240" w:top="688" w:right="2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Six months ended June 30, 2019 and 2018</w:t>
      </w:r>
    </w:p>
    <w:p>
      <w:pPr>
        <w:spacing w:after="0" w:line="117" w:lineRule="exact"/>
        <w:rPr>
          <w:sz w:val="20"/>
          <w:szCs w:val="20"/>
          <w:color w:val="auto"/>
        </w:rPr>
      </w:pPr>
    </w:p>
    <w:p>
      <w:pPr>
        <w:ind w:right="60" w:firstLine="500"/>
        <w:spacing w:after="0" w:line="264" w:lineRule="auto"/>
        <w:rPr>
          <w:sz w:val="20"/>
          <w:szCs w:val="20"/>
          <w:color w:val="auto"/>
        </w:rPr>
      </w:pPr>
      <w:r>
        <w:rPr>
          <w:rFonts w:ascii="Arial" w:cs="Arial" w:eastAsia="Arial" w:hAnsi="Arial"/>
          <w:sz w:val="18"/>
          <w:szCs w:val="18"/>
          <w:color w:val="auto"/>
        </w:rPr>
        <w:t>The $1.2 billion decrease in assets under management for the six months ended June 30, 2019 was due to net outflows of $3.3 billion, offset by market appreciation of $2.0 billion. Net outflows were primarily related to our Income Opportunity, Emerging Markets, LargeCap Value and SMidCap strategies, partially offset by net inflows to our SmallCap Value strategy.</w:t>
      </w:r>
    </w:p>
    <w:p>
      <w:pPr>
        <w:spacing w:after="0" w:line="181" w:lineRule="exact"/>
        <w:rPr>
          <w:sz w:val="20"/>
          <w:szCs w:val="20"/>
          <w:color w:val="auto"/>
        </w:rPr>
      </w:pPr>
    </w:p>
    <w:p>
      <w:pPr>
        <w:ind w:right="2880"/>
        <w:spacing w:after="0" w:line="259" w:lineRule="auto"/>
        <w:rPr>
          <w:sz w:val="20"/>
          <w:szCs w:val="20"/>
          <w:color w:val="auto"/>
        </w:rPr>
      </w:pPr>
      <w:r>
        <w:rPr>
          <w:rFonts w:ascii="Arial" w:cs="Arial" w:eastAsia="Arial" w:hAnsi="Arial"/>
          <w:sz w:val="18"/>
          <w:szCs w:val="18"/>
          <w:color w:val="auto"/>
        </w:rPr>
        <w:t>The $2.6 billion decrease in assets under management for the six months ended June 30, 2018 was due to net outflows of $2.5 billion and market depreciation of $181 million. Net outflows were primarily related to our Emerging Markets, SMidCap and LargeCap Value strategies and outflows related to the divestiture of our Omaha operations, partially offset by net inflows to our SmallCap Value strategy.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5" w:lineRule="exact"/>
        <w:rPr>
          <w:sz w:val="20"/>
          <w:szCs w:val="20"/>
          <w:color w:val="auto"/>
        </w:rPr>
      </w:pPr>
    </w:p>
    <w:p>
      <w:pPr>
        <w:ind w:right="220" w:firstLine="500"/>
        <w:spacing w:after="0" w:line="264" w:lineRule="auto"/>
        <w:rPr>
          <w:sz w:val="20"/>
          <w:szCs w:val="20"/>
          <w:color w:val="auto"/>
        </w:rPr>
      </w:pPr>
      <w:r>
        <w:rPr>
          <w:rFonts w:ascii="Arial" w:cs="Arial" w:eastAsia="Arial" w:hAnsi="Arial"/>
          <w:sz w:val="18"/>
          <w:szCs w:val="18"/>
          <w:color w:val="auto"/>
        </w:rPr>
        <w:t>The following table (dollars in thousands) and discussion of our results of operations are based upon data derived from the condensed consolidated statements of comprehensive income contained in our condensed consolidated financial statements and should be read in conjunction with those statements included elsewhere in this report.</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5"/>
          </w:tcPr>
          <w:p>
            <w:pPr>
              <w:ind w:left="180"/>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9"/>
                <w:szCs w:val="19"/>
                <w:color w:val="auto"/>
              </w:rPr>
            </w:pPr>
          </w:p>
        </w:tc>
        <w:tc>
          <w:tcPr>
            <w:tcW w:w="1900" w:type="dxa"/>
            <w:vAlign w:val="bottom"/>
            <w:gridSpan w:val="4"/>
          </w:tcPr>
          <w:p>
            <w:pPr>
              <w:jc w:val="right"/>
              <w:ind w:right="379"/>
              <w:spacing w:after="0"/>
              <w:rPr>
                <w:sz w:val="20"/>
                <w:szCs w:val="20"/>
                <w:color w:val="auto"/>
              </w:rPr>
            </w:pPr>
            <w:r>
              <w:rPr>
                <w:rFonts w:ascii="Arial" w:cs="Arial" w:eastAsia="Arial" w:hAnsi="Arial"/>
                <w:sz w:val="15"/>
                <w:szCs w:val="15"/>
                <w:b w:val="1"/>
                <w:bCs w:val="1"/>
                <w:color w:val="auto"/>
              </w:rPr>
              <w:t>Six Months Ended</w:t>
            </w:r>
          </w:p>
        </w:tc>
        <w:tc>
          <w:tcPr>
            <w:tcW w:w="100" w:type="dxa"/>
            <w:vAlign w:val="bottom"/>
          </w:tcPr>
          <w:p>
            <w:pPr>
              <w:spacing w:after="0"/>
              <w:rPr>
                <w:sz w:val="19"/>
                <w:szCs w:val="19"/>
                <w:color w:val="auto"/>
              </w:rPr>
            </w:pPr>
          </w:p>
        </w:tc>
        <w:tc>
          <w:tcPr>
            <w:tcW w:w="1700" w:type="dxa"/>
            <w:vAlign w:val="bottom"/>
            <w:tcBorders>
              <w:bottom w:val="single" w:sz="8" w:color="auto"/>
            </w:tcBorders>
            <w:gridSpan w:val="3"/>
          </w:tcPr>
          <w:p>
            <w:pPr>
              <w:ind w:left="980"/>
              <w:spacing w:after="0"/>
              <w:rPr>
                <w:sz w:val="20"/>
                <w:szCs w:val="20"/>
                <w:color w:val="auto"/>
              </w:rPr>
            </w:pPr>
            <w:r>
              <w:rPr>
                <w:rFonts w:ascii="Arial" w:cs="Arial" w:eastAsia="Arial" w:hAnsi="Arial"/>
                <w:sz w:val="15"/>
                <w:szCs w:val="15"/>
                <w:b w:val="1"/>
                <w:bCs w:val="1"/>
                <w:color w:val="auto"/>
                <w:w w:val="96"/>
              </w:rPr>
              <w:t>% Change</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vMerge w:val="restart"/>
          </w:tcPr>
          <w:p>
            <w:pPr>
              <w:jc w:val="right"/>
              <w:ind w:right="19"/>
              <w:spacing w:after="0"/>
              <w:rPr>
                <w:sz w:val="20"/>
                <w:szCs w:val="20"/>
                <w:color w:val="auto"/>
              </w:rPr>
            </w:pPr>
            <w:r>
              <w:rPr>
                <w:rFonts w:ascii="Arial" w:cs="Arial" w:eastAsia="Arial" w:hAnsi="Arial"/>
                <w:sz w:val="15"/>
                <w:szCs w:val="15"/>
                <w:b w:val="1"/>
                <w:bCs w:val="1"/>
                <w:color w:val="auto"/>
              </w:rPr>
              <w:t>June 30,</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June 30,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ind w:left="460"/>
              <w:spacing w:after="0"/>
              <w:rPr>
                <w:sz w:val="20"/>
                <w:szCs w:val="20"/>
                <w:color w:val="auto"/>
              </w:rPr>
            </w:pPr>
            <w:r>
              <w:rPr>
                <w:rFonts w:ascii="Arial" w:cs="Arial" w:eastAsia="Arial" w:hAnsi="Arial"/>
                <w:sz w:val="15"/>
                <w:szCs w:val="15"/>
                <w:color w:val="auto"/>
              </w:rPr>
              <w:t>Three</w:t>
            </w:r>
          </w:p>
        </w:tc>
        <w:tc>
          <w:tcPr>
            <w:tcW w:w="900" w:type="dxa"/>
            <w:vAlign w:val="bottom"/>
          </w:tcPr>
          <w:p>
            <w:pPr>
              <w:jc w:val="center"/>
              <w:ind w:right="263"/>
              <w:spacing w:after="0"/>
              <w:rPr>
                <w:sz w:val="20"/>
                <w:szCs w:val="20"/>
                <w:color w:val="auto"/>
              </w:rPr>
            </w:pPr>
            <w:r>
              <w:rPr>
                <w:rFonts w:ascii="Arial" w:cs="Arial" w:eastAsia="Arial" w:hAnsi="Arial"/>
                <w:sz w:val="15"/>
                <w:szCs w:val="15"/>
                <w:color w:val="auto"/>
                <w:w w:val="95"/>
              </w:rPr>
              <w:t>Six</w:t>
            </w:r>
          </w:p>
        </w:tc>
        <w:tc>
          <w:tcPr>
            <w:tcW w:w="0" w:type="dxa"/>
            <w:vAlign w:val="bottom"/>
          </w:tcPr>
          <w:p>
            <w:pPr>
              <w:spacing w:after="0"/>
              <w:rPr>
                <w:sz w:val="1"/>
                <w:szCs w:val="1"/>
                <w:color w:val="auto"/>
              </w:rPr>
            </w:pPr>
          </w:p>
        </w:tc>
      </w:tr>
      <w:tr>
        <w:trPr>
          <w:trHeight w:val="56"/>
        </w:trPr>
        <w:tc>
          <w:tcPr>
            <w:tcW w:w="42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3"/>
            <w:vMerge w:val="continue"/>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3"/>
            <w:vMerge w:val="continue"/>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4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20"/>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59"/>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60"/>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259"/>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23"/>
                <w:szCs w:val="23"/>
                <w:color w:val="auto"/>
              </w:rPr>
            </w:pPr>
          </w:p>
        </w:tc>
        <w:tc>
          <w:tcPr>
            <w:tcW w:w="1700" w:type="dxa"/>
            <w:vAlign w:val="bottom"/>
            <w:gridSpan w:val="3"/>
          </w:tcPr>
          <w:p>
            <w:pPr>
              <w:ind w:left="400"/>
              <w:spacing w:after="0"/>
              <w:rPr>
                <w:sz w:val="20"/>
                <w:szCs w:val="20"/>
                <w:color w:val="auto"/>
              </w:rPr>
            </w:pPr>
            <w:r>
              <w:rPr>
                <w:rFonts w:ascii="Arial" w:cs="Arial" w:eastAsia="Arial" w:hAnsi="Arial"/>
                <w:sz w:val="15"/>
                <w:szCs w:val="15"/>
                <w:color w:val="auto"/>
              </w:rPr>
              <w:t>Months</w:t>
            </w:r>
          </w:p>
        </w:tc>
        <w:tc>
          <w:tcPr>
            <w:tcW w:w="900" w:type="dxa"/>
            <w:vAlign w:val="bottom"/>
          </w:tcPr>
          <w:p>
            <w:pPr>
              <w:jc w:val="center"/>
              <w:ind w:right="243"/>
              <w:spacing w:after="0"/>
              <w:rPr>
                <w:sz w:val="20"/>
                <w:szCs w:val="20"/>
                <w:color w:val="auto"/>
              </w:rPr>
            </w:pPr>
            <w:r>
              <w:rPr>
                <w:rFonts w:ascii="Arial" w:cs="Arial" w:eastAsia="Arial" w:hAnsi="Arial"/>
                <w:sz w:val="15"/>
                <w:szCs w:val="15"/>
                <w:color w:val="auto"/>
                <w:w w:val="93"/>
              </w:rPr>
              <w:t>Months</w:t>
            </w:r>
          </w:p>
        </w:tc>
        <w:tc>
          <w:tcPr>
            <w:tcW w:w="0" w:type="dxa"/>
            <w:vAlign w:val="bottom"/>
          </w:tcPr>
          <w:p>
            <w:pPr>
              <w:spacing w:after="0"/>
              <w:rPr>
                <w:sz w:val="1"/>
                <w:szCs w:val="1"/>
                <w:color w:val="auto"/>
              </w:rPr>
            </w:pPr>
          </w:p>
        </w:tc>
      </w:tr>
      <w:tr>
        <w:trPr>
          <w:trHeight w:val="208"/>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2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4240" w:type="dxa"/>
            <w:vAlign w:val="bottom"/>
          </w:tcPr>
          <w:p>
            <w:pPr>
              <w:ind w:left="280"/>
              <w:spacing w:after="0"/>
              <w:rPr>
                <w:sz w:val="20"/>
                <w:szCs w:val="20"/>
                <w:color w:val="auto"/>
              </w:rPr>
            </w:pPr>
            <w:r>
              <w:rPr>
                <w:rFonts w:ascii="Arial" w:cs="Arial" w:eastAsia="Arial" w:hAnsi="Arial"/>
                <w:sz w:val="16"/>
                <w:szCs w:val="16"/>
                <w:color w:val="auto"/>
              </w:rPr>
              <w:t>Advisory fees: asset-based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14,695</w:t>
            </w:r>
          </w:p>
        </w:tc>
        <w:tc>
          <w:tcPr>
            <w:tcW w:w="10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23,473</w:t>
            </w:r>
          </w:p>
        </w:tc>
        <w:tc>
          <w:tcPr>
            <w:tcW w:w="10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31,101</w:t>
            </w:r>
          </w:p>
        </w:tc>
        <w:tc>
          <w:tcPr>
            <w:tcW w:w="10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47,956</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(37)%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Advisory fees: performance-based</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2,984</w:t>
            </w:r>
          </w:p>
        </w:tc>
        <w:tc>
          <w:tcPr>
            <w:tcW w:w="134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color w:val="auto"/>
              </w:rPr>
              <w:t>(93)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266"/>
        </w:trPr>
        <w:tc>
          <w:tcPr>
            <w:tcW w:w="4240" w:type="dxa"/>
            <w:vAlign w:val="bottom"/>
          </w:tcPr>
          <w:p>
            <w:pPr>
              <w:ind w:left="280"/>
              <w:spacing w:after="0"/>
              <w:rPr>
                <w:sz w:val="20"/>
                <w:szCs w:val="20"/>
                <w:color w:val="auto"/>
              </w:rPr>
            </w:pPr>
            <w:r>
              <w:rPr>
                <w:rFonts w:ascii="Arial" w:cs="Arial" w:eastAsia="Arial" w:hAnsi="Arial"/>
                <w:sz w:val="16"/>
                <w:szCs w:val="16"/>
                <w:color w:val="auto"/>
              </w:rPr>
              <w:t>Trust fees</w:t>
            </w:r>
          </w:p>
        </w:tc>
        <w:tc>
          <w:tcPr>
            <w:tcW w:w="26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6,444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7,465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12,983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15,074</w:t>
            </w:r>
          </w:p>
        </w:tc>
        <w:tc>
          <w:tcPr>
            <w:tcW w:w="1340" w:type="dxa"/>
            <w:vAlign w:val="bottom"/>
            <w:gridSpan w:val="2"/>
          </w:tcPr>
          <w:p>
            <w:pPr>
              <w:jc w:val="right"/>
              <w:ind w:right="83"/>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83"/>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revenues</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1,187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CEEFF"/>
          </w:tcPr>
          <w:p>
            <w:pPr>
              <w:spacing w:after="0"/>
              <w:rPr>
                <w:sz w:val="23"/>
                <w:szCs w:val="23"/>
                <w:color w:val="auto"/>
              </w:rPr>
            </w:pPr>
          </w:p>
        </w:tc>
        <w:tc>
          <w:tcPr>
            <w:tcW w:w="1700" w:type="dxa"/>
            <w:vAlign w:val="bottom"/>
            <w:gridSpan w:val="3"/>
            <w:shd w:val="clear" w:color="auto" w:fill="CCEEFF"/>
          </w:tcPr>
          <w:p>
            <w:pPr>
              <w:ind w:left="780"/>
              <w:spacing w:after="0"/>
              <w:rPr>
                <w:sz w:val="20"/>
                <w:szCs w:val="20"/>
                <w:color w:val="auto"/>
              </w:rPr>
            </w:pPr>
            <w:r>
              <w:rPr>
                <w:rFonts w:ascii="Arial" w:cs="Arial" w:eastAsia="Arial" w:hAnsi="Arial"/>
                <w:sz w:val="15"/>
                <w:szCs w:val="15"/>
                <w:color w:val="auto"/>
              </w:rPr>
              <w:t>NM</w:t>
            </w:r>
          </w:p>
        </w:tc>
        <w:tc>
          <w:tcPr>
            <w:tcW w:w="900" w:type="dxa"/>
            <w:vAlign w:val="bottom"/>
            <w:shd w:val="clear" w:color="auto" w:fill="CCEEFF"/>
          </w:tcPr>
          <w:p>
            <w:pPr>
              <w:jc w:val="center"/>
              <w:ind w:right="263"/>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46"/>
        </w:trPr>
        <w:tc>
          <w:tcPr>
            <w:tcW w:w="424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26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21,709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32,760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45,571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66,327</w:t>
            </w:r>
          </w:p>
        </w:tc>
        <w:tc>
          <w:tcPr>
            <w:tcW w:w="1340" w:type="dxa"/>
            <w:vAlign w:val="bottom"/>
            <w:gridSpan w:val="2"/>
          </w:tcPr>
          <w:p>
            <w:pPr>
              <w:jc w:val="right"/>
              <w:ind w:right="83"/>
              <w:spacing w:after="0"/>
              <w:rPr>
                <w:sz w:val="20"/>
                <w:szCs w:val="20"/>
                <w:color w:val="auto"/>
              </w:rPr>
            </w:pPr>
            <w:r>
              <w:rPr>
                <w:rFonts w:ascii="Arial" w:cs="Arial" w:eastAsia="Arial" w:hAnsi="Arial"/>
                <w:sz w:val="15"/>
                <w:szCs w:val="15"/>
                <w:color w:val="auto"/>
              </w:rPr>
              <w:t>(34)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83"/>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5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4240" w:type="dxa"/>
            <w:vAlign w:val="bottom"/>
          </w:tcPr>
          <w:p>
            <w:pPr>
              <w:ind w:left="280"/>
              <w:spacing w:after="0"/>
              <w:rPr>
                <w:sz w:val="20"/>
                <w:szCs w:val="20"/>
                <w:color w:val="auto"/>
              </w:rPr>
            </w:pPr>
            <w:r>
              <w:rPr>
                <w:rFonts w:ascii="Arial" w:cs="Arial" w:eastAsia="Arial" w:hAnsi="Arial"/>
                <w:sz w:val="16"/>
                <w:szCs w:val="16"/>
                <w:color w:val="auto"/>
              </w:rPr>
              <w:t>Employee compensation and benefits</w:t>
            </w:r>
          </w:p>
        </w:tc>
        <w:tc>
          <w:tcPr>
            <w:tcW w:w="26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11,378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14,654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25,988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32,413</w:t>
            </w:r>
          </w:p>
        </w:tc>
        <w:tc>
          <w:tcPr>
            <w:tcW w:w="1340" w:type="dxa"/>
            <w:vAlign w:val="bottom"/>
            <w:gridSpan w:val="2"/>
          </w:tcPr>
          <w:p>
            <w:pPr>
              <w:jc w:val="right"/>
              <w:ind w:right="83"/>
              <w:spacing w:after="0"/>
              <w:rPr>
                <w:sz w:val="20"/>
                <w:szCs w:val="20"/>
                <w:color w:val="auto"/>
              </w:rPr>
            </w:pPr>
            <w:r>
              <w:rPr>
                <w:rFonts w:ascii="Arial" w:cs="Arial" w:eastAsia="Arial" w:hAnsi="Arial"/>
                <w:sz w:val="15"/>
                <w:szCs w:val="15"/>
                <w:color w:val="auto"/>
              </w:rPr>
              <w:t>(22)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83"/>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Sales and marketing</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1,044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852</w:t>
            </w:r>
          </w:p>
        </w:tc>
        <w:tc>
          <w:tcPr>
            <w:tcW w:w="1340" w:type="dxa"/>
            <w:vAlign w:val="bottom"/>
            <w:gridSpan w:val="2"/>
            <w:shd w:val="clear" w:color="auto" w:fill="CCEEFF"/>
          </w:tcPr>
          <w:p>
            <w:pPr>
              <w:jc w:val="right"/>
              <w:ind w:right="123"/>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66"/>
        </w:trPr>
        <w:tc>
          <w:tcPr>
            <w:tcW w:w="4240" w:type="dxa"/>
            <w:vAlign w:val="bottom"/>
          </w:tcPr>
          <w:p>
            <w:pPr>
              <w:ind w:left="280"/>
              <w:spacing w:after="0"/>
              <w:rPr>
                <w:sz w:val="20"/>
                <w:szCs w:val="20"/>
                <w:color w:val="auto"/>
              </w:rPr>
            </w:pPr>
            <w:r>
              <w:rPr>
                <w:rFonts w:ascii="Arial" w:cs="Arial" w:eastAsia="Arial" w:hAnsi="Arial"/>
                <w:sz w:val="16"/>
                <w:szCs w:val="16"/>
                <w:color w:val="auto"/>
              </w:rPr>
              <w:t>Westwood mutual funds</w:t>
            </w:r>
          </w:p>
        </w:tc>
        <w:tc>
          <w:tcPr>
            <w:tcW w:w="26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1,507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1,987</w:t>
            </w:r>
          </w:p>
        </w:tc>
        <w:tc>
          <w:tcPr>
            <w:tcW w:w="1340" w:type="dxa"/>
            <w:vAlign w:val="bottom"/>
            <w:gridSpan w:val="2"/>
          </w:tcPr>
          <w:p>
            <w:pPr>
              <w:jc w:val="right"/>
              <w:ind w:right="83"/>
              <w:spacing w:after="0"/>
              <w:rPr>
                <w:sz w:val="20"/>
                <w:szCs w:val="20"/>
                <w:color w:val="auto"/>
              </w:rPr>
            </w:pPr>
            <w:r>
              <w:rPr>
                <w:rFonts w:ascii="Arial" w:cs="Arial" w:eastAsia="Arial" w:hAnsi="Arial"/>
                <w:sz w:val="15"/>
                <w:szCs w:val="15"/>
                <w:color w:val="auto"/>
              </w:rPr>
              <w:t>(34)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83"/>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Information technology</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2,282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4,259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4,421</w:t>
            </w:r>
          </w:p>
        </w:tc>
        <w:tc>
          <w:tcPr>
            <w:tcW w:w="134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color w:val="auto"/>
              </w:rPr>
              <w:t>(4)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66"/>
        </w:trPr>
        <w:tc>
          <w:tcPr>
            <w:tcW w:w="4240" w:type="dxa"/>
            <w:vAlign w:val="bottom"/>
          </w:tcPr>
          <w:p>
            <w:pPr>
              <w:ind w:left="280"/>
              <w:spacing w:after="0"/>
              <w:rPr>
                <w:sz w:val="20"/>
                <w:szCs w:val="20"/>
                <w:color w:val="auto"/>
              </w:rPr>
            </w:pPr>
            <w:r>
              <w:rPr>
                <w:rFonts w:ascii="Arial" w:cs="Arial" w:eastAsia="Arial" w:hAnsi="Arial"/>
                <w:sz w:val="16"/>
                <w:szCs w:val="16"/>
                <w:color w:val="auto"/>
              </w:rPr>
              <w:t>Professional services</w:t>
            </w:r>
          </w:p>
        </w:tc>
        <w:tc>
          <w:tcPr>
            <w:tcW w:w="26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1,169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1,277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2,318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2,305</w:t>
            </w:r>
          </w:p>
        </w:tc>
        <w:tc>
          <w:tcPr>
            <w:tcW w:w="1340" w:type="dxa"/>
            <w:vAlign w:val="bottom"/>
            <w:gridSpan w:val="2"/>
          </w:tcPr>
          <w:p>
            <w:pPr>
              <w:jc w:val="right"/>
              <w:ind w:right="83"/>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43"/>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2,402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2,454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4,836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4,869</w:t>
            </w:r>
          </w:p>
        </w:tc>
        <w:tc>
          <w:tcPr>
            <w:tcW w:w="134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66"/>
        </w:trPr>
        <w:tc>
          <w:tcPr>
            <w:tcW w:w="42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(Gain) loss on foreign currency transactions</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1,544</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w:t>
            </w:r>
          </w:p>
        </w:tc>
        <w:tc>
          <w:tcPr>
            <w:tcW w:w="100" w:type="dxa"/>
            <w:vAlign w:val="bottom"/>
            <w:tcBorders>
              <w:bottom w:val="single" w:sz="8" w:color="CCEEFF"/>
            </w:tcBorders>
          </w:tcPr>
          <w:p>
            <w:pPr>
              <w:spacing w:after="0"/>
              <w:rPr>
                <w:sz w:val="23"/>
                <w:szCs w:val="23"/>
                <w:color w:val="auto"/>
              </w:rPr>
            </w:pPr>
          </w:p>
        </w:tc>
        <w:tc>
          <w:tcPr>
            <w:tcW w:w="1700" w:type="dxa"/>
            <w:vAlign w:val="bottom"/>
            <w:tcBorders>
              <w:bottom w:val="single" w:sz="8" w:color="CCEEFF"/>
            </w:tcBorders>
            <w:gridSpan w:val="3"/>
          </w:tcPr>
          <w:p>
            <w:pPr>
              <w:ind w:left="780"/>
              <w:spacing w:after="0"/>
              <w:rPr>
                <w:sz w:val="20"/>
                <w:szCs w:val="20"/>
                <w:color w:val="auto"/>
              </w:rPr>
            </w:pPr>
            <w:r>
              <w:rPr>
                <w:rFonts w:ascii="Arial" w:cs="Arial" w:eastAsia="Arial" w:hAnsi="Arial"/>
                <w:sz w:val="15"/>
                <w:szCs w:val="15"/>
                <w:color w:val="auto"/>
              </w:rPr>
              <w:t>NM</w:t>
            </w:r>
          </w:p>
        </w:tc>
        <w:tc>
          <w:tcPr>
            <w:tcW w:w="9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42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expenses</w:t>
            </w: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19,130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21,824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41,496</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45,428</w:t>
            </w:r>
          </w:p>
        </w:tc>
        <w:tc>
          <w:tcPr>
            <w:tcW w:w="134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6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operating income</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2,579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10,936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4,075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20,899</w:t>
            </w:r>
          </w:p>
        </w:tc>
        <w:tc>
          <w:tcPr>
            <w:tcW w:w="1340" w:type="dxa"/>
            <w:vAlign w:val="bottom"/>
            <w:tcBorders>
              <w:bottom w:val="single" w:sz="8" w:color="CCEEFF"/>
            </w:tcBorders>
            <w:gridSpan w:val="2"/>
          </w:tcPr>
          <w:p>
            <w:pPr>
              <w:jc w:val="right"/>
              <w:ind w:right="83"/>
              <w:spacing w:after="0"/>
              <w:rPr>
                <w:sz w:val="20"/>
                <w:szCs w:val="20"/>
                <w:color w:val="auto"/>
              </w:rPr>
            </w:pPr>
            <w:r>
              <w:rPr>
                <w:rFonts w:ascii="Arial" w:cs="Arial" w:eastAsia="Arial" w:hAnsi="Arial"/>
                <w:sz w:val="15"/>
                <w:szCs w:val="15"/>
                <w:color w:val="auto"/>
              </w:rPr>
              <w:t>(76)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ind w:right="83"/>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254"/>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sale of operations</w:t>
            </w:r>
          </w:p>
        </w:tc>
        <w:tc>
          <w:tcPr>
            <w:tcW w:w="2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22"/>
                <w:szCs w:val="22"/>
                <w:color w:val="auto"/>
              </w:rPr>
            </w:pPr>
          </w:p>
        </w:tc>
        <w:tc>
          <w:tcPr>
            <w:tcW w:w="1700" w:type="dxa"/>
            <w:vAlign w:val="bottom"/>
            <w:gridSpan w:val="3"/>
            <w:shd w:val="clear" w:color="auto" w:fill="CCEEFF"/>
          </w:tcPr>
          <w:p>
            <w:pPr>
              <w:ind w:left="780"/>
              <w:spacing w:after="0"/>
              <w:rPr>
                <w:sz w:val="20"/>
                <w:szCs w:val="20"/>
                <w:color w:val="auto"/>
              </w:rPr>
            </w:pPr>
            <w:r>
              <w:rPr>
                <w:rFonts w:ascii="Arial" w:cs="Arial" w:eastAsia="Arial" w:hAnsi="Arial"/>
                <w:sz w:val="15"/>
                <w:szCs w:val="15"/>
                <w:color w:val="auto"/>
              </w:rPr>
              <w:t>NM</w:t>
            </w:r>
          </w:p>
        </w:tc>
        <w:tc>
          <w:tcPr>
            <w:tcW w:w="900" w:type="dxa"/>
            <w:vAlign w:val="bottom"/>
            <w:shd w:val="clear" w:color="auto" w:fill="CCEEFF"/>
          </w:tcPr>
          <w:p>
            <w:pPr>
              <w:jc w:val="center"/>
              <w:ind w:right="263"/>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66"/>
        </w:trPr>
        <w:tc>
          <w:tcPr>
            <w:tcW w:w="4240" w:type="dxa"/>
            <w:vAlign w:val="bottom"/>
          </w:tcPr>
          <w:p>
            <w:pPr>
              <w:ind w:left="280"/>
              <w:spacing w:after="0"/>
              <w:rPr>
                <w:sz w:val="20"/>
                <w:szCs w:val="20"/>
                <w:color w:val="auto"/>
              </w:rPr>
            </w:pPr>
            <w:r>
              <w:rPr>
                <w:rFonts w:ascii="Arial" w:cs="Arial" w:eastAsia="Arial" w:hAnsi="Arial"/>
                <w:sz w:val="16"/>
                <w:szCs w:val="16"/>
                <w:color w:val="auto"/>
              </w:rPr>
              <w:t>Other income</w:t>
            </w:r>
          </w:p>
        </w:tc>
        <w:tc>
          <w:tcPr>
            <w:tcW w:w="26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700" w:type="dxa"/>
            <w:vAlign w:val="bottom"/>
            <w:gridSpan w:val="3"/>
          </w:tcPr>
          <w:p>
            <w:pPr>
              <w:ind w:left="780"/>
              <w:spacing w:after="0"/>
              <w:rPr>
                <w:sz w:val="20"/>
                <w:szCs w:val="20"/>
                <w:color w:val="auto"/>
              </w:rPr>
            </w:pPr>
            <w:r>
              <w:rPr>
                <w:rFonts w:ascii="Arial" w:cs="Arial" w:eastAsia="Arial" w:hAnsi="Arial"/>
                <w:sz w:val="15"/>
                <w:szCs w:val="15"/>
                <w:color w:val="auto"/>
              </w:rPr>
              <w:t>NM</w:t>
            </w:r>
          </w:p>
        </w:tc>
        <w:tc>
          <w:tcPr>
            <w:tcW w:w="900" w:type="dxa"/>
            <w:vAlign w:val="bottom"/>
          </w:tcPr>
          <w:p>
            <w:pPr>
              <w:jc w:val="center"/>
              <w:ind w:right="263"/>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54"/>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2,656</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10,936</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4,152</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21,423</w:t>
            </w:r>
          </w:p>
        </w:tc>
        <w:tc>
          <w:tcPr>
            <w:tcW w:w="1340" w:type="dxa"/>
            <w:vAlign w:val="bottom"/>
            <w:tcBorders>
              <w:top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5"/>
                <w:szCs w:val="15"/>
                <w:color w:val="auto"/>
              </w:rPr>
              <w:t>(76)</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246"/>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2,944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1,899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5,453</w:t>
            </w:r>
          </w:p>
        </w:tc>
        <w:tc>
          <w:tcPr>
            <w:tcW w:w="1340" w:type="dxa"/>
            <w:vAlign w:val="bottom"/>
            <w:tcBorders>
              <w:bottom w:val="single" w:sz="8" w:color="CCEEFF"/>
            </w:tcBorders>
            <w:gridSpan w:val="2"/>
          </w:tcPr>
          <w:p>
            <w:pPr>
              <w:jc w:val="right"/>
              <w:ind w:right="83"/>
              <w:spacing w:after="0"/>
              <w:rPr>
                <w:sz w:val="20"/>
                <w:szCs w:val="20"/>
                <w:color w:val="auto"/>
              </w:rPr>
            </w:pPr>
            <w:r>
              <w:rPr>
                <w:rFonts w:ascii="Arial" w:cs="Arial" w:eastAsia="Arial" w:hAnsi="Arial"/>
                <w:sz w:val="15"/>
                <w:szCs w:val="15"/>
                <w:color w:val="auto"/>
              </w:rPr>
              <w:t>(73)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jc w:val="right"/>
              <w:ind w:right="83"/>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25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15,970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4"/>
                <w:szCs w:val="14"/>
                <w:color w:val="auto"/>
              </w:rPr>
              <w:t>_________________________</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2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240" w:type="dxa"/>
            <w:vAlign w:val="bottom"/>
          </w:tcPr>
          <w:p>
            <w:pPr>
              <w:ind w:left="180"/>
              <w:spacing w:after="0"/>
              <w:rPr>
                <w:sz w:val="20"/>
                <w:szCs w:val="20"/>
                <w:color w:val="auto"/>
              </w:rPr>
            </w:pPr>
            <w:r>
              <w:rPr>
                <w:rFonts w:ascii="Arial" w:cs="Arial" w:eastAsia="Arial" w:hAnsi="Arial"/>
                <w:sz w:val="14"/>
                <w:szCs w:val="14"/>
                <w:color w:val="auto"/>
              </w:rPr>
              <w:t>NM  Not meaningful</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117" w:lineRule="exact"/>
        <w:rPr>
          <w:sz w:val="20"/>
          <w:szCs w:val="20"/>
          <w:color w:val="auto"/>
        </w:rPr>
      </w:pPr>
    </w:p>
    <w:p>
      <w:pPr>
        <w:ind w:right="140" w:firstLine="500"/>
        <w:spacing w:after="0" w:line="259" w:lineRule="auto"/>
        <w:rPr>
          <w:sz w:val="20"/>
          <w:szCs w:val="20"/>
          <w:color w:val="auto"/>
        </w:rPr>
      </w:pPr>
      <w:r>
        <w:rPr>
          <w:rFonts w:ascii="Arial" w:cs="Arial" w:eastAsia="Arial" w:hAnsi="Arial"/>
          <w:sz w:val="18"/>
          <w:szCs w:val="18"/>
          <w:i w:val="1"/>
          <w:iCs w:val="1"/>
          <w:color w:val="auto"/>
        </w:rPr>
        <w:t>Total Revenues</w:t>
      </w:r>
      <w:r>
        <w:rPr>
          <w:rFonts w:ascii="Arial" w:cs="Arial" w:eastAsia="Arial" w:hAnsi="Arial"/>
          <w:sz w:val="18"/>
          <w:szCs w:val="18"/>
          <w:color w:val="auto"/>
        </w:rPr>
        <w:t>. Total revenues decreased $11.1 million, or 34%, to $21.7 million for the three months ended June 30, 2019 compared with $32.8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2018. Asset-based advisory fees decreased $8.8 million, or 37%, and Trust fees decreased $1.1 million, or 14%, both primarily due to lower average assets under management. Performance-based fees decreased $1.5 million to $0.1 million for the three months ended June 30, 2019 compared with $1.6 million for the three months ended June 30, 2018.</w:t>
      </w:r>
    </w:p>
    <w:p>
      <w:pPr>
        <w:spacing w:after="0" w:line="133" w:lineRule="exact"/>
        <w:rPr>
          <w:sz w:val="20"/>
          <w:szCs w:val="20"/>
          <w:color w:val="auto"/>
        </w:rPr>
      </w:pPr>
    </w:p>
    <w:p>
      <w:pPr>
        <w:ind w:right="80" w:firstLine="486"/>
        <w:spacing w:after="0" w:line="312" w:lineRule="auto"/>
        <w:rPr>
          <w:sz w:val="20"/>
          <w:szCs w:val="20"/>
          <w:color w:val="auto"/>
        </w:rPr>
      </w:pPr>
      <w:r>
        <w:rPr>
          <w:rFonts w:ascii="Arial" w:cs="Arial" w:eastAsia="Arial" w:hAnsi="Arial"/>
          <w:sz w:val="16"/>
          <w:szCs w:val="16"/>
          <w:i w:val="1"/>
          <w:iCs w:val="1"/>
          <w:color w:val="auto"/>
        </w:rPr>
        <w:t xml:space="preserve">Employee Compensation and Benefits. </w:t>
      </w:r>
      <w:r>
        <w:rPr>
          <w:rFonts w:ascii="Arial" w:cs="Arial" w:eastAsia="Arial" w:hAnsi="Arial"/>
          <w:sz w:val="16"/>
          <w:szCs w:val="16"/>
          <w:color w:val="auto"/>
        </w:rPr>
        <w:t>Employee compensation and benefits decreased $3.3 million, or 22%, to $11.4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2019 compared with $14.7 million for the three months ended June 30, 2018. The decrease was due to reductions in compensation relating to short- and long-term incentive compensation as a result of lower asset-based revenues as compared to the prior year quarter.</w:t>
      </w:r>
    </w:p>
    <w:p>
      <w:pPr>
        <w:spacing w:after="0" w:line="93"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i w:val="1"/>
          <w:iCs w:val="1"/>
          <w:color w:val="auto"/>
        </w:rPr>
        <w:t>Westwood Mutual Funds</w:t>
      </w:r>
      <w:r>
        <w:rPr>
          <w:rFonts w:ascii="Arial" w:cs="Arial" w:eastAsia="Arial" w:hAnsi="Arial"/>
          <w:sz w:val="18"/>
          <w:szCs w:val="18"/>
          <w:color w:val="auto"/>
        </w:rPr>
        <w:t>. Westwood mutual funds expenses decreased $0.3 million, or 34.0% to $0.7 million for the three months ended June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$1.0 million for the three months ended June 30, 2018. The decrease was due to overall reductions in shareholder servicing costs on lower average mutual fund assets under management for the three months ended June 30, 2019.</w:t>
      </w:r>
    </w:p>
    <w:p>
      <w:pPr>
        <w:spacing w:after="0" w:line="127" w:lineRule="exact"/>
        <w:rPr>
          <w:sz w:val="20"/>
          <w:szCs w:val="20"/>
          <w:color w:val="auto"/>
        </w:rPr>
      </w:pPr>
    </w:p>
    <w:p>
      <w:pPr>
        <w:ind w:right="60" w:firstLine="500"/>
        <w:spacing w:after="0" w:line="277" w:lineRule="auto"/>
        <w:rPr>
          <w:sz w:val="20"/>
          <w:szCs w:val="20"/>
          <w:color w:val="auto"/>
        </w:rPr>
      </w:pPr>
      <w:r>
        <w:rPr>
          <w:rFonts w:ascii="Arial" w:cs="Arial" w:eastAsia="Arial" w:hAnsi="Arial"/>
          <w:sz w:val="18"/>
          <w:szCs w:val="18"/>
          <w:i w:val="1"/>
          <w:iCs w:val="1"/>
          <w:color w:val="auto"/>
        </w:rPr>
        <w:t xml:space="preserve">(Gain) loss on foreign currency transactions. </w:t>
      </w:r>
      <w:r>
        <w:rPr>
          <w:rFonts w:ascii="Arial" w:cs="Arial" w:eastAsia="Arial" w:hAnsi="Arial"/>
          <w:sz w:val="18"/>
          <w:szCs w:val="18"/>
          <w:color w:val="auto"/>
        </w:rPr>
        <w:t>We recorded $724,000 foreign currency losses in the current quarter as a result of a 1.9% decrease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Canadian dollar exchange rate.</w:t>
      </w:r>
    </w:p>
    <w:p>
      <w:pPr>
        <w:spacing w:after="0" w:line="116" w:lineRule="exact"/>
        <w:rPr>
          <w:sz w:val="20"/>
          <w:szCs w:val="20"/>
          <w:color w:val="auto"/>
        </w:rPr>
      </w:pPr>
    </w:p>
    <w:p>
      <w:pPr>
        <w:ind w:right="60" w:firstLine="500"/>
        <w:spacing w:after="0" w:line="264"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effective tax rate increased to 29.9% for the three months ended June 30, 2019 from 26.9%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The current quarter rate was negatively impacted by increased permanent differences between book and tax compensation expense as a result of additional compensation limitations under the Tax Cuts and Jobs Act.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171" w:lineRule="exact"/>
        <w:rPr>
          <w:sz w:val="20"/>
          <w:szCs w:val="20"/>
          <w:color w:val="auto"/>
        </w:rPr>
      </w:pPr>
    </w:p>
    <w:p>
      <w:pPr>
        <w:ind w:firstLine="500"/>
        <w:spacing w:after="0" w:line="302" w:lineRule="auto"/>
        <w:rPr>
          <w:sz w:val="20"/>
          <w:szCs w:val="20"/>
          <w:color w:val="auto"/>
        </w:rPr>
      </w:pPr>
      <w:r>
        <w:rPr>
          <w:rFonts w:ascii="Arial" w:cs="Arial" w:eastAsia="Arial" w:hAnsi="Arial"/>
          <w:sz w:val="16"/>
          <w:szCs w:val="16"/>
          <w:i w:val="1"/>
          <w:iCs w:val="1"/>
          <w:color w:val="auto"/>
        </w:rPr>
        <w:t>Total Revenues</w:t>
      </w:r>
      <w:r>
        <w:rPr>
          <w:rFonts w:ascii="Arial" w:cs="Arial" w:eastAsia="Arial" w:hAnsi="Arial"/>
          <w:sz w:val="16"/>
          <w:szCs w:val="16"/>
          <w:color w:val="auto"/>
        </w:rPr>
        <w:t>. Total revenues decreased $20.7 million, or 31%, to $45.6 million for the six months ended June 30, 2019 compared with $66.3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six months ended June 30, 2018. Asset-based advisory fees decreased $16.9 million, or 35%, related to lower average assets under management, and Trust fees decreased $2.1 million, or 14%, primarily due to the sale of the Omaha-based component of our Wealth Management business. Performance-based fees decreased $2.7 million to $0.3 million for the six months ended June 30, 2019 compared with $3.0 million for the six months ended June 30, 2018.</w:t>
      </w:r>
    </w:p>
    <w:p>
      <w:pPr>
        <w:spacing w:after="0" w:line="154" w:lineRule="exact"/>
        <w:rPr>
          <w:sz w:val="20"/>
          <w:szCs w:val="20"/>
          <w:color w:val="auto"/>
        </w:rPr>
      </w:pPr>
    </w:p>
    <w:p>
      <w:pPr>
        <w:ind w:right="60" w:firstLine="500"/>
        <w:spacing w:after="0" w:line="259" w:lineRule="auto"/>
        <w:rPr>
          <w:sz w:val="20"/>
          <w:szCs w:val="20"/>
          <w:color w:val="auto"/>
        </w:rPr>
      </w:pPr>
      <w:r>
        <w:rPr>
          <w:rFonts w:ascii="Arial" w:cs="Arial" w:eastAsia="Arial" w:hAnsi="Arial"/>
          <w:sz w:val="18"/>
          <w:szCs w:val="18"/>
          <w:i w:val="1"/>
          <w:iCs w:val="1"/>
          <w:color w:val="auto"/>
        </w:rPr>
        <w:t>Employee Compensation and Benefits</w:t>
      </w:r>
      <w:r>
        <w:rPr>
          <w:rFonts w:ascii="Arial" w:cs="Arial" w:eastAsia="Arial" w:hAnsi="Arial"/>
          <w:sz w:val="18"/>
          <w:szCs w:val="18"/>
          <w:color w:val="auto"/>
        </w:rPr>
        <w:t>. Employee compensation and benefits costs decreased $6.4 million, or 20%, to $26.0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2019 compared with $32.4 million for the six months ended June 30, 2018. The decrease is due to reductions in compensation relating to the sale of the Omaha-based component of our Wealth Management business and short and long-term incentive compensation as a result of lower asset-based revenues as compared to the prior year.</w:t>
      </w:r>
    </w:p>
    <w:p>
      <w:pPr>
        <w:spacing w:after="0" w:line="133"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i w:val="1"/>
          <w:iCs w:val="1"/>
          <w:color w:val="auto"/>
        </w:rPr>
        <w:t>Westwood Mutual Funds</w:t>
      </w:r>
      <w:r>
        <w:rPr>
          <w:rFonts w:ascii="Arial" w:cs="Arial" w:eastAsia="Arial" w:hAnsi="Arial"/>
          <w:sz w:val="18"/>
          <w:szCs w:val="18"/>
          <w:color w:val="auto"/>
        </w:rPr>
        <w:t>. Westwood mutual funds expenses decreased $0.5 million or 24.2% to $1.5 million for the six months ended June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 million for the three months ended June 30, 2018. The decrease was due to overall reductions in shareholder servicing costs on lower average mutual fund assets under management for the three months ended June 30, 2019.</w:t>
      </w:r>
    </w:p>
    <w:p>
      <w:pPr>
        <w:spacing w:after="0" w:line="127" w:lineRule="exact"/>
        <w:rPr>
          <w:sz w:val="20"/>
          <w:szCs w:val="20"/>
          <w:color w:val="auto"/>
        </w:rPr>
      </w:pPr>
    </w:p>
    <w:p>
      <w:pPr>
        <w:ind w:right="80" w:firstLine="500"/>
        <w:spacing w:after="0" w:line="277" w:lineRule="auto"/>
        <w:rPr>
          <w:sz w:val="20"/>
          <w:szCs w:val="20"/>
          <w:color w:val="auto"/>
        </w:rPr>
      </w:pPr>
      <w:r>
        <w:rPr>
          <w:rFonts w:ascii="Arial" w:cs="Arial" w:eastAsia="Arial" w:hAnsi="Arial"/>
          <w:sz w:val="18"/>
          <w:szCs w:val="18"/>
          <w:i w:val="1"/>
          <w:iCs w:val="1"/>
          <w:color w:val="auto"/>
        </w:rPr>
        <w:t xml:space="preserve">(Gain) loss on foreign currency transactions. </w:t>
      </w:r>
      <w:r>
        <w:rPr>
          <w:rFonts w:ascii="Arial" w:cs="Arial" w:eastAsia="Arial" w:hAnsi="Arial"/>
          <w:sz w:val="18"/>
          <w:szCs w:val="18"/>
          <w:color w:val="auto"/>
        </w:rPr>
        <w:t>We recorded $1.5 million foreign currency losses for the six months ended June 30, 2019 as a result of a</w:t>
      </w:r>
      <w:r>
        <w:rPr>
          <w:rFonts w:ascii="Arial" w:cs="Arial" w:eastAsia="Arial" w:hAnsi="Arial"/>
          <w:sz w:val="18"/>
          <w:szCs w:val="18"/>
          <w:i w:val="1"/>
          <w:iCs w:val="1"/>
          <w:color w:val="auto"/>
        </w:rPr>
        <w:t xml:space="preserve"> </w:t>
      </w:r>
      <w:r>
        <w:rPr>
          <w:rFonts w:ascii="Arial" w:cs="Arial" w:eastAsia="Arial" w:hAnsi="Arial"/>
          <w:sz w:val="18"/>
          <w:szCs w:val="18"/>
          <w:color w:val="auto"/>
        </w:rPr>
        <w:t>4.0% decrease in the Canadian dollar exchange rate.</w:t>
      </w:r>
    </w:p>
    <w:p>
      <w:pPr>
        <w:spacing w:after="0" w:line="116"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i w:val="1"/>
          <w:iCs w:val="1"/>
          <w:color w:val="auto"/>
        </w:rPr>
        <w:t xml:space="preserve">Gain on Sale of Operations. </w:t>
      </w:r>
      <w:r>
        <w:rPr>
          <w:rFonts w:ascii="Arial" w:cs="Arial" w:eastAsia="Arial" w:hAnsi="Arial"/>
          <w:sz w:val="18"/>
          <w:szCs w:val="18"/>
          <w:color w:val="auto"/>
        </w:rPr>
        <w:t>The six months ended June 30, 2018 includes a $0.5 million gain on the sale of our Omaha-based component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Wealth Management business.</w:t>
      </w:r>
    </w:p>
    <w:p>
      <w:pPr>
        <w:spacing w:after="0" w:line="170"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effective tax rate increased to 45.7% for the six months ended June 30, 2019 from 25.5%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 The current quarter rate was negatively impacted by a $638,000 discrete tax expense related to a permanent difference between book and tax restricted stock expense based on a decrease in our stock price between grant and vesting dates.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530"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Supplemental Financial Information</w:t>
      </w:r>
    </w:p>
    <w:p>
      <w:pPr>
        <w:spacing w:after="0" w:line="175"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color w:val="auto"/>
        </w:rPr>
        <w:t>As supplemental information, we provide a non-U.S. generally accepted accounting principles (“non-GAAP”) performance measure that we refer to as Economic Earnings. We provide this measure in addition to, but not as a substitute for, net income reported on a U.S. generally accepted accounting principles (“GAAP”) basis. Our management and Board of Directors review Economic Earnings to evaluate our ongoing performance, allocate resources and review the dividend policy. We believe that this non-GAAP performance measure, while not a substitute for GAAP net income, is useful for management and investors when evaluating our underlying operating and financial performance and our available resources. We do not advocate that investors consider this non-GAAP measure without also considering financial information prepared in accordance with GAAP.</w:t>
      </w:r>
    </w:p>
    <w:p>
      <w:pPr>
        <w:spacing w:after="0" w:line="70"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In calculating Economic Earnings, we add back to net income the non-cash expense associated with equity-based compensation awards of restricted stock, amortization of intangible assets and deferred taxes related to the tax-basis amortization of goodwill. Although depreciation on property and equipment is a non-cash expense, we do not add it back when calculating Economic Earnings because depreciation charges represent a decline in the value of the related assets that will ultimately require replacement.</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provide a reconciliation of Net income to Economic Earnings (in thousands, except share and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7"/>
          </w:tcPr>
          <w:p>
            <w:pPr>
              <w:jc w:val="right"/>
              <w:ind w:right="460"/>
              <w:spacing w:after="0"/>
              <w:rPr>
                <w:sz w:val="20"/>
                <w:szCs w:val="20"/>
                <w:color w:val="auto"/>
              </w:rPr>
            </w:pPr>
            <w:r>
              <w:rPr>
                <w:rFonts w:ascii="Arial" w:cs="Arial" w:eastAsia="Arial" w:hAnsi="Arial"/>
                <w:sz w:val="16"/>
                <w:szCs w:val="16"/>
                <w:b w:val="1"/>
                <w:bCs w:val="1"/>
                <w:color w:val="auto"/>
                <w:w w:val="95"/>
              </w:rPr>
              <w:t>Three Months Ended June 30,</w:t>
            </w:r>
          </w:p>
        </w:tc>
        <w:tc>
          <w:tcPr>
            <w:tcW w:w="1120" w:type="dxa"/>
            <w:vAlign w:val="bottom"/>
            <w:gridSpan w:val="2"/>
            <w:vMerge w:val="restart"/>
          </w:tcPr>
          <w:p>
            <w:pPr>
              <w:jc w:val="right"/>
              <w:ind w:right="396"/>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Add: Stock-based compensation expense</w:t>
            </w:r>
          </w:p>
        </w:tc>
        <w:tc>
          <w:tcPr>
            <w:tcW w:w="2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2,430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3,776</w:t>
            </w:r>
          </w:p>
        </w:tc>
        <w:tc>
          <w:tcPr>
            <w:tcW w:w="120" w:type="dxa"/>
            <w:vAlign w:val="bottom"/>
          </w:tcPr>
          <w:p>
            <w:pPr>
              <w:spacing w:after="0"/>
              <w:rPr>
                <w:sz w:val="21"/>
                <w:szCs w:val="21"/>
                <w:color w:val="auto"/>
              </w:rPr>
            </w:pPr>
          </w:p>
        </w:tc>
        <w:tc>
          <w:tcPr>
            <w:tcW w:w="1120" w:type="dxa"/>
            <w:vAlign w:val="bottom"/>
            <w:gridSpan w:val="2"/>
          </w:tcPr>
          <w:p>
            <w:pPr>
              <w:jc w:val="right"/>
              <w:ind w:right="96"/>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Intangible amortization</w:t>
            </w:r>
          </w:p>
        </w:tc>
        <w:tc>
          <w:tcPr>
            <w:tcW w:w="2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Add: Tax benefit from goodwill amortization</w:t>
            </w:r>
          </w:p>
        </w:tc>
        <w:tc>
          <w:tcPr>
            <w:tcW w:w="2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3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4,773</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12,245</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2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8,476,777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8,543,353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Economic Earnings per share</w:t>
            </w:r>
          </w:p>
        </w:tc>
        <w:tc>
          <w:tcPr>
            <w:tcW w:w="30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0.56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4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7"/>
          </w:tcPr>
          <w:p>
            <w:pPr>
              <w:jc w:val="center"/>
              <w:ind w:right="180"/>
              <w:spacing w:after="0"/>
              <w:rPr>
                <w:sz w:val="20"/>
                <w:szCs w:val="20"/>
                <w:color w:val="auto"/>
              </w:rPr>
            </w:pPr>
            <w:r>
              <w:rPr>
                <w:rFonts w:ascii="Arial" w:cs="Arial" w:eastAsia="Arial" w:hAnsi="Arial"/>
                <w:sz w:val="16"/>
                <w:szCs w:val="16"/>
                <w:b w:val="1"/>
                <w:bCs w:val="1"/>
                <w:color w:val="auto"/>
                <w:w w:val="91"/>
              </w:rPr>
              <w:t>Six Months Ended June 30,</w:t>
            </w:r>
          </w:p>
        </w:tc>
        <w:tc>
          <w:tcPr>
            <w:tcW w:w="1120" w:type="dxa"/>
            <w:vAlign w:val="bottom"/>
            <w:gridSpan w:val="2"/>
            <w:vMerge w:val="restart"/>
          </w:tcPr>
          <w:p>
            <w:pPr>
              <w:jc w:val="right"/>
              <w:ind w:right="276"/>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15,970</w:t>
            </w: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Add: Stock-based compensation expense</w:t>
            </w:r>
          </w:p>
        </w:tc>
        <w:tc>
          <w:tcPr>
            <w:tcW w:w="2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5,683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7,963</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Intangible amortization</w:t>
            </w:r>
          </w:p>
        </w:tc>
        <w:tc>
          <w:tcPr>
            <w:tcW w:w="2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Add: Tax benefit from goodwill amortization</w:t>
            </w:r>
          </w:p>
        </w:tc>
        <w:tc>
          <w:tcPr>
            <w:tcW w:w="2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3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24,887</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2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8,467,589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8,543,401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Economic Earnings per share</w:t>
            </w:r>
          </w:p>
        </w:tc>
        <w:tc>
          <w:tcPr>
            <w:tcW w:w="3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460" w:type="dxa"/>
            <w:vAlign w:val="bottom"/>
          </w:tcPr>
          <w:p>
            <w:pPr>
              <w:spacing w:after="0"/>
              <w:rPr>
                <w:sz w:val="24"/>
                <w:szCs w:val="24"/>
                <w:color w:val="auto"/>
              </w:rPr>
            </w:pPr>
          </w:p>
        </w:tc>
        <w:tc>
          <w:tcPr>
            <w:tcW w:w="2800" w:type="dxa"/>
            <w:vAlign w:val="bottom"/>
          </w:tcPr>
          <w:p>
            <w:pPr>
              <w:jc w:val="right"/>
              <w:ind w:right="137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5" w:lineRule="exact"/>
        <w:rPr>
          <w:sz w:val="20"/>
          <w:szCs w:val="20"/>
          <w:color w:val="auto"/>
        </w:rPr>
      </w:pPr>
    </w:p>
    <w:p>
      <w:pPr>
        <w:ind w:firstLine="500"/>
        <w:spacing w:after="0" w:line="257" w:lineRule="auto"/>
        <w:rPr>
          <w:sz w:val="20"/>
          <w:szCs w:val="20"/>
          <w:color w:val="auto"/>
        </w:rPr>
      </w:pPr>
      <w:r>
        <w:rPr>
          <w:rFonts w:ascii="Arial" w:cs="Arial" w:eastAsia="Arial" w:hAnsi="Arial"/>
          <w:sz w:val="18"/>
          <w:szCs w:val="18"/>
          <w:color w:val="auto"/>
        </w:rPr>
        <w:t>We fund our operations and cash requirements with cash generated from operating activities. We may also use cash from operations to pay dividends to our stockholders. As of June 30, 2019 and December 31, 2018, we had no debt. The changes in net cash provided by operating activities generally reflect the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spacing w:after="0" w:line="80" w:lineRule="exact"/>
        <w:rPr>
          <w:sz w:val="20"/>
          <w:szCs w:val="20"/>
          <w:color w:val="auto"/>
        </w:rPr>
      </w:pPr>
    </w:p>
    <w:p>
      <w:pPr>
        <w:ind w:right="80" w:firstLine="500"/>
        <w:spacing w:after="0" w:line="255" w:lineRule="auto"/>
        <w:rPr>
          <w:sz w:val="20"/>
          <w:szCs w:val="20"/>
          <w:color w:val="auto"/>
        </w:rPr>
      </w:pPr>
      <w:r>
        <w:rPr>
          <w:rFonts w:ascii="Arial" w:cs="Arial" w:eastAsia="Arial" w:hAnsi="Arial"/>
          <w:sz w:val="18"/>
          <w:szCs w:val="18"/>
          <w:color w:val="auto"/>
        </w:rPr>
        <w:t>During the six months ended June 30, 2019, cash flow provided by operating activities was $21.1 million, which included an $18.8 million liquidation of current investments partially offset by a $10.4 million decrease in compensation and benefits payables. Cash flow used in investing activities of $652,000 during the six months ended June 30, 2019 was primarily related to the purchase of property and equipment and our investment in a private investment fund, while the prior year quarter experienced positive cash flow provided by investing activities as a result of the sale of the Omaha-based component of our wealth management business. Cash flow used in financing activities of $18.0 million for the six months ended June 30, 2019 reflected the payment of dividends, restricted stock returned for the payment of taxes and purchases of treasury shares under our share repurchase plan and for our Canadian share award plan.</w:t>
      </w:r>
    </w:p>
    <w:p>
      <w:pPr>
        <w:spacing w:after="0" w:line="81" w:lineRule="exact"/>
        <w:rPr>
          <w:sz w:val="20"/>
          <w:szCs w:val="20"/>
          <w:color w:val="auto"/>
        </w:rPr>
      </w:pPr>
    </w:p>
    <w:p>
      <w:pPr>
        <w:ind w:right="20" w:firstLine="500"/>
        <w:spacing w:after="0" w:line="255" w:lineRule="auto"/>
        <w:rPr>
          <w:sz w:val="20"/>
          <w:szCs w:val="20"/>
          <w:color w:val="auto"/>
        </w:rPr>
      </w:pPr>
      <w:r>
        <w:rPr>
          <w:rFonts w:ascii="Arial" w:cs="Arial" w:eastAsia="Arial" w:hAnsi="Arial"/>
          <w:sz w:val="18"/>
          <w:szCs w:val="18"/>
          <w:color w:val="auto"/>
        </w:rPr>
        <w:t>We had cash and short-term investments of $103.9 million as of June 30, 2019 and $118.2 million as of December 31, 2018. Cash and cash equivalents included approximately $31 million and $33 million of undistributed income from Westwood International as of June 30, 2019 and December 31, 2018, respectively. If these funds were needed for our U.S. operations, we would be required to accrue and pay a 5% incremental Canadian withholding taxes to repatriate all or a portion of these funds. Our current intention is to permanently reinvest the funds subject to withholding taxes outside of the U.S., and our current forecasts do not demonstrate a need to repatriate them to fund our U.S. operations. At June 30, 2019 and December 31, 2018, working capital aggregated $105.1 million and $112.6 million, respectively.</w:t>
      </w:r>
    </w:p>
    <w:p>
      <w:pPr>
        <w:spacing w:after="0" w:line="85" w:lineRule="exact"/>
        <w:rPr>
          <w:sz w:val="20"/>
          <w:szCs w:val="20"/>
          <w:color w:val="auto"/>
        </w:rPr>
      </w:pPr>
    </w:p>
    <w:p>
      <w:pPr>
        <w:ind w:right="40" w:firstLine="500"/>
        <w:spacing w:after="0" w:line="264" w:lineRule="auto"/>
        <w:rPr>
          <w:sz w:val="20"/>
          <w:szCs w:val="20"/>
          <w:color w:val="auto"/>
        </w:rPr>
      </w:pPr>
      <w:r>
        <w:rPr>
          <w:rFonts w:ascii="Arial" w:cs="Arial" w:eastAsia="Arial" w:hAnsi="Arial"/>
          <w:sz w:val="18"/>
          <w:szCs w:val="18"/>
          <w:color w:val="auto"/>
        </w:rPr>
        <w:t>Westwood Trust must maintain cash and investments in an amount equal to the minimum restricted capital of $4.0 million, as required by the Texas Finance Code. Restricted capital is included in Investments in the accompanying Condensed Consolidated Balance Sheets. At June 30, 2019, Westwood Trust had approximately $19.8 million in excess of its minimum capital requirement.</w:t>
      </w:r>
    </w:p>
    <w:p>
      <w:pPr>
        <w:spacing w:after="0" w:line="73" w:lineRule="exact"/>
        <w:rPr>
          <w:sz w:val="20"/>
          <w:szCs w:val="20"/>
          <w:color w:val="auto"/>
        </w:rPr>
      </w:pPr>
    </w:p>
    <w:p>
      <w:pPr>
        <w:ind w:right="200" w:firstLine="500"/>
        <w:spacing w:after="0" w:line="293" w:lineRule="auto"/>
        <w:rPr>
          <w:sz w:val="20"/>
          <w:szCs w:val="20"/>
          <w:color w:val="auto"/>
        </w:rPr>
      </w:pPr>
      <w:r>
        <w:rPr>
          <w:rFonts w:ascii="Arial" w:cs="Arial" w:eastAsia="Arial" w:hAnsi="Arial"/>
          <w:sz w:val="16"/>
          <w:szCs w:val="16"/>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2018, filed with the SEC.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The failure to raise needed capital on attractive terms, if at all,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175" w:lineRule="exact"/>
        <w:rPr>
          <w:sz w:val="20"/>
          <w:szCs w:val="20"/>
          <w:color w:val="auto"/>
        </w:rPr>
      </w:pPr>
    </w:p>
    <w:p>
      <w:pPr>
        <w:jc w:val="both"/>
        <w:ind w:right="100" w:firstLine="500"/>
        <w:spacing w:after="0" w:line="312" w:lineRule="auto"/>
        <w:rPr>
          <w:sz w:val="20"/>
          <w:szCs w:val="20"/>
          <w:color w:val="auto"/>
        </w:rPr>
      </w:pPr>
      <w:r>
        <w:rPr>
          <w:rFonts w:ascii="Arial" w:cs="Arial" w:eastAsia="Arial" w:hAnsi="Arial"/>
          <w:sz w:val="16"/>
          <w:szCs w:val="16"/>
          <w:color w:val="auto"/>
        </w:rPr>
        <w:t>As of June 30, 2019, there have been no material changes outside of the ordinary course of business to our contractual obligations since December 31, 2018. For information regarding our contractual obligations, refer to “Contractual Obligations” in Part II, Item 7. “Management's Discussion and Analysis of Financial Condition and Results of Operations” in our Annual Report on Form 10-K for the fiscal year ended December 31, 2018.</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9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Critical and Significant Accounting Policies and Estimates</w:t>
      </w:r>
    </w:p>
    <w:p>
      <w:pPr>
        <w:spacing w:after="0" w:line="175" w:lineRule="exact"/>
        <w:rPr>
          <w:sz w:val="20"/>
          <w:szCs w:val="20"/>
          <w:color w:val="auto"/>
        </w:rPr>
      </w:pPr>
    </w:p>
    <w:p>
      <w:pPr>
        <w:ind w:right="20" w:firstLine="500"/>
        <w:spacing w:after="0" w:line="264" w:lineRule="auto"/>
        <w:rPr>
          <w:sz w:val="20"/>
          <w:szCs w:val="20"/>
          <w:color w:val="auto"/>
        </w:rPr>
      </w:pPr>
      <w:r>
        <w:rPr>
          <w:rFonts w:ascii="Arial" w:cs="Arial" w:eastAsia="Arial" w:hAnsi="Arial"/>
          <w:sz w:val="18"/>
          <w:szCs w:val="18"/>
          <w:color w:val="auto"/>
        </w:rPr>
        <w:t xml:space="preserve">Effective January 1, 2019, we adopted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Refer to Note 2 “Summary of Significant Accounting Policies” and Note 13 “Leases” in our Condensed Consolidated Financial Statements included in Part I, Item 1. “Financial Statements” of this Quarterly Report on Form 10-Q for a detailed description of the adoption of ASU 2016-02.</w:t>
      </w:r>
    </w:p>
    <w:p>
      <w:pPr>
        <w:spacing w:after="0" w:line="73" w:lineRule="exact"/>
        <w:rPr>
          <w:sz w:val="20"/>
          <w:szCs w:val="20"/>
          <w:color w:val="auto"/>
        </w:rPr>
      </w:pPr>
    </w:p>
    <w:p>
      <w:pPr>
        <w:ind w:right="200" w:firstLine="500"/>
        <w:spacing w:after="0" w:line="257" w:lineRule="auto"/>
        <w:rPr>
          <w:sz w:val="20"/>
          <w:szCs w:val="20"/>
          <w:color w:val="auto"/>
        </w:rPr>
      </w:pPr>
      <w:r>
        <w:rPr>
          <w:rFonts w:ascii="Arial" w:cs="Arial" w:eastAsia="Arial" w:hAnsi="Arial"/>
          <w:sz w:val="18"/>
          <w:szCs w:val="18"/>
          <w:color w:val="auto"/>
        </w:rPr>
        <w:t>There have been no other significant changes in our critical or significant accounting policies and estimates since December 31, 2018.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Developments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Refer to Note 2 “Summary of Significant Accounting Policies” in our Condensed Consolidated Financial Statements included in Part I, Item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of this Quarterly Report on Form 10-Q for a description of recently issued accounting guidance.</w:t>
      </w:r>
    </w:p>
    <w:p>
      <w:pPr>
        <w:spacing w:after="0" w:line="31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440" w:firstLine="500"/>
        <w:spacing w:after="0" w:line="277" w:lineRule="auto"/>
        <w:rPr>
          <w:sz w:val="20"/>
          <w:szCs w:val="20"/>
          <w:color w:val="auto"/>
        </w:rPr>
      </w:pPr>
      <w:r>
        <w:rPr>
          <w:rFonts w:ascii="Arial" w:cs="Arial" w:eastAsia="Arial" w:hAnsi="Arial"/>
          <w:sz w:val="18"/>
          <w:szCs w:val="18"/>
          <w:color w:val="auto"/>
        </w:rPr>
        <w:t>There have been no significant changes in our Quantitative and Qualitative Disclosures about Market Risk from those previously reported in our Annual Report on Form 10-K for the year ended December 31, 2018.</w:t>
      </w:r>
    </w:p>
    <w:p>
      <w:pPr>
        <w:spacing w:after="0" w:line="22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00"/>
        <w:spacing w:after="0" w:line="288"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75" w:lineRule="exact"/>
        <w:rPr>
          <w:sz w:val="20"/>
          <w:szCs w:val="20"/>
          <w:color w:val="auto"/>
        </w:rPr>
      </w:pPr>
    </w:p>
    <w:p>
      <w:pPr>
        <w:ind w:right="20" w:firstLine="500"/>
        <w:spacing w:after="0" w:line="277" w:lineRule="auto"/>
        <w:rPr>
          <w:sz w:val="20"/>
          <w:szCs w:val="20"/>
          <w:color w:val="auto"/>
        </w:rPr>
      </w:pPr>
      <w:r>
        <w:rPr>
          <w:rFonts w:ascii="Arial" w:cs="Arial" w:eastAsia="Arial" w:hAnsi="Arial"/>
          <w:sz w:val="18"/>
          <w:szCs w:val="18"/>
          <w:color w:val="auto"/>
        </w:rPr>
        <w:t>During the quarter ended June 30, 2019, there were no changes in our internal controls over financial reporting (as defined in Rule 13a-15(f) under the Exchange Act) that materially affected, or are reasonably likely to materially affect, our internal control over financial reporting.</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688" w:right="2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5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We face a number of significant risks and uncertainties in our business, including those detailed under “Risk Factors” in our Annual Report on Form 10-K for the fiscal year ended December 31, 2018 and summarized in this report under “Management’s Discussion and Analysis of Financial Condition and Results of Operations.” These risks and uncertainties may affect our current position and future prospects and should be considered carefully in evaluating us, including making an investment in our common stock.</w:t>
      </w:r>
    </w:p>
    <w:p>
      <w:pPr>
        <w:spacing w:after="0" w:line="29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displays information with respect to the treasury shares we purchased during the three months ended June 30,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00" w:type="dxa"/>
            <w:vAlign w:val="bottom"/>
          </w:tcPr>
          <w:p>
            <w:pPr>
              <w:jc w:val="center"/>
              <w:ind w:right="216"/>
              <w:spacing w:after="0"/>
              <w:rPr>
                <w:sz w:val="20"/>
                <w:szCs w:val="20"/>
                <w:color w:val="auto"/>
              </w:rPr>
            </w:pPr>
            <w:r>
              <w:rPr>
                <w:rFonts w:ascii="Arial" w:cs="Arial" w:eastAsia="Arial" w:hAnsi="Arial"/>
                <w:sz w:val="16"/>
                <w:szCs w:val="16"/>
                <w:b w:val="1"/>
                <w:bCs w:val="1"/>
                <w:color w:val="auto"/>
                <w:w w:val="95"/>
              </w:rPr>
              <w:t>Maximum number (or</w:t>
            </w:r>
          </w:p>
        </w:tc>
      </w:tr>
      <w:tr>
        <w:trPr>
          <w:trHeight w:val="203"/>
        </w:trPr>
        <w:tc>
          <w:tcPr>
            <w:tcW w:w="428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0"/>
              </w:rPr>
              <w:t>Total number of shares</w:t>
            </w:r>
          </w:p>
        </w:tc>
        <w:tc>
          <w:tcPr>
            <w:tcW w:w="2300" w:type="dxa"/>
            <w:vAlign w:val="bottom"/>
          </w:tcPr>
          <w:p>
            <w:pPr>
              <w:jc w:val="center"/>
              <w:ind w:right="216"/>
              <w:spacing w:after="0"/>
              <w:rPr>
                <w:sz w:val="20"/>
                <w:szCs w:val="20"/>
                <w:color w:val="auto"/>
              </w:rPr>
            </w:pPr>
            <w:r>
              <w:rPr>
                <w:rFonts w:ascii="Arial" w:cs="Arial" w:eastAsia="Arial" w:hAnsi="Arial"/>
                <w:sz w:val="16"/>
                <w:szCs w:val="16"/>
                <w:b w:val="1"/>
                <w:bCs w:val="1"/>
                <w:color w:val="auto"/>
                <w:w w:val="92"/>
              </w:rPr>
              <w:t>approximate dollar value)</w:t>
            </w:r>
          </w:p>
        </w:tc>
      </w:tr>
      <w:tr>
        <w:trPr>
          <w:trHeight w:val="203"/>
        </w:trPr>
        <w:tc>
          <w:tcPr>
            <w:tcW w:w="428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number of</w:t>
            </w:r>
          </w:p>
        </w:tc>
        <w:tc>
          <w:tcPr>
            <w:tcW w:w="2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21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0"/>
              </w:rPr>
              <w:t>purchased as part of</w:t>
            </w:r>
          </w:p>
        </w:tc>
        <w:tc>
          <w:tcPr>
            <w:tcW w:w="2300" w:type="dxa"/>
            <w:vAlign w:val="bottom"/>
          </w:tcPr>
          <w:p>
            <w:pPr>
              <w:jc w:val="center"/>
              <w:ind w:right="216"/>
              <w:spacing w:after="0"/>
              <w:rPr>
                <w:sz w:val="20"/>
                <w:szCs w:val="20"/>
                <w:color w:val="auto"/>
              </w:rPr>
            </w:pPr>
            <w:r>
              <w:rPr>
                <w:rFonts w:ascii="Arial" w:cs="Arial" w:eastAsia="Arial" w:hAnsi="Arial"/>
                <w:sz w:val="16"/>
                <w:szCs w:val="16"/>
                <w:b w:val="1"/>
                <w:bCs w:val="1"/>
                <w:color w:val="auto"/>
                <w:w w:val="89"/>
              </w:rPr>
              <w:t>of shares that may yet be</w:t>
            </w:r>
          </w:p>
        </w:tc>
      </w:tr>
      <w:tr>
        <w:trPr>
          <w:trHeight w:val="203"/>
        </w:trPr>
        <w:tc>
          <w:tcPr>
            <w:tcW w:w="428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shares</w:t>
            </w:r>
          </w:p>
        </w:tc>
        <w:tc>
          <w:tcPr>
            <w:tcW w:w="20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price paid</w:t>
            </w:r>
          </w:p>
        </w:tc>
        <w:tc>
          <w:tcPr>
            <w:tcW w:w="21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9"/>
              </w:rPr>
              <w:t>publicly announced</w:t>
            </w:r>
          </w:p>
        </w:tc>
        <w:tc>
          <w:tcPr>
            <w:tcW w:w="2300" w:type="dxa"/>
            <w:vAlign w:val="bottom"/>
          </w:tcPr>
          <w:p>
            <w:pPr>
              <w:jc w:val="center"/>
              <w:ind w:right="216"/>
              <w:spacing w:after="0"/>
              <w:rPr>
                <w:sz w:val="20"/>
                <w:szCs w:val="20"/>
                <w:color w:val="auto"/>
              </w:rPr>
            </w:pPr>
            <w:r>
              <w:rPr>
                <w:rFonts w:ascii="Arial" w:cs="Arial" w:eastAsia="Arial" w:hAnsi="Arial"/>
                <w:sz w:val="16"/>
                <w:szCs w:val="16"/>
                <w:b w:val="1"/>
                <w:bCs w:val="1"/>
                <w:color w:val="auto"/>
                <w:w w:val="90"/>
              </w:rPr>
              <w:t>purchased under the</w:t>
            </w:r>
          </w:p>
        </w:tc>
      </w:tr>
      <w:tr>
        <w:trPr>
          <w:trHeight w:val="210"/>
        </w:trPr>
        <w:tc>
          <w:tcPr>
            <w:tcW w:w="428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purchased</w:t>
            </w: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per share</w:t>
            </w:r>
          </w:p>
        </w:tc>
        <w:tc>
          <w:tcPr>
            <w:tcW w:w="21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9"/>
              </w:rPr>
              <w:t>plans or programs</w:t>
            </w:r>
          </w:p>
        </w:tc>
        <w:tc>
          <w:tcPr>
            <w:tcW w:w="2300" w:type="dxa"/>
            <w:vAlign w:val="bottom"/>
          </w:tcPr>
          <w:p>
            <w:pPr>
              <w:jc w:val="center"/>
              <w:ind w:right="236"/>
              <w:spacing w:after="0"/>
              <w:rPr>
                <w:sz w:val="20"/>
                <w:szCs w:val="20"/>
                <w:color w:val="auto"/>
              </w:rPr>
            </w:pPr>
            <w:r>
              <w:rPr>
                <w:rFonts w:ascii="Arial" w:cs="Arial" w:eastAsia="Arial" w:hAnsi="Arial"/>
                <w:sz w:val="16"/>
                <w:szCs w:val="16"/>
                <w:b w:val="1"/>
                <w:bCs w:val="1"/>
                <w:color w:val="auto"/>
                <w:w w:val="91"/>
              </w:rPr>
              <w:t>plans or programs (1)</w:t>
            </w:r>
          </w:p>
        </w:tc>
      </w:tr>
      <w:tr>
        <w:trPr>
          <w:trHeight w:val="33"/>
        </w:trPr>
        <w:tc>
          <w:tcPr>
            <w:tcW w:w="42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64"/>
        </w:trPr>
        <w:tc>
          <w:tcPr>
            <w:tcW w:w="42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Repurchase program </w:t>
            </w:r>
            <w:r>
              <w:rPr>
                <w:rFonts w:ascii="Arial" w:cs="Arial" w:eastAsia="Arial" w:hAnsi="Arial"/>
                <w:sz w:val="25"/>
                <w:szCs w:val="25"/>
                <w:color w:val="auto"/>
                <w:vertAlign w:val="superscript"/>
              </w:rPr>
              <w:t>(1)</w:t>
            </w: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4,560,000</w:t>
            </w: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May 1-31, 2019</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26,866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29.99</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70"/>
        </w:trPr>
        <w:tc>
          <w:tcPr>
            <w:tcW w:w="42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Canadian Plan </w:t>
            </w:r>
            <w:r>
              <w:rPr>
                <w:rFonts w:ascii="Arial" w:cs="Arial" w:eastAsia="Arial" w:hAnsi="Arial"/>
                <w:sz w:val="25"/>
                <w:szCs w:val="25"/>
                <w:color w:val="auto"/>
                <w:vertAlign w:val="superscript"/>
              </w:rPr>
              <w:t>(2)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20" w:type="dxa"/>
            <w:vAlign w:val="bottom"/>
            <w:gridSpan w:val="3"/>
            <w:shd w:val="clear" w:color="auto" w:fill="CCEEFF"/>
          </w:tcPr>
          <w:p>
            <w:pPr>
              <w:ind w:left="1400"/>
              <w:spacing w:after="0"/>
              <w:rPr>
                <w:sz w:val="20"/>
                <w:szCs w:val="20"/>
                <w:color w:val="auto"/>
              </w:rPr>
            </w:pPr>
            <w:r>
              <w:rPr>
                <w:rFonts w:ascii="Arial" w:cs="Arial" w:eastAsia="Arial" w:hAnsi="Arial"/>
                <w:sz w:val="18"/>
                <w:szCs w:val="18"/>
                <w:color w:val="auto"/>
              </w:rPr>
              <w:t>—   C$</w:t>
            </w:r>
          </w:p>
        </w:tc>
        <w:tc>
          <w:tcPr>
            <w:tcW w:w="2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2,259,000</w:t>
            </w:r>
          </w:p>
        </w:tc>
      </w:tr>
      <w:tr>
        <w:trPr>
          <w:trHeight w:val="341"/>
        </w:trPr>
        <w:tc>
          <w:tcPr>
            <w:tcW w:w="4280" w:type="dxa"/>
            <w:vAlign w:val="bottom"/>
          </w:tcPr>
          <w:p>
            <w:pPr>
              <w:ind w:left="40"/>
              <w:spacing w:after="0"/>
              <w:rPr>
                <w:sz w:val="20"/>
                <w:szCs w:val="20"/>
                <w:color w:val="auto"/>
              </w:rPr>
            </w:pPr>
            <w:r>
              <w:rPr>
                <w:rFonts w:ascii="Arial" w:cs="Arial" w:eastAsia="Arial" w:hAnsi="Arial"/>
                <w:sz w:val="18"/>
                <w:szCs w:val="18"/>
                <w:color w:val="auto"/>
              </w:rPr>
              <w:t xml:space="preserve">Employee transactions </w:t>
            </w:r>
            <w:r>
              <w:rPr>
                <w:rFonts w:ascii="Arial" w:cs="Arial" w:eastAsia="Arial" w:hAnsi="Arial"/>
                <w:sz w:val="25"/>
                <w:szCs w:val="25"/>
                <w:color w:val="auto"/>
                <w:vertAlign w:val="superscript"/>
              </w:rPr>
              <w:t>(3)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20" w:type="dxa"/>
            <w:vAlign w:val="bottom"/>
            <w:gridSpan w:val="3"/>
          </w:tcPr>
          <w:p>
            <w:pPr>
              <w:ind w:left="1400"/>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130" w:lineRule="exact"/>
        <w:rPr>
          <w:sz w:val="20"/>
          <w:szCs w:val="20"/>
          <w:color w:val="auto"/>
        </w:rPr>
      </w:pPr>
    </w:p>
    <w:p>
      <w:pPr>
        <w:ind w:left="900" w:hanging="892"/>
        <w:spacing w:after="0" w:line="259"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8"/>
          <w:szCs w:val="18"/>
          <w:color w:val="auto"/>
        </w:rPr>
        <w:t>On July 20, 2012, our Board of Directors authorized management to repurchase up to $10.0 million of our outstanding common stock on the open market or in privately negotiated transactions. In July 2016, Westwood's Board of Directors authorized an additional $5.0 million of repurchases under the share repurchase program. The share repurchase program has no expiration date and may be discontinued at any time by the Board of Directors.</w:t>
      </w:r>
    </w:p>
    <w:p>
      <w:pPr>
        <w:spacing w:after="0" w:line="24" w:lineRule="exact"/>
        <w:rPr>
          <w:rFonts w:ascii="Arial" w:cs="Arial" w:eastAsia="Arial" w:hAnsi="Arial"/>
          <w:sz w:val="16"/>
          <w:szCs w:val="16"/>
          <w:color w:val="auto"/>
        </w:rPr>
      </w:pPr>
    </w:p>
    <w:p>
      <w:pPr>
        <w:ind w:left="900" w:right="200" w:hanging="892"/>
        <w:spacing w:after="0" w:line="259"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8"/>
          <w:szCs w:val="18"/>
          <w:color w:val="auto"/>
        </w:rPr>
        <w:t>On April 18, 2013, our stockholders approved the Share Award Plan of Westwood Holdings Group, Inc. for Service Provided in Canada to its Subsidiaries (the “Canadian Plan”), which contemplates a trustee purchasing up to $10.0 million CDN of our outstanding common stock on the open market for the purpose of making share awards to our Canadian employees. The Canadian Plan has no expiration date and may be discontinued at any time by the Board of Directors.</w:t>
      </w:r>
    </w:p>
    <w:p>
      <w:pPr>
        <w:spacing w:after="0" w:line="24" w:lineRule="exact"/>
        <w:rPr>
          <w:rFonts w:ascii="Arial" w:cs="Arial" w:eastAsia="Arial" w:hAnsi="Arial"/>
          <w:sz w:val="16"/>
          <w:szCs w:val="16"/>
          <w:color w:val="auto"/>
        </w:rPr>
      </w:pPr>
    </w:p>
    <w:p>
      <w:pPr>
        <w:ind w:left="900" w:right="40" w:hanging="892"/>
        <w:spacing w:after="0" w:line="264"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8"/>
          <w:szCs w:val="18"/>
          <w:color w:val="auto"/>
        </w:rPr>
        <w:t>Consists of shares of common stock tendered by an employee at the market close price on the date of vesting in order to satisfy the employee’s minimum tax withholding obligations from vested restricted shares. We anticipate having additional shares tendered in subsequent periods for the same purpose.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26"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860" w:type="dxa"/>
            <w:vAlign w:val="bottom"/>
            <w:gridSpan w:val="20"/>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338"/>
        </w:trPr>
        <w:tc>
          <w:tcPr>
            <w:tcW w:w="1520" w:type="dxa"/>
            <w:vAlign w:val="bottom"/>
          </w:tcPr>
          <w:p>
            <w:pPr>
              <w:ind w:left="40"/>
              <w:spacing w:after="0"/>
              <w:rPr>
                <w:sz w:val="20"/>
                <w:szCs w:val="20"/>
                <w:color w:val="auto"/>
              </w:rPr>
            </w:pPr>
            <w:r>
              <w:rPr>
                <w:rFonts w:ascii="Arial" w:cs="Arial" w:eastAsia="Arial" w:hAnsi="Arial"/>
                <w:sz w:val="18"/>
                <w:szCs w:val="18"/>
                <w:color w:val="auto"/>
              </w:rPr>
              <w:t>3.1</w:t>
            </w:r>
          </w:p>
        </w:tc>
        <w:tc>
          <w:tcPr>
            <w:tcW w:w="9860" w:type="dxa"/>
            <w:vAlign w:val="bottom"/>
            <w:tcBorders>
              <w:bottom w:val="single" w:sz="8" w:color="0000FF"/>
            </w:tcBorders>
            <w:gridSpan w:val="20"/>
          </w:tcPr>
          <w:p>
            <w:pPr>
              <w:spacing w:after="0"/>
              <w:rPr>
                <w:rFonts w:ascii="Arial" w:cs="Arial" w:eastAsia="Arial" w:hAnsi="Arial"/>
                <w:sz w:val="18"/>
                <w:szCs w:val="18"/>
                <w:color w:val="0000FF"/>
                <w:w w:val="91"/>
              </w:rPr>
            </w:pPr>
            <w:hyperlink r:id="rId12">
              <w:r>
                <w:rPr>
                  <w:rFonts w:ascii="Arial" w:cs="Arial" w:eastAsia="Arial" w:hAnsi="Arial"/>
                  <w:sz w:val="18"/>
                  <w:szCs w:val="18"/>
                  <w:color w:val="0000FF"/>
                  <w:w w:val="91"/>
                </w:rPr>
                <w:t>Amended and Restated Certificate of Incorporation of Westwood Holdings Group, Inc. (incorporated by reference from Amendment No.</w:t>
              </w:r>
            </w:hyperlink>
          </w:p>
        </w:tc>
      </w:tr>
      <w:tr>
        <w:trPr>
          <w:trHeight w:val="196"/>
        </w:trPr>
        <w:tc>
          <w:tcPr>
            <w:tcW w:w="1520" w:type="dxa"/>
            <w:vAlign w:val="bottom"/>
          </w:tcPr>
          <w:p>
            <w:pPr>
              <w:spacing w:after="0"/>
              <w:rPr>
                <w:sz w:val="17"/>
                <w:szCs w:val="17"/>
                <w:color w:val="auto"/>
              </w:rPr>
            </w:pPr>
          </w:p>
        </w:tc>
        <w:tc>
          <w:tcPr>
            <w:tcW w:w="580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12">
              <w:r>
                <w:rPr>
                  <w:rFonts w:ascii="Arial" w:cs="Arial" w:eastAsia="Arial" w:hAnsi="Arial"/>
                  <w:sz w:val="18"/>
                  <w:szCs w:val="18"/>
                  <w:color w:val="0000FF"/>
                  <w:w w:val="92"/>
                </w:rPr>
                <w:t>2 to Registration Statement on Form 10/A filed with the SEC on April 30, 2002)</w:t>
              </w:r>
            </w:hyperlink>
          </w:p>
        </w:tc>
        <w:tc>
          <w:tcPr>
            <w:tcW w:w="4060" w:type="dxa"/>
            <w:vAlign w:val="bottom"/>
            <w:gridSpan w:val="12"/>
          </w:tcPr>
          <w:p>
            <w:pPr>
              <w:spacing w:after="0"/>
              <w:rPr>
                <w:sz w:val="17"/>
                <w:szCs w:val="17"/>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3.1.1</w:t>
            </w:r>
          </w:p>
        </w:tc>
        <w:tc>
          <w:tcPr>
            <w:tcW w:w="9720" w:type="dxa"/>
            <w:vAlign w:val="bottom"/>
            <w:tcBorders>
              <w:bottom w:val="single" w:sz="8" w:color="0000FF"/>
            </w:tcBorders>
            <w:gridSpan w:val="14"/>
          </w:tcPr>
          <w:p>
            <w:pPr>
              <w:spacing w:after="0"/>
              <w:rPr>
                <w:rFonts w:ascii="Arial" w:cs="Arial" w:eastAsia="Arial" w:hAnsi="Arial"/>
                <w:sz w:val="18"/>
                <w:szCs w:val="18"/>
                <w:color w:val="0000FF"/>
                <w:w w:val="91"/>
              </w:rPr>
            </w:pPr>
            <w:hyperlink r:id="rId13">
              <w:r>
                <w:rPr>
                  <w:rFonts w:ascii="Arial" w:cs="Arial" w:eastAsia="Arial" w:hAnsi="Arial"/>
                  <w:sz w:val="18"/>
                  <w:szCs w:val="18"/>
                  <w:color w:val="0000FF"/>
                  <w:w w:val="91"/>
                </w:rPr>
                <w:t>First Amendment to Amended and Restated Certificate of Incorporation of Westwood Holdings Group, Inc. (incorporated by reference</w:t>
              </w:r>
            </w:hyperlink>
          </w:p>
        </w:tc>
        <w:tc>
          <w:tcPr>
            <w:tcW w:w="140" w:type="dxa"/>
            <w:vAlign w:val="bottom"/>
            <w:gridSpan w:val="6"/>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9860" w:type="dxa"/>
            <w:vAlign w:val="bottom"/>
            <w:gridSpan w:val="20"/>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from the Form 8-K filed with the SEC on May 7, 2008)</w:t>
              </w:r>
            </w:hyperlink>
          </w:p>
        </w:tc>
      </w:tr>
      <w:tr>
        <w:trPr>
          <w:trHeight w:val="20"/>
        </w:trPr>
        <w:tc>
          <w:tcPr>
            <w:tcW w:w="1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3.1.2</w:t>
            </w:r>
          </w:p>
        </w:tc>
        <w:tc>
          <w:tcPr>
            <w:tcW w:w="9200" w:type="dxa"/>
            <w:vAlign w:val="bottom"/>
            <w:tcBorders>
              <w:bottom w:val="single" w:sz="8" w:color="0000FF"/>
            </w:tcBorders>
            <w:gridSpan w:val="11"/>
          </w:tcPr>
          <w:p>
            <w:pPr>
              <w:spacing w:after="0"/>
              <w:rPr>
                <w:rFonts w:ascii="Arial" w:cs="Arial" w:eastAsia="Arial" w:hAnsi="Arial"/>
                <w:sz w:val="18"/>
                <w:szCs w:val="18"/>
                <w:color w:val="0000FF"/>
                <w:w w:val="91"/>
              </w:rPr>
            </w:pPr>
            <w:hyperlink r:id="rId14">
              <w:r>
                <w:rPr>
                  <w:rFonts w:ascii="Arial" w:cs="Arial" w:eastAsia="Arial" w:hAnsi="Arial"/>
                  <w:sz w:val="18"/>
                  <w:szCs w:val="18"/>
                  <w:color w:val="0000FF"/>
                  <w:w w:val="91"/>
                </w:rPr>
                <w:t>Second Amendment to Amended and Restated Certificate of Incorporation of Westwood Holdings Group, Inc. (incorporated by</w:t>
              </w:r>
            </w:hyperlink>
          </w:p>
        </w:tc>
        <w:tc>
          <w:tcPr>
            <w:tcW w:w="660" w:type="dxa"/>
            <w:vAlign w:val="bottom"/>
            <w:gridSpan w:val="9"/>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9860" w:type="dxa"/>
            <w:vAlign w:val="bottom"/>
            <w:gridSpan w:val="20"/>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reference from the Schedule 14A filed with the SEC on March 20, 2017)</w:t>
              </w:r>
            </w:hyperlink>
          </w:p>
        </w:tc>
      </w:tr>
      <w:tr>
        <w:trPr>
          <w:trHeight w:val="20"/>
        </w:trPr>
        <w:tc>
          <w:tcPr>
            <w:tcW w:w="1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3.1.3</w:t>
            </w:r>
          </w:p>
        </w:tc>
        <w:tc>
          <w:tcPr>
            <w:tcW w:w="9860" w:type="dxa"/>
            <w:vAlign w:val="bottom"/>
            <w:gridSpan w:val="20"/>
          </w:tcPr>
          <w:p>
            <w:pPr>
              <w:spacing w:after="0"/>
              <w:rPr>
                <w:rFonts w:ascii="Arial" w:cs="Arial" w:eastAsia="Arial" w:hAnsi="Arial"/>
                <w:sz w:val="18"/>
                <w:szCs w:val="18"/>
                <w:color w:val="0000FF"/>
                <w:w w:val="92"/>
              </w:rPr>
            </w:pPr>
            <w:hyperlink r:id="rId15">
              <w:r>
                <w:rPr>
                  <w:rFonts w:ascii="Arial" w:cs="Arial" w:eastAsia="Arial" w:hAnsi="Arial"/>
                  <w:sz w:val="18"/>
                  <w:szCs w:val="18"/>
                  <w:color w:val="0000FF"/>
                  <w:w w:val="92"/>
                </w:rPr>
                <w:t>Third Amendment to Amended and Restated Certificate of Incorporation of Westwood Holdings Group, Inc. (incorporated by reference</w:t>
              </w:r>
            </w:hyperlink>
          </w:p>
        </w:tc>
      </w:tr>
      <w:tr>
        <w:trPr>
          <w:trHeight w:val="196"/>
        </w:trPr>
        <w:tc>
          <w:tcPr>
            <w:tcW w:w="1520" w:type="dxa"/>
            <w:vAlign w:val="bottom"/>
          </w:tcPr>
          <w:p>
            <w:pPr>
              <w:spacing w:after="0"/>
              <w:rPr>
                <w:sz w:val="17"/>
                <w:szCs w:val="17"/>
                <w:color w:val="auto"/>
              </w:rPr>
            </w:pPr>
          </w:p>
        </w:tc>
        <w:tc>
          <w:tcPr>
            <w:tcW w:w="978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from the Schedule 14A filed with the SEC on March 19, 2019)</w:t>
              </w:r>
            </w:hyperlink>
          </w:p>
        </w:tc>
        <w:tc>
          <w:tcPr>
            <w:tcW w:w="80" w:type="dxa"/>
            <w:vAlign w:val="bottom"/>
            <w:gridSpan w:val="4"/>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3.2</w:t>
            </w:r>
          </w:p>
        </w:tc>
        <w:tc>
          <w:tcPr>
            <w:tcW w:w="9820" w:type="dxa"/>
            <w:vAlign w:val="bottom"/>
            <w:tcBorders>
              <w:bottom w:val="single" w:sz="8" w:color="0000FF"/>
            </w:tcBorders>
            <w:gridSpan w:val="18"/>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Amended and Restated Bylaws of Westwood Holdings Group, Inc. (incorporated by reference from the Form 8-K filed with the SEC on</w:t>
              </w:r>
            </w:hyperlink>
          </w:p>
        </w:tc>
        <w:tc>
          <w:tcPr>
            <w:tcW w:w="40" w:type="dxa"/>
            <w:vAlign w:val="bottom"/>
            <w:gridSpan w:val="2"/>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112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16">
              <w:r>
                <w:rPr>
                  <w:rFonts w:ascii="Arial" w:cs="Arial" w:eastAsia="Arial" w:hAnsi="Arial"/>
                  <w:sz w:val="18"/>
                  <w:szCs w:val="18"/>
                  <w:color w:val="0000FF"/>
                  <w:w w:val="93"/>
                </w:rPr>
                <w:t>April 25, 2012)</w:t>
              </w:r>
            </w:hyperlink>
          </w:p>
        </w:tc>
        <w:tc>
          <w:tcPr>
            <w:tcW w:w="8740" w:type="dxa"/>
            <w:vAlign w:val="bottom"/>
            <w:gridSpan w:val="18"/>
          </w:tcPr>
          <w:p>
            <w:pPr>
              <w:spacing w:after="0"/>
              <w:rPr>
                <w:sz w:val="17"/>
                <w:szCs w:val="17"/>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3.2.1</w:t>
            </w:r>
          </w:p>
        </w:tc>
        <w:tc>
          <w:tcPr>
            <w:tcW w:w="9640" w:type="dxa"/>
            <w:vAlign w:val="bottom"/>
            <w:tcBorders>
              <w:bottom w:val="single" w:sz="8" w:color="0000FF"/>
            </w:tcBorders>
            <w:gridSpan w:val="12"/>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First Amendment to Amended and Restated Bylaws of Westwood Holdings Group, Inc. (incorporated by reference from the Schedule</w:t>
              </w:r>
            </w:hyperlink>
          </w:p>
        </w:tc>
        <w:tc>
          <w:tcPr>
            <w:tcW w:w="220" w:type="dxa"/>
            <w:vAlign w:val="bottom"/>
            <w:gridSpan w:val="8"/>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9860" w:type="dxa"/>
            <w:vAlign w:val="bottom"/>
            <w:gridSpan w:val="20"/>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14A filed with the SEC on March 20, 2017)</w:t>
              </w:r>
            </w:hyperlink>
          </w:p>
        </w:tc>
      </w:tr>
      <w:tr>
        <w:trPr>
          <w:trHeight w:val="20"/>
        </w:trPr>
        <w:tc>
          <w:tcPr>
            <w:tcW w:w="1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3.2.2</w:t>
            </w:r>
          </w:p>
        </w:tc>
        <w:tc>
          <w:tcPr>
            <w:tcW w:w="9840" w:type="dxa"/>
            <w:vAlign w:val="bottom"/>
            <w:tcBorders>
              <w:bottom w:val="single" w:sz="8" w:color="0000FF"/>
            </w:tcBorders>
            <w:gridSpan w:val="19"/>
          </w:tcPr>
          <w:p>
            <w:pPr>
              <w:spacing w:after="0"/>
              <w:rPr>
                <w:rFonts w:ascii="Arial" w:cs="Arial" w:eastAsia="Arial" w:hAnsi="Arial"/>
                <w:sz w:val="18"/>
                <w:szCs w:val="18"/>
                <w:color w:val="0000FF"/>
                <w:w w:val="90"/>
              </w:rPr>
            </w:pPr>
            <w:hyperlink r:id="rId18">
              <w:r>
                <w:rPr>
                  <w:rFonts w:ascii="Arial" w:cs="Arial" w:eastAsia="Arial" w:hAnsi="Arial"/>
                  <w:sz w:val="18"/>
                  <w:szCs w:val="18"/>
                  <w:color w:val="0000FF"/>
                  <w:w w:val="90"/>
                </w:rPr>
                <w:t>Second Amendment to Amended and Restated Bylaws of Westwood Holdings Group, Inc. (incorporated by reference from the Schedule</w:t>
              </w:r>
            </w:hyperlink>
          </w:p>
        </w:tc>
        <w:tc>
          <w:tcPr>
            <w:tcW w:w="20" w:type="dxa"/>
            <w:vAlign w:val="bottom"/>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9860" w:type="dxa"/>
            <w:vAlign w:val="bottom"/>
            <w:gridSpan w:val="20"/>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14A filed with the SEC on March 19, 2019)</w:t>
              </w:r>
            </w:hyperlink>
          </w:p>
        </w:tc>
      </w:tr>
      <w:tr>
        <w:trPr>
          <w:trHeight w:val="20"/>
        </w:trPr>
        <w:tc>
          <w:tcPr>
            <w:tcW w:w="1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10.1</w:t>
            </w:r>
          </w:p>
        </w:tc>
        <w:tc>
          <w:tcPr>
            <w:tcW w:w="9680" w:type="dxa"/>
            <w:vAlign w:val="bottom"/>
            <w:tcBorders>
              <w:bottom w:val="single" w:sz="8" w:color="0000FF"/>
            </w:tcBorders>
            <w:gridSpan w:val="13"/>
          </w:tcPr>
          <w:p>
            <w:pPr>
              <w:spacing w:after="0"/>
              <w:rPr>
                <w:rFonts w:ascii="Arial" w:cs="Arial" w:eastAsia="Arial" w:hAnsi="Arial"/>
                <w:sz w:val="18"/>
                <w:szCs w:val="18"/>
                <w:color w:val="0000FF"/>
                <w:w w:val="90"/>
              </w:rPr>
            </w:pPr>
            <w:hyperlink r:id="rId19">
              <w:r>
                <w:rPr>
                  <w:rFonts w:ascii="Arial" w:cs="Arial" w:eastAsia="Arial" w:hAnsi="Arial"/>
                  <w:sz w:val="18"/>
                  <w:szCs w:val="18"/>
                  <w:color w:val="0000FF"/>
                  <w:w w:val="90"/>
                </w:rPr>
                <w:t>Sixth Amended and Restated Westwood Holdings Group, Inc. Stock Incentive Plan (incorporated by reference from the Schedule 14A</w:t>
              </w:r>
            </w:hyperlink>
          </w:p>
        </w:tc>
        <w:tc>
          <w:tcPr>
            <w:tcW w:w="180" w:type="dxa"/>
            <w:vAlign w:val="bottom"/>
            <w:gridSpan w:val="7"/>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282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19">
              <w:r>
                <w:rPr>
                  <w:rFonts w:ascii="Arial" w:cs="Arial" w:eastAsia="Arial" w:hAnsi="Arial"/>
                  <w:sz w:val="18"/>
                  <w:szCs w:val="18"/>
                  <w:color w:val="0000FF"/>
                  <w:w w:val="92"/>
                </w:rPr>
                <w:t>filed with the SEC on March 19, 2019)</w:t>
              </w:r>
            </w:hyperlink>
          </w:p>
        </w:tc>
        <w:tc>
          <w:tcPr>
            <w:tcW w:w="7040" w:type="dxa"/>
            <w:vAlign w:val="bottom"/>
            <w:gridSpan w:val="17"/>
          </w:tcPr>
          <w:p>
            <w:pPr>
              <w:spacing w:after="0"/>
              <w:rPr>
                <w:sz w:val="17"/>
                <w:szCs w:val="17"/>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31.1*</w:t>
            </w:r>
          </w:p>
        </w:tc>
        <w:tc>
          <w:tcPr>
            <w:tcW w:w="668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Certification of Chief Executive Officer Pursuant to Securities Exchange Act Rule 13a-14(a)</w:t>
              </w:r>
            </w:hyperlink>
          </w:p>
        </w:tc>
        <w:tc>
          <w:tcPr>
            <w:tcW w:w="3180" w:type="dxa"/>
            <w:vAlign w:val="bottom"/>
            <w:gridSpan w:val="10"/>
          </w:tcPr>
          <w:p>
            <w:pPr>
              <w:spacing w:after="0"/>
              <w:rPr>
                <w:sz w:val="24"/>
                <w:szCs w:val="24"/>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31.2*</w:t>
            </w:r>
          </w:p>
        </w:tc>
        <w:tc>
          <w:tcPr>
            <w:tcW w:w="664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Certification of Chief Financial Officer Pursuant to Securities Exchange Act Rule 13a-14(a)</w:t>
              </w:r>
            </w:hyperlink>
          </w:p>
        </w:tc>
        <w:tc>
          <w:tcPr>
            <w:tcW w:w="3220" w:type="dxa"/>
            <w:vAlign w:val="bottom"/>
            <w:gridSpan w:val="11"/>
          </w:tcPr>
          <w:p>
            <w:pPr>
              <w:spacing w:after="0"/>
              <w:rPr>
                <w:sz w:val="24"/>
                <w:szCs w:val="24"/>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32.1**</w:t>
            </w:r>
          </w:p>
        </w:tc>
        <w:tc>
          <w:tcPr>
            <w:tcW w:w="9860" w:type="dxa"/>
            <w:vAlign w:val="bottom"/>
            <w:gridSpan w:val="20"/>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Certification of Chief Executive Officer Pursuant to 18 U.S.C. Section 1350, as Adopted Pursuant to Section 906 of the Sarbanes-Oxley</w:t>
              </w:r>
            </w:hyperlink>
          </w:p>
        </w:tc>
      </w:tr>
      <w:tr>
        <w:trPr>
          <w:trHeight w:val="196"/>
        </w:trPr>
        <w:tc>
          <w:tcPr>
            <w:tcW w:w="1520" w:type="dxa"/>
            <w:vAlign w:val="bottom"/>
          </w:tcPr>
          <w:p>
            <w:pPr>
              <w:spacing w:after="0"/>
              <w:rPr>
                <w:sz w:val="17"/>
                <w:szCs w:val="17"/>
                <w:color w:val="auto"/>
              </w:rPr>
            </w:pPr>
          </w:p>
        </w:tc>
        <w:tc>
          <w:tcPr>
            <w:tcW w:w="980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w:anchor="page39">
              <w:r>
                <w:rPr>
                  <w:rFonts w:ascii="Arial" w:cs="Arial" w:eastAsia="Arial" w:hAnsi="Arial"/>
                  <w:sz w:val="18"/>
                  <w:szCs w:val="18"/>
                  <w:color w:val="0000FF"/>
                </w:rPr>
                <w:t>Act of 2002</w:t>
              </w:r>
            </w:hyperlink>
          </w:p>
        </w:tc>
        <w:tc>
          <w:tcPr>
            <w:tcW w:w="60" w:type="dxa"/>
            <w:vAlign w:val="bottom"/>
            <w:gridSpan w:val="3"/>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900" w:type="dxa"/>
            <w:vAlign w:val="bottom"/>
            <w:gridSpan w:val="1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32.2**</w:t>
            </w:r>
          </w:p>
        </w:tc>
        <w:tc>
          <w:tcPr>
            <w:tcW w:w="9760" w:type="dxa"/>
            <w:vAlign w:val="bottom"/>
            <w:tcBorders>
              <w:bottom w:val="single" w:sz="8" w:color="0000FF"/>
            </w:tcBorders>
            <w:gridSpan w:val="15"/>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Certification of Chief Financial Officer Pursuant to 18 U.S.C. Section 1350, as Adopted Pursuant to Section 906 of the Sarbanes-Oxley</w:t>
              </w:r>
            </w:hyperlink>
          </w:p>
        </w:tc>
        <w:tc>
          <w:tcPr>
            <w:tcW w:w="100" w:type="dxa"/>
            <w:vAlign w:val="bottom"/>
            <w:gridSpan w:val="5"/>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9860" w:type="dxa"/>
            <w:vAlign w:val="bottom"/>
            <w:gridSpan w:val="20"/>
          </w:tcPr>
          <w:p>
            <w:pPr>
              <w:spacing w:after="0" w:line="196" w:lineRule="exact"/>
              <w:rPr>
                <w:rFonts w:ascii="Arial" w:cs="Arial" w:eastAsia="Arial" w:hAnsi="Arial"/>
                <w:sz w:val="18"/>
                <w:szCs w:val="18"/>
                <w:color w:val="0000FF"/>
              </w:rPr>
            </w:pPr>
            <w:hyperlink w:anchor="page40">
              <w:r>
                <w:rPr>
                  <w:rFonts w:ascii="Arial" w:cs="Arial" w:eastAsia="Arial" w:hAnsi="Arial"/>
                  <w:sz w:val="18"/>
                  <w:szCs w:val="18"/>
                  <w:color w:val="0000FF"/>
                </w:rPr>
                <w:t>Act of 2002</w:t>
              </w:r>
            </w:hyperlink>
          </w:p>
        </w:tc>
      </w:tr>
      <w:tr>
        <w:trPr>
          <w:trHeight w:val="20"/>
        </w:trPr>
        <w:tc>
          <w:tcPr>
            <w:tcW w:w="1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000" w:type="dxa"/>
            <w:vAlign w:val="bottom"/>
            <w:gridSpan w:val="19"/>
          </w:tcPr>
          <w:p>
            <w:pPr>
              <w:spacing w:after="0" w:line="20" w:lineRule="exact"/>
              <w:rPr>
                <w:sz w:val="1"/>
                <w:szCs w:val="1"/>
                <w:color w:val="auto"/>
              </w:rPr>
            </w:pPr>
          </w:p>
        </w:tc>
      </w:tr>
      <w:tr>
        <w:trPr>
          <w:trHeight w:val="574"/>
        </w:trPr>
        <w:tc>
          <w:tcPr>
            <w:tcW w:w="1520" w:type="dxa"/>
            <w:vAlign w:val="bottom"/>
          </w:tcPr>
          <w:p>
            <w:pPr>
              <w:ind w:left="40"/>
              <w:spacing w:after="0"/>
              <w:rPr>
                <w:sz w:val="20"/>
                <w:szCs w:val="20"/>
                <w:color w:val="auto"/>
              </w:rPr>
            </w:pPr>
            <w:r>
              <w:rPr>
                <w:rFonts w:ascii="Arial" w:cs="Arial" w:eastAsia="Arial" w:hAnsi="Arial"/>
                <w:sz w:val="18"/>
                <w:szCs w:val="18"/>
                <w:color w:val="auto"/>
              </w:rPr>
              <w:t>101.INS*</w:t>
            </w:r>
          </w:p>
        </w:tc>
        <w:tc>
          <w:tcPr>
            <w:tcW w:w="9860" w:type="dxa"/>
            <w:vAlign w:val="bottom"/>
            <w:gridSpan w:val="20"/>
          </w:tcPr>
          <w:p>
            <w:pPr>
              <w:spacing w:after="0"/>
              <w:rPr>
                <w:sz w:val="20"/>
                <w:szCs w:val="20"/>
                <w:color w:val="auto"/>
              </w:rPr>
            </w:pPr>
            <w:r>
              <w:rPr>
                <w:rFonts w:ascii="Arial" w:cs="Arial" w:eastAsia="Arial" w:hAnsi="Arial"/>
                <w:sz w:val="18"/>
                <w:szCs w:val="18"/>
                <w:color w:val="auto"/>
              </w:rPr>
              <w:t>XBRL Instance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101.SCH*</w:t>
            </w:r>
          </w:p>
        </w:tc>
        <w:tc>
          <w:tcPr>
            <w:tcW w:w="986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101.CAL*</w:t>
            </w:r>
          </w:p>
        </w:tc>
        <w:tc>
          <w:tcPr>
            <w:tcW w:w="986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101.DEF*</w:t>
            </w:r>
          </w:p>
        </w:tc>
        <w:tc>
          <w:tcPr>
            <w:tcW w:w="986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101.LAB*</w:t>
            </w:r>
          </w:p>
        </w:tc>
        <w:tc>
          <w:tcPr>
            <w:tcW w:w="986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101.PRE*</w:t>
            </w:r>
          </w:p>
        </w:tc>
        <w:tc>
          <w:tcPr>
            <w:tcW w:w="986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6" w:lineRule="exact"/>
        <w:rPr>
          <w:sz w:val="20"/>
          <w:szCs w:val="20"/>
          <w:color w:val="auto"/>
        </w:rPr>
      </w:pPr>
    </w:p>
    <w:p>
      <w:pPr>
        <w:ind w:left="820" w:hanging="81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820" w:hanging="81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ectPr>
          <w:pgSz w:w="11900" w:h="16838" w:orient="portrait"/>
          <w:cols w:equalWidth="0" w:num="1">
            <w:col w:w="11380"/>
          </w:cols>
          <w:pgMar w:left="240" w:top="364" w:right="27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380"/>
          </w:cols>
          <w:pgMar w:left="240" w:top="364" w:right="279" w:bottom="1440" w:gutter="0" w:footer="0" w:header="0"/>
          <w:type w:val="continuous"/>
        </w:sectPr>
      </w:pPr>
    </w:p>
    <w:bookmarkStart w:id="35" w:name="page36"/>
    <w:bookmarkEnd w:id="35"/>
    <w:p>
      <w:pPr>
        <w:jc w:val="center"/>
        <w:ind w:right="-6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Dated:</w:t>
            </w:r>
          </w:p>
        </w:tc>
        <w:tc>
          <w:tcPr>
            <w:tcW w:w="2980" w:type="dxa"/>
            <w:vAlign w:val="bottom"/>
          </w:tcPr>
          <w:p>
            <w:pPr>
              <w:ind w:left="180"/>
              <w:spacing w:after="0"/>
              <w:rPr>
                <w:sz w:val="20"/>
                <w:szCs w:val="20"/>
                <w:color w:val="auto"/>
              </w:rPr>
            </w:pPr>
            <w:r>
              <w:rPr>
                <w:rFonts w:ascii="Arial" w:cs="Arial" w:eastAsia="Arial" w:hAnsi="Arial"/>
                <w:sz w:val="18"/>
                <w:szCs w:val="18"/>
                <w:color w:val="auto"/>
              </w:rPr>
              <w:t>July 31, 2019</w:t>
            </w:r>
          </w:p>
        </w:tc>
        <w:tc>
          <w:tcPr>
            <w:tcW w:w="6640" w:type="dxa"/>
            <w:vAlign w:val="bottom"/>
            <w:gridSpan w:val="2"/>
          </w:tcPr>
          <w:p>
            <w:pPr>
              <w:ind w:left="1820"/>
              <w:spacing w:after="0"/>
              <w:rPr>
                <w:sz w:val="20"/>
                <w:szCs w:val="20"/>
                <w:color w:val="auto"/>
              </w:rPr>
            </w:pPr>
            <w:r>
              <w:rPr>
                <w:rFonts w:ascii="Arial" w:cs="Arial" w:eastAsia="Arial" w:hAnsi="Arial"/>
                <w:sz w:val="18"/>
                <w:szCs w:val="18"/>
                <w:color w:val="auto"/>
              </w:rPr>
              <w:t>WESTWOOD HOLDINGS GROUP, INC.</w:t>
            </w:r>
          </w:p>
        </w:tc>
      </w:tr>
      <w:tr>
        <w:trPr>
          <w:trHeight w:val="567"/>
        </w:trPr>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20" w:type="dxa"/>
            <w:vAlign w:val="bottom"/>
          </w:tcPr>
          <w:p>
            <w:pPr>
              <w:ind w:left="1820"/>
              <w:spacing w:after="0"/>
              <w:rPr>
                <w:sz w:val="20"/>
                <w:szCs w:val="20"/>
                <w:color w:val="auto"/>
              </w:rPr>
            </w:pPr>
            <w:r>
              <w:rPr>
                <w:rFonts w:ascii="Arial" w:cs="Arial" w:eastAsia="Arial" w:hAnsi="Arial"/>
                <w:sz w:val="18"/>
                <w:szCs w:val="18"/>
                <w:color w:val="auto"/>
              </w:rPr>
              <w:t>By:</w:t>
            </w:r>
          </w:p>
        </w:tc>
        <w:tc>
          <w:tcPr>
            <w:tcW w:w="4220" w:type="dxa"/>
            <w:vAlign w:val="bottom"/>
          </w:tcPr>
          <w:p>
            <w:pPr>
              <w:ind w:left="20"/>
              <w:spacing w:after="0"/>
              <w:rPr>
                <w:sz w:val="20"/>
                <w:szCs w:val="20"/>
                <w:color w:val="auto"/>
              </w:rPr>
            </w:pPr>
            <w:r>
              <w:rPr>
                <w:rFonts w:ascii="Arial" w:cs="Arial" w:eastAsia="Arial" w:hAnsi="Arial"/>
                <w:sz w:val="18"/>
                <w:szCs w:val="18"/>
                <w:color w:val="auto"/>
              </w:rPr>
              <w:t>/s/ Brian O. Casey</w:t>
            </w:r>
          </w:p>
        </w:tc>
      </w:tr>
      <w:tr>
        <w:trPr>
          <w:trHeight w:val="27"/>
        </w:trPr>
        <w:tc>
          <w:tcPr>
            <w:tcW w:w="6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Brian O. Casey</w:t>
            </w:r>
          </w:p>
        </w:tc>
      </w:tr>
      <w:tr>
        <w:trPr>
          <w:trHeight w:val="270"/>
        </w:trPr>
        <w:tc>
          <w:tcPr>
            <w:tcW w:w="6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40"/>
        </w:trPr>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20" w:type="dxa"/>
            <w:vAlign w:val="bottom"/>
          </w:tcPr>
          <w:p>
            <w:pPr>
              <w:ind w:left="1820"/>
              <w:spacing w:after="0"/>
              <w:rPr>
                <w:sz w:val="20"/>
                <w:szCs w:val="20"/>
                <w:color w:val="auto"/>
              </w:rPr>
            </w:pPr>
            <w:r>
              <w:rPr>
                <w:rFonts w:ascii="Arial" w:cs="Arial" w:eastAsia="Arial" w:hAnsi="Arial"/>
                <w:sz w:val="18"/>
                <w:szCs w:val="18"/>
                <w:color w:val="auto"/>
              </w:rPr>
              <w:t>By:</w:t>
            </w:r>
          </w:p>
        </w:tc>
        <w:tc>
          <w:tcPr>
            <w:tcW w:w="4220" w:type="dxa"/>
            <w:vAlign w:val="bottom"/>
          </w:tcPr>
          <w:p>
            <w:pPr>
              <w:ind w:left="20"/>
              <w:spacing w:after="0"/>
              <w:rPr>
                <w:sz w:val="20"/>
                <w:szCs w:val="20"/>
                <w:color w:val="auto"/>
              </w:rPr>
            </w:pPr>
            <w:r>
              <w:rPr>
                <w:rFonts w:ascii="Arial" w:cs="Arial" w:eastAsia="Arial" w:hAnsi="Arial"/>
                <w:sz w:val="18"/>
                <w:szCs w:val="18"/>
                <w:color w:val="auto"/>
              </w:rPr>
              <w:t>/s/ Murray Forbes III</w:t>
            </w:r>
          </w:p>
        </w:tc>
      </w:tr>
      <w:tr>
        <w:trPr>
          <w:trHeight w:val="27"/>
        </w:trPr>
        <w:tc>
          <w:tcPr>
            <w:tcW w:w="6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Murray Forbes III</w:t>
            </w:r>
          </w:p>
        </w:tc>
      </w:tr>
      <w:tr>
        <w:trPr>
          <w:trHeight w:val="270"/>
        </w:trPr>
        <w:tc>
          <w:tcPr>
            <w:tcW w:w="6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486"/>
        </w:trPr>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20" w:type="dxa"/>
            <w:vAlign w:val="bottom"/>
          </w:tcPr>
          <w:p>
            <w:pPr>
              <w:jc w:val="right"/>
              <w:ind w:right="210"/>
              <w:spacing w:after="0"/>
              <w:rPr>
                <w:sz w:val="20"/>
                <w:szCs w:val="20"/>
                <w:color w:val="auto"/>
              </w:rPr>
            </w:pPr>
            <w:r>
              <w:rPr>
                <w:rFonts w:ascii="Arial" w:cs="Arial" w:eastAsia="Arial" w:hAnsi="Arial"/>
                <w:sz w:val="18"/>
                <w:szCs w:val="18"/>
                <w:color w:val="auto"/>
              </w:rPr>
              <w:t>34</w:t>
            </w:r>
          </w:p>
        </w:tc>
        <w:tc>
          <w:tcPr>
            <w:tcW w:w="4220" w:type="dxa"/>
            <w:vAlign w:val="bottom"/>
          </w:tcPr>
          <w:p>
            <w:pPr>
              <w:spacing w:after="0"/>
              <w:rPr>
                <w:sz w:val="24"/>
                <w:szCs w:val="24"/>
                <w:color w:val="auto"/>
              </w:rPr>
            </w:pPr>
          </w:p>
        </w:tc>
      </w:tr>
    </w:tbl>
    <w:p>
      <w:pPr>
        <w:sectPr>
          <w:pgSz w:w="11900" w:h="16838" w:orient="portrait"/>
          <w:cols w:equalWidth="0" w:num="1">
            <w:col w:w="10780"/>
          </w:cols>
          <w:pgMar w:left="240" w:top="368" w:right="87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O. Casey, certify that:</w:t>
      </w:r>
    </w:p>
    <w:p>
      <w:pPr>
        <w:spacing w:after="0" w:line="252" w:lineRule="exact"/>
        <w:rPr>
          <w:sz w:val="20"/>
          <w:szCs w:val="20"/>
          <w:color w:val="auto"/>
        </w:rPr>
      </w:pPr>
    </w:p>
    <w:p>
      <w:pPr>
        <w:ind w:left="1260" w:hanging="1225"/>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report on Form 10-Q of Westwood Holdings Group, Inc.;</w:t>
      </w:r>
    </w:p>
    <w:p>
      <w:pPr>
        <w:spacing w:after="0" w:line="279" w:lineRule="exact"/>
        <w:rPr>
          <w:rFonts w:ascii="Arial" w:cs="Arial" w:eastAsia="Arial" w:hAnsi="Arial"/>
          <w:sz w:val="18"/>
          <w:szCs w:val="18"/>
          <w:color w:val="auto"/>
        </w:rPr>
      </w:pPr>
    </w:p>
    <w:p>
      <w:pPr>
        <w:ind w:left="1260" w:right="480" w:hanging="1225"/>
        <w:spacing w:after="0" w:line="264"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1260" w:right="560" w:hanging="1225"/>
        <w:spacing w:after="0" w:line="264"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5" w:lineRule="exact"/>
        <w:rPr>
          <w:rFonts w:ascii="Arial" w:cs="Arial" w:eastAsia="Arial" w:hAnsi="Arial"/>
          <w:sz w:val="18"/>
          <w:szCs w:val="18"/>
          <w:color w:val="auto"/>
        </w:rPr>
      </w:pPr>
    </w:p>
    <w:p>
      <w:pPr>
        <w:ind w:left="1260" w:right="520" w:hanging="1225"/>
        <w:spacing w:after="0" w:line="264"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980" w:right="160" w:firstLine="500"/>
        <w:spacing w:after="0" w:line="264" w:lineRule="auto"/>
        <w:tabs>
          <w:tab w:leader="none" w:pos="173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260" w:firstLine="500"/>
        <w:spacing w:after="0" w:line="342" w:lineRule="auto"/>
        <w:tabs>
          <w:tab w:leader="none" w:pos="1724"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0" w:firstLine="500"/>
        <w:spacing w:after="0" w:line="264" w:lineRule="auto"/>
        <w:tabs>
          <w:tab w:leader="none" w:pos="173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1260" w:right="600" w:hanging="1225"/>
        <w:spacing w:after="0" w:line="264"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Arial" w:cs="Arial" w:eastAsia="Arial" w:hAnsi="Arial"/>
          <w:sz w:val="18"/>
          <w:szCs w:val="18"/>
          <w:color w:val="auto"/>
        </w:rPr>
      </w:pPr>
    </w:p>
    <w:p>
      <w:pPr>
        <w:ind w:left="980" w:right="200" w:firstLine="500"/>
        <w:spacing w:after="0" w:line="308" w:lineRule="auto"/>
        <w:tabs>
          <w:tab w:leader="none" w:pos="1724"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480" w:firstLine="500"/>
        <w:spacing w:after="0" w:line="277" w:lineRule="auto"/>
        <w:tabs>
          <w:tab w:leader="none" w:pos="173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2019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31750</wp:posOffset>
            </wp:positionV>
            <wp:extent cx="21437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420"/>
          </w:cols>
          <w:pgMar w:left="240" w:top="36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Murray Forbes III, certify that:</w:t>
      </w:r>
    </w:p>
    <w:p>
      <w:pPr>
        <w:spacing w:after="0" w:line="252" w:lineRule="exact"/>
        <w:rPr>
          <w:sz w:val="20"/>
          <w:szCs w:val="20"/>
          <w:color w:val="auto"/>
        </w:rPr>
      </w:pPr>
    </w:p>
    <w:p>
      <w:pPr>
        <w:ind w:left="1300" w:hanging="126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Westwood Holdings Group, Inc.;</w:t>
      </w:r>
    </w:p>
    <w:p>
      <w:pPr>
        <w:spacing w:after="0" w:line="279" w:lineRule="exact"/>
        <w:rPr>
          <w:rFonts w:ascii="Arial" w:cs="Arial" w:eastAsia="Arial" w:hAnsi="Arial"/>
          <w:sz w:val="18"/>
          <w:szCs w:val="18"/>
          <w:color w:val="auto"/>
        </w:rPr>
      </w:pPr>
    </w:p>
    <w:p>
      <w:pPr>
        <w:ind w:left="1300" w:right="120" w:hanging="1265"/>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1300" w:right="420" w:hanging="1265"/>
        <w:spacing w:after="0" w:line="342"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Arial" w:cs="Arial" w:eastAsia="Arial" w:hAnsi="Arial"/>
          <w:sz w:val="16"/>
          <w:szCs w:val="16"/>
          <w:color w:val="auto"/>
        </w:rPr>
      </w:pPr>
    </w:p>
    <w:p>
      <w:pPr>
        <w:ind w:left="1300" w:right="280" w:hanging="1265"/>
        <w:spacing w:after="0" w:line="291"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29" w:lineRule="exact"/>
        <w:rPr>
          <w:rFonts w:ascii="Arial" w:cs="Arial" w:eastAsia="Arial" w:hAnsi="Arial"/>
          <w:sz w:val="16"/>
          <w:szCs w:val="16"/>
          <w:color w:val="auto"/>
        </w:rPr>
      </w:pPr>
    </w:p>
    <w:p>
      <w:pPr>
        <w:ind w:left="980" w:right="160" w:firstLine="500"/>
        <w:spacing w:after="0" w:line="264" w:lineRule="auto"/>
        <w:tabs>
          <w:tab w:leader="none" w:pos="17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260" w:firstLine="500"/>
        <w:spacing w:after="0" w:line="342" w:lineRule="auto"/>
        <w:tabs>
          <w:tab w:leader="none" w:pos="1724"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0" w:firstLine="500"/>
        <w:spacing w:after="0" w:line="264" w:lineRule="auto"/>
        <w:tabs>
          <w:tab w:leader="none" w:pos="17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1300" w:right="340" w:hanging="1265"/>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Arial" w:cs="Arial" w:eastAsia="Arial" w:hAnsi="Arial"/>
          <w:sz w:val="18"/>
          <w:szCs w:val="18"/>
          <w:color w:val="auto"/>
        </w:rPr>
      </w:pPr>
    </w:p>
    <w:p>
      <w:pPr>
        <w:ind w:left="980" w:right="200" w:firstLine="500"/>
        <w:spacing w:after="0" w:line="308" w:lineRule="auto"/>
        <w:tabs>
          <w:tab w:leader="none" w:pos="1724"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480" w:firstLine="500"/>
        <w:spacing w:after="0" w:line="277" w:lineRule="auto"/>
        <w:tabs>
          <w:tab w:leader="none" w:pos="17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2019</w:t>
      </w:r>
    </w:p>
    <w:p>
      <w:pPr>
        <w:spacing w:after="0" w:line="200" w:lineRule="exact"/>
        <w:rPr>
          <w:sz w:val="20"/>
          <w:szCs w:val="20"/>
          <w:color w:val="auto"/>
        </w:rPr>
      </w:pPr>
    </w:p>
    <w:p>
      <w:pPr>
        <w:spacing w:after="0" w:line="228"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31750</wp:posOffset>
            </wp:positionV>
            <wp:extent cx="25641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5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Murray Forbes III</w:t>
      </w:r>
    </w:p>
    <w:p>
      <w:pPr>
        <w:spacing w:after="0" w:line="6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36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connection with the Quarterly Report of Westwood Holdings Group, Inc. (the “Company”) on Form 10-Q for the period ended June 30, 2019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57" w:lineRule="exact"/>
        <w:rPr>
          <w:sz w:val="20"/>
          <w:szCs w:val="20"/>
          <w:color w:val="auto"/>
        </w:rPr>
      </w:pPr>
    </w:p>
    <w:p>
      <w:pPr>
        <w:ind w:left="760" w:hanging="252"/>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U.S.C.78m or 78o(d)); and</w:t>
      </w:r>
    </w:p>
    <w:p>
      <w:pPr>
        <w:spacing w:after="0" w:line="140" w:lineRule="exact"/>
        <w:rPr>
          <w:rFonts w:ascii="Arial" w:cs="Arial" w:eastAsia="Arial" w:hAnsi="Arial"/>
          <w:sz w:val="16"/>
          <w:szCs w:val="16"/>
          <w:color w:val="auto"/>
        </w:rPr>
      </w:pPr>
    </w:p>
    <w:p>
      <w:pPr>
        <w:ind w:left="760" w:hanging="252"/>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July 31, 2019</w:t>
      </w:r>
    </w:p>
    <w:p>
      <w:pPr>
        <w:spacing w:after="0" w:line="200" w:lineRule="exact"/>
        <w:rPr>
          <w:sz w:val="20"/>
          <w:szCs w:val="20"/>
          <w:color w:val="auto"/>
        </w:rPr>
      </w:pPr>
    </w:p>
    <w:p>
      <w:pPr>
        <w:spacing w:after="0" w:line="228"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31750</wp:posOffset>
            </wp:positionV>
            <wp:extent cx="24872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5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President &amp; Chief Executive Officer</w:t>
      </w:r>
    </w:p>
    <w:p>
      <w:pPr>
        <w:spacing w:after="0" w:line="252" w:lineRule="exact"/>
        <w:rPr>
          <w:sz w:val="20"/>
          <w:szCs w:val="20"/>
          <w:color w:val="auto"/>
        </w:rPr>
      </w:pPr>
    </w:p>
    <w:p>
      <w:pPr>
        <w:jc w:val="both"/>
        <w:ind w:right="460" w:firstLine="500"/>
        <w:spacing w:after="0" w:line="312"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36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connection with the Quarterly Report of Westwood Holdings Group, Inc. (the “Company”) on Form 10-Q for the period ended June 30, 2019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57" w:lineRule="exact"/>
        <w:rPr>
          <w:sz w:val="20"/>
          <w:szCs w:val="20"/>
          <w:color w:val="auto"/>
        </w:rPr>
      </w:pPr>
    </w:p>
    <w:p>
      <w:pPr>
        <w:ind w:left="760" w:hanging="252"/>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(15U.S.C. 78m or 78o(d)); and</w:t>
      </w:r>
    </w:p>
    <w:p>
      <w:pPr>
        <w:spacing w:after="0" w:line="140" w:lineRule="exact"/>
        <w:rPr>
          <w:rFonts w:ascii="Arial" w:cs="Arial" w:eastAsia="Arial" w:hAnsi="Arial"/>
          <w:sz w:val="16"/>
          <w:szCs w:val="16"/>
          <w:color w:val="auto"/>
        </w:rPr>
      </w:pPr>
    </w:p>
    <w:p>
      <w:pPr>
        <w:ind w:left="760" w:hanging="252"/>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July 31, 2019</w:t>
      </w:r>
    </w:p>
    <w:p>
      <w:pPr>
        <w:spacing w:after="0" w:line="200" w:lineRule="exact"/>
        <w:rPr>
          <w:sz w:val="20"/>
          <w:szCs w:val="20"/>
          <w:color w:val="auto"/>
        </w:rPr>
      </w:pPr>
    </w:p>
    <w:p>
      <w:pPr>
        <w:spacing w:after="0" w:line="228"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Murray Forbes III</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 and Treasurer</w:t>
      </w:r>
    </w:p>
    <w:p>
      <w:pPr>
        <w:spacing w:after="0" w:line="252" w:lineRule="exact"/>
        <w:rPr>
          <w:sz w:val="20"/>
          <w:szCs w:val="20"/>
          <w:color w:val="auto"/>
        </w:rPr>
      </w:pPr>
    </w:p>
    <w:p>
      <w:pPr>
        <w:jc w:val="both"/>
        <w:ind w:right="460" w:firstLine="500"/>
        <w:spacing w:after="0" w:line="312"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lvl w:ilvl="1">
      <w:lvlJc w:val="left"/>
      <w:lvlText w:val="(%2)"/>
      <w:numFmt w:val="decimal"/>
      <w:start w:val="1"/>
    </w:lvl>
  </w:abstractNum>
  <w:abstractNum w:abstractNumId="4">
    <w:nsid w:val="1F16E9E8"/>
    <w:multiLevelType w:val="hybridMultilevel"/>
    <w:lvl w:ilvl="0">
      <w:lvlJc w:val="left"/>
      <w:lvlText w:val="%1."/>
      <w:numFmt w:val="decimal"/>
      <w:start w:val="6"/>
    </w:lvl>
    <w:lvl w:ilvl="1">
      <w:lvlJc w:val="left"/>
      <w:lvlText w:val="%2"/>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lvl w:ilvl="1">
      <w:lvlJc w:val="left"/>
      <w:lvlText w:val="(%2)"/>
      <w:numFmt w:val="lowerLetter"/>
      <w:start w:val="2"/>
    </w:lvl>
  </w:abstractNum>
  <w:abstractNum w:abstractNumId="12">
    <w:nsid w:val="1BEFD79F"/>
    <w:multiLevelType w:val="hybridMultilevel"/>
    <w:lvl w:ilvl="0">
      <w:lvlJc w:val="left"/>
      <w:lvlText w:val="%1"/>
      <w:numFmt w:val="decimal"/>
      <w:start w:val="1"/>
    </w:lvl>
    <w:lvl w:ilvl="1">
      <w:lvlJc w:val="left"/>
      <w:lvlText w:val="(%2)"/>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2"/>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12" Type="http://schemas.openxmlformats.org/officeDocument/2006/relationships/hyperlink" Target="http://www.sec.gov/Archives/edgar/data/1165002/000093066102001393/dex31.txt" TargetMode="External"/><Relationship Id="rId13" Type="http://schemas.openxmlformats.org/officeDocument/2006/relationships/hyperlink" Target="http://www.sec.gov/Archives/edgar/data/1165002/000115752308003859/a5679024ex3_1.txt" TargetMode="External"/><Relationship Id="rId14" Type="http://schemas.openxmlformats.org/officeDocument/2006/relationships/hyperlink" Target="http://www.sec.gov/Archives/edgar/data/1165002/000116500217000037/definitiveproxy2017.htm#s8807AF33911FBA994060DCAA60BCE789" TargetMode="External"/><Relationship Id="rId15" Type="http://schemas.openxmlformats.org/officeDocument/2006/relationships/hyperlink" Target="http://www.sec.gov/Archives/edgar/data/1165002/000116500219000029/proxy2019.htm#sC3ED34905610592F842268C3E8F763CF" TargetMode="External"/><Relationship Id="rId16" Type="http://schemas.openxmlformats.org/officeDocument/2006/relationships/hyperlink" Target="http://www.sec.gov/Archives/edgar/data/1165002/000119312512182024/d339295dex31.htm" TargetMode="External"/><Relationship Id="rId17" Type="http://schemas.openxmlformats.org/officeDocument/2006/relationships/hyperlink" Target="http://www.sec.gov/Archives/edgar/data/1165002/000116500217000037/definitiveproxy2017.htm#sE4CE5208F82D13538AB5DCAA60DD1A34" TargetMode="External"/><Relationship Id="rId18" Type="http://schemas.openxmlformats.org/officeDocument/2006/relationships/hyperlink" Target="http://www.sec.gov/Archives/edgar/data/1165002/000116500219000029/proxy2019.htm#s44513A9C1EBF5C10B8D9E073452F008F" TargetMode="External"/><Relationship Id="rId19" Type="http://schemas.openxmlformats.org/officeDocument/2006/relationships/hyperlink" Target="http://www.sec.gov/Archives/edgar/data/1165002/000116500219000029/proxy2019.htm#s328051AC6D205635B6685AF15C1C52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2019-12-28T08:58:23Z</dcterms:created>
  <dcterms:modified xsi:type="dcterms:W3CDTF">2019-12-28T08:58:23Z</dcterms:modified>
</cp:coreProperties>
</file>