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 w:lineRule="exact"/>
        <w:rPr>
          <w:sz w:val="24"/>
          <w:szCs w:val="24"/>
          <w:color w:val="auto"/>
        </w:rPr>
      </w:pPr>
    </w:p>
    <w:p>
      <w:pPr>
        <w:ind w:left="40"/>
        <w:spacing w:after="0" w:line="161" w:lineRule="exact"/>
        <w:tabs>
          <w:tab w:leader="none" w:pos="258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31" w:lineRule="exact"/>
        <w:rPr>
          <w:sz w:val="24"/>
          <w:szCs w:val="24"/>
          <w:color w:val="auto"/>
        </w:rPr>
      </w:pPr>
    </w:p>
    <w:p>
      <w:pPr>
        <w:ind w:left="520" w:hanging="45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49" w:lineRule="exact"/>
        <w:rPr>
          <w:rFonts w:ascii="MS PGothic" w:cs="MS PGothic" w:eastAsia="MS PGothic" w:hAnsi="MS PGothic"/>
          <w:sz w:val="14"/>
          <w:szCs w:val="14"/>
          <w:color w:val="auto"/>
        </w:rPr>
      </w:pPr>
    </w:p>
    <w:p>
      <w:pPr>
        <w:ind w:left="520" w:hanging="45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63" w:lineRule="exact"/>
        <w:rPr>
          <w:sz w:val="24"/>
          <w:szCs w:val="24"/>
          <w:color w:val="auto"/>
        </w:rPr>
      </w:pPr>
    </w:p>
    <w:p>
      <w:pPr>
        <w:ind w:left="520" w:hanging="453"/>
        <w:spacing w:after="0"/>
        <w:tabs>
          <w:tab w:leader="none" w:pos="52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Proxy Statement</w:t>
      </w:r>
    </w:p>
    <w:p>
      <w:pPr>
        <w:spacing w:after="0" w:line="156" w:lineRule="exact"/>
        <w:rPr>
          <w:sz w:val="24"/>
          <w:szCs w:val="24"/>
          <w:color w:val="auto"/>
        </w:rPr>
      </w:pPr>
    </w:p>
    <w:p>
      <w:pPr>
        <w:ind w:left="520" w:hanging="453"/>
        <w:spacing w:after="0"/>
        <w:tabs>
          <w:tab w:leader="none" w:pos="520" w:val="left"/>
        </w:tabs>
        <w:numPr>
          <w:ilvl w:val="0"/>
          <w:numId w:val="3"/>
        </w:numPr>
        <w:rPr>
          <w:rFonts w:ascii="MS PGothic" w:cs="MS PGothic" w:eastAsia="MS PGothic" w:hAnsi="MS PGothic"/>
          <w:sz w:val="29"/>
          <w:szCs w:val="29"/>
          <w:color w:val="auto"/>
          <w:vertAlign w:val="superscript"/>
        </w:rPr>
      </w:pPr>
      <w:r>
        <w:rPr>
          <w:rFonts w:ascii="Times New Roman" w:cs="Times New Roman" w:eastAsia="Times New Roman" w:hAnsi="Times New Roman"/>
          <w:sz w:val="14"/>
          <w:szCs w:val="14"/>
          <w:color w:val="auto"/>
        </w:rPr>
        <w:t>Definitive Additional Materials</w:t>
      </w:r>
    </w:p>
    <w:p>
      <w:pPr>
        <w:spacing w:after="0" w:line="141" w:lineRule="exact"/>
        <w:rPr>
          <w:rFonts w:ascii="MS PGothic" w:cs="MS PGothic" w:eastAsia="MS PGothic" w:hAnsi="MS PGothic"/>
          <w:sz w:val="29"/>
          <w:szCs w:val="29"/>
          <w:color w:val="auto"/>
          <w:vertAlign w:val="superscript"/>
        </w:rPr>
      </w:pPr>
    </w:p>
    <w:p>
      <w:pPr>
        <w:ind w:left="520" w:hanging="453"/>
        <w:spacing w:after="0"/>
        <w:tabs>
          <w:tab w:leader="none" w:pos="520" w:val="left"/>
        </w:tabs>
        <w:numPr>
          <w:ilvl w:val="0"/>
          <w:numId w:val="3"/>
        </w:numPr>
        <w:rPr>
          <w:rFonts w:ascii="MS PGothic" w:cs="MS PGothic" w:eastAsia="MS PGothic" w:hAnsi="MS PGothic"/>
          <w:sz w:val="29"/>
          <w:szCs w:val="29"/>
          <w:color w:val="auto"/>
          <w:vertAlign w:val="superscript"/>
        </w:rPr>
      </w:pPr>
      <w:r>
        <w:rPr>
          <w:rFonts w:ascii="Times New Roman" w:cs="Times New Roman" w:eastAsia="Times New Roman" w:hAnsi="Times New Roman"/>
          <w:sz w:val="14"/>
          <w:szCs w:val="14"/>
          <w:color w:val="auto"/>
        </w:rPr>
        <w:t>Soliciting Material Pursuant to §240.14a-12</w:t>
      </w:r>
    </w:p>
    <w:p>
      <w:pPr>
        <w:spacing w:after="0" w:line="2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17"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163"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260" w:lineRule="exact"/>
        <w:rPr>
          <w:rFonts w:ascii="MS PGothic" w:cs="MS PGothic" w:eastAsia="MS PGothic" w:hAnsi="MS PGothic"/>
          <w:sz w:val="14"/>
          <w:szCs w:val="14"/>
          <w:color w:val="auto"/>
        </w:rPr>
      </w:pPr>
    </w:p>
    <w:p>
      <w:pPr>
        <w:ind w:left="940" w:hanging="455"/>
        <w:spacing w:after="0"/>
        <w:tabs>
          <w:tab w:leader="none" w:pos="940" w:val="left"/>
        </w:tabs>
        <w:numPr>
          <w:ilvl w:val="2"/>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Title of each class of securities to which transaction applies:</w:t>
      </w:r>
    </w:p>
    <w:p>
      <w:pPr>
        <w:spacing w:after="0" w:line="200" w:lineRule="exact"/>
        <w:rPr>
          <w:rFonts w:ascii="Times New Roman" w:cs="Times New Roman" w:eastAsia="Times New Roman" w:hAnsi="Times New Roman"/>
          <w:sz w:val="29"/>
          <w:szCs w:val="29"/>
          <w:color w:val="auto"/>
          <w:vertAlign w:val="superscript"/>
        </w:rPr>
      </w:pPr>
    </w:p>
    <w:p>
      <w:pPr>
        <w:spacing w:after="0" w:line="340" w:lineRule="exact"/>
        <w:rPr>
          <w:rFonts w:ascii="Times New Roman" w:cs="Times New Roman" w:eastAsia="Times New Roman" w:hAnsi="Times New Roman"/>
          <w:sz w:val="29"/>
          <w:szCs w:val="29"/>
          <w:color w:val="auto"/>
          <w:vertAlign w:val="superscript"/>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200" w:lineRule="exact"/>
        <w:rPr>
          <w:rFonts w:ascii="Times New Roman" w:cs="Times New Roman" w:eastAsia="Times New Roman" w:hAnsi="Times New Roman"/>
          <w:sz w:val="14"/>
          <w:szCs w:val="14"/>
          <w:color w:val="auto"/>
        </w:rPr>
      </w:pPr>
    </w:p>
    <w:p>
      <w:pPr>
        <w:spacing w:after="0" w:line="354" w:lineRule="exact"/>
        <w:rPr>
          <w:rFonts w:ascii="Times New Roman" w:cs="Times New Roman" w:eastAsia="Times New Roman" w:hAnsi="Times New Roman"/>
          <w:sz w:val="14"/>
          <w:szCs w:val="14"/>
          <w:color w:val="auto"/>
        </w:rPr>
      </w:pPr>
    </w:p>
    <w:p>
      <w:pPr>
        <w:ind w:left="940" w:right="120" w:hanging="468"/>
        <w:spacing w:after="0" w:line="241" w:lineRule="auto"/>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4"/>
          <w:szCs w:val="14"/>
          <w:color w:val="auto"/>
        </w:rPr>
      </w:pPr>
    </w:p>
    <w:p>
      <w:pPr>
        <w:spacing w:after="0" w:line="313"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200" w:lineRule="exact"/>
        <w:rPr>
          <w:rFonts w:ascii="Times New Roman" w:cs="Times New Roman" w:eastAsia="Times New Roman" w:hAnsi="Times New Roman"/>
          <w:sz w:val="14"/>
          <w:szCs w:val="14"/>
          <w:color w:val="auto"/>
        </w:rPr>
      </w:pPr>
    </w:p>
    <w:p>
      <w:pPr>
        <w:spacing w:after="0" w:line="341" w:lineRule="exact"/>
        <w:rPr>
          <w:rFonts w:ascii="Times New Roman" w:cs="Times New Roman" w:eastAsia="Times New Roman" w:hAnsi="Times New Roman"/>
          <w:sz w:val="14"/>
          <w:szCs w:val="14"/>
          <w:color w:val="auto"/>
        </w:rPr>
      </w:pPr>
    </w:p>
    <w:p>
      <w:pPr>
        <w:ind w:left="960" w:hanging="488"/>
        <w:spacing w:after="0"/>
        <w:tabs>
          <w:tab w:leader="none" w:pos="9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392"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49" w:lineRule="exact"/>
        <w:rPr>
          <w:rFonts w:ascii="MS PGothic" w:cs="MS PGothic" w:eastAsia="MS PGothic" w:hAnsi="MS PGothic"/>
          <w:sz w:val="14"/>
          <w:szCs w:val="14"/>
          <w:color w:val="auto"/>
        </w:rPr>
      </w:pPr>
    </w:p>
    <w:p>
      <w:pPr>
        <w:ind w:left="480" w:hanging="454"/>
        <w:spacing w:after="0" w:line="261" w:lineRule="auto"/>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4"/>
          <w:szCs w:val="14"/>
          <w:color w:val="auto"/>
        </w:rPr>
      </w:pPr>
    </w:p>
    <w:p>
      <w:pPr>
        <w:ind w:left="980" w:hanging="468"/>
        <w:spacing w:after="0"/>
        <w:tabs>
          <w:tab w:leader="none" w:pos="980" w:val="left"/>
        </w:tabs>
        <w:numPr>
          <w:ilvl w:val="3"/>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92"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79"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379"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-3584575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-3138805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-2607310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-2153285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-1707515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7"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5754370</wp:posOffset>
            </wp:positionH>
            <wp:positionV relativeFrom="page">
              <wp:posOffset>448945</wp:posOffset>
            </wp:positionV>
            <wp:extent cx="158559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88315"/>
                    </a:xfrm>
                    <a:prstGeom prst="rect">
                      <a:avLst/>
                    </a:prstGeom>
                    <a:noFill/>
                  </pic:spPr>
                </pic:pic>
              </a:graphicData>
            </a:graphic>
          </wp:anchor>
        </w:drawing>
      </w:r>
    </w:p>
    <w:p>
      <w:pPr>
        <w:spacing w:after="0" w:line="25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March 13,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0" w:lineRule="exact"/>
        <w:rPr>
          <w:sz w:val="20"/>
          <w:szCs w:val="20"/>
          <w:color w:val="auto"/>
        </w:rPr>
      </w:pPr>
    </w:p>
    <w:p>
      <w:pPr>
        <w:spacing w:after="0" w:line="26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You are cordially invited to virtually attend the 2026 Annual Meeting of Stockholders of Westwood Holdings Group, Inc., which will be held online on Thursday, April 30, 2026, at 10:00 a.m., Central Time, at </w:t>
      </w:r>
      <w:r>
        <w:rPr>
          <w:rFonts w:ascii="Times New Roman" w:cs="Times New Roman" w:eastAsia="Times New Roman" w:hAnsi="Times New Roman"/>
          <w:sz w:val="18"/>
          <w:szCs w:val="18"/>
          <w:i w:val="1"/>
          <w:iCs w:val="1"/>
          <w:u w:val="single" w:color="auto"/>
          <w:color w:val="auto"/>
        </w:rPr>
        <w:t>www.virtualshareholdermeeting.com/WHG2026</w:t>
      </w:r>
      <w:r>
        <w:rPr>
          <w:rFonts w:ascii="Times New Roman" w:cs="Times New Roman" w:eastAsia="Times New Roman" w:hAnsi="Times New Roman"/>
          <w:sz w:val="18"/>
          <w:szCs w:val="18"/>
          <w:color w:val="auto"/>
        </w:rPr>
        <w:t>. The official Notice of Annual Meeting together with a proxy statement and proxy card are enclosed. Please give this information your careful attention.</w:t>
      </w:r>
    </w:p>
    <w:p>
      <w:pPr>
        <w:spacing w:after="0" w:line="6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Westwood invites all stockholders to attend the virtual meeting. Whether or not you expect to attend the Annual Meeting virtually, we urge you to complete, sign, date and promptly return the accompanying proxy card in the enclosed postage-paid envelope or vote by Internet by following the instructions in the Notice of Annual Meeting to ensure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38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137160</wp:posOffset>
            </wp:positionV>
            <wp:extent cx="122555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55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Brian O. Casey</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 of Westwood Holdings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2"/>
          <w:szCs w:val="12"/>
          <w:color w:val="auto"/>
        </w:rPr>
        <w:t>WESTWOOD MANAGEMENT • WESTWOOD TRUST • WESTWOOD ADVISORS</w:t>
      </w:r>
    </w:p>
    <w:p>
      <w:pPr>
        <w:spacing w:after="0" w:line="2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2"/>
          <w:szCs w:val="12"/>
          <w:color w:val="auto"/>
        </w:rPr>
        <w:t>200 CRESCENT COURT, SUITE 1200 • DALLAS, TEXAS 75201 • T.214.756.6900 • F.214.756.6979 • westwoodgroup.com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9"/>
        </w:trPr>
        <w:tc>
          <w:tcPr>
            <w:tcW w:w="1018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NOTICE OF ANNUAL MEETING OF STOCKHOLDERS</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0000FF"/>
              </w:rPr>
              <w:t>i</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w w:val="99"/>
              </w:rPr>
              <w:t>NOTICE OF INTERNET AVAILABILITY OF PROXY MATERIALS</w:t>
            </w:r>
          </w:p>
        </w:tc>
        <w:tc>
          <w:tcPr>
            <w:tcW w:w="556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372"/>
        </w:trPr>
        <w:tc>
          <w:tcPr>
            <w:tcW w:w="29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GENERAL QUESTIONS AND ANSWERS</w:t>
            </w:r>
          </w:p>
        </w:tc>
        <w:tc>
          <w:tcPr>
            <w:tcW w:w="6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2"/>
              </w:rPr>
              <w:t>The Annual Meeting</w:t>
            </w:r>
          </w:p>
        </w:tc>
        <w:tc>
          <w:tcPr>
            <w:tcW w:w="8460" w:type="dxa"/>
            <w:vAlign w:val="bottom"/>
            <w:gridSpan w:val="29"/>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spacing w:after="0"/>
              <w:rPr>
                <w:sz w:val="24"/>
                <w:szCs w:val="24"/>
                <w:color w:val="auto"/>
              </w:rPr>
            </w:pPr>
          </w:p>
        </w:tc>
        <w:tc>
          <w:tcPr>
            <w:tcW w:w="1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4"/>
              </w:rPr>
              <w:t>Procedures for Voting</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880" w:type="dxa"/>
            <w:vAlign w:val="bottom"/>
            <w:gridSpan w:val="13"/>
            <w:vMerge w:val="restart"/>
          </w:tcPr>
          <w:p>
            <w:pPr>
              <w:spacing w:after="0"/>
              <w:rPr>
                <w:sz w:val="20"/>
                <w:szCs w:val="20"/>
                <w:color w:val="auto"/>
              </w:rPr>
            </w:pPr>
            <w:r>
              <w:rPr>
                <w:rFonts w:ascii="Times New Roman" w:cs="Times New Roman" w:eastAsia="Times New Roman" w:hAnsi="Times New Roman"/>
                <w:sz w:val="16"/>
                <w:szCs w:val="16"/>
                <w:color w:val="0000FF"/>
                <w:w w:val="96"/>
              </w:rPr>
              <w:t>Our Current Stock Ownership</w:t>
            </w: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80" w:type="dxa"/>
            <w:vAlign w:val="bottom"/>
            <w:gridSpan w:val="1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1880" w:type="dxa"/>
            <w:vAlign w:val="bottom"/>
            <w:tcBorders>
              <w:bottom w:val="single" w:sz="8" w:color="0000FF"/>
            </w:tcBorders>
            <w:gridSpan w:val="13"/>
            <w:vMerge w:val="continue"/>
          </w:tcPr>
          <w:p>
            <w:pPr>
              <w:spacing w:after="0"/>
              <w:rPr>
                <w:sz w:val="24"/>
                <w:szCs w:val="24"/>
                <w:color w:val="auto"/>
              </w:rPr>
            </w:pPr>
          </w:p>
        </w:tc>
        <w:tc>
          <w:tcPr>
            <w:tcW w:w="6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12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w w:val="94"/>
              </w:rPr>
              <w:t>Other Information</w:t>
            </w: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20" w:type="dxa"/>
            <w:vAlign w:val="bottom"/>
            <w:gridSpan w:val="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1120" w:type="dxa"/>
            <w:vAlign w:val="bottom"/>
            <w:tcBorders>
              <w:bottom w:val="single" w:sz="8" w:color="0000FF"/>
            </w:tcBorders>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0" w:type="dxa"/>
            <w:vAlign w:val="bottom"/>
          </w:tcPr>
          <w:p>
            <w:pPr>
              <w:spacing w:after="0"/>
              <w:rPr>
                <w:sz w:val="1"/>
                <w:szCs w:val="1"/>
                <w:color w:val="auto"/>
              </w:rPr>
            </w:pPr>
          </w:p>
        </w:tc>
      </w:tr>
      <w:tr>
        <w:trPr>
          <w:trHeight w:val="20"/>
        </w:trPr>
        <w:tc>
          <w:tcPr>
            <w:tcW w:w="3020" w:type="dxa"/>
            <w:vAlign w:val="bottom"/>
            <w:gridSpan w:val="24"/>
            <w:vMerge w:val="restart"/>
          </w:tcPr>
          <w:p>
            <w:pPr>
              <w:spacing w:after="0"/>
              <w:rPr>
                <w:sz w:val="20"/>
                <w:szCs w:val="20"/>
                <w:color w:val="auto"/>
              </w:rPr>
            </w:pPr>
            <w:r>
              <w:rPr>
                <w:rFonts w:ascii="Times New Roman" w:cs="Times New Roman" w:eastAsia="Times New Roman" w:hAnsi="Times New Roman"/>
                <w:sz w:val="16"/>
                <w:szCs w:val="16"/>
                <w:color w:val="0000FF"/>
              </w:rPr>
              <w:t>PROPOSAL 1: ELECTION OF DIRECTORS</w:t>
            </w:r>
          </w:p>
        </w:tc>
        <w:tc>
          <w:tcPr>
            <w:tcW w:w="16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20" w:type="dxa"/>
            <w:vAlign w:val="bottom"/>
            <w:gridSpan w:val="2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020" w:type="dxa"/>
            <w:vAlign w:val="bottom"/>
            <w:tcBorders>
              <w:bottom w:val="single" w:sz="8" w:color="0000FF"/>
            </w:tcBorders>
            <w:gridSpan w:val="24"/>
            <w:vMerge w:val="continue"/>
          </w:tcPr>
          <w:p>
            <w:pPr>
              <w:spacing w:after="0"/>
              <w:rPr>
                <w:sz w:val="24"/>
                <w:szCs w:val="24"/>
                <w:color w:val="auto"/>
              </w:rPr>
            </w:pPr>
          </w:p>
        </w:tc>
        <w:tc>
          <w:tcPr>
            <w:tcW w:w="160" w:type="dxa"/>
            <w:vAlign w:val="bottom"/>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4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Nominees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spacing w:after="0"/>
              <w:rPr>
                <w:sz w:val="24"/>
                <w:szCs w:val="24"/>
                <w:color w:val="auto"/>
              </w:rPr>
            </w:pPr>
          </w:p>
        </w:tc>
        <w:tc>
          <w:tcPr>
            <w:tcW w:w="22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7"/>
              </w:rPr>
              <w:t>Corporate Governance Information</w:t>
            </w: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5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FF"/>
                <w:w w:val="97"/>
              </w:rPr>
              <w:t>Director Compensation</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0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1500" w:type="dxa"/>
            <w:vAlign w:val="bottom"/>
            <w:tcBorders>
              <w:bottom w:val="single" w:sz="8" w:color="0000FF"/>
            </w:tcBorders>
            <w:gridSpan w:val="9"/>
            <w:vMerge w:val="continue"/>
          </w:tcPr>
          <w:p>
            <w:pPr>
              <w:spacing w:after="0"/>
              <w:rPr>
                <w:sz w:val="24"/>
                <w:szCs w:val="24"/>
                <w:color w:val="auto"/>
              </w:rPr>
            </w:pPr>
          </w:p>
        </w:tc>
        <w:tc>
          <w:tcPr>
            <w:tcW w:w="2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0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12</w:t>
            </w:r>
          </w:p>
        </w:tc>
        <w:tc>
          <w:tcPr>
            <w:tcW w:w="0" w:type="dxa"/>
            <w:vAlign w:val="bottom"/>
          </w:tcPr>
          <w:p>
            <w:pPr>
              <w:spacing w:after="0"/>
              <w:rPr>
                <w:sz w:val="1"/>
                <w:szCs w:val="1"/>
                <w:color w:val="auto"/>
              </w:rPr>
            </w:pPr>
          </w:p>
        </w:tc>
      </w:tr>
      <w:tr>
        <w:trPr>
          <w:trHeight w:val="21"/>
        </w:trPr>
        <w:tc>
          <w:tcPr>
            <w:tcW w:w="172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w w:val="99"/>
              </w:rPr>
              <w:t>EXECUTIVE OFFICERS</w:t>
            </w:r>
          </w:p>
        </w:tc>
        <w:tc>
          <w:tcPr>
            <w:tcW w:w="220" w:type="dxa"/>
            <w:vAlign w:val="bottom"/>
            <w:gridSpan w:val="2"/>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20" w:type="dxa"/>
            <w:vAlign w:val="bottom"/>
            <w:gridSpan w:val="8"/>
            <w:vMerge w:val="continu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720" w:type="dxa"/>
            <w:vAlign w:val="bottom"/>
            <w:tcBorders>
              <w:bottom w:val="single" w:sz="8" w:color="0000FF"/>
            </w:tcBorders>
            <w:gridSpan w:val="8"/>
            <w:vMerge w:val="continue"/>
          </w:tcPr>
          <w:p>
            <w:pPr>
              <w:spacing w:after="0"/>
              <w:rPr>
                <w:sz w:val="24"/>
                <w:szCs w:val="24"/>
                <w:color w:val="auto"/>
              </w:rPr>
            </w:pPr>
          </w:p>
        </w:tc>
        <w:tc>
          <w:tcPr>
            <w:tcW w:w="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10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13</w:t>
            </w:r>
          </w:p>
        </w:tc>
        <w:tc>
          <w:tcPr>
            <w:tcW w:w="0" w:type="dxa"/>
            <w:vAlign w:val="bottom"/>
          </w:tcPr>
          <w:p>
            <w:pPr>
              <w:spacing w:after="0"/>
              <w:rPr>
                <w:sz w:val="1"/>
                <w:szCs w:val="1"/>
                <w:color w:val="auto"/>
              </w:rPr>
            </w:pPr>
          </w:p>
        </w:tc>
      </w:tr>
      <w:tr>
        <w:trPr>
          <w:trHeight w:val="20"/>
        </w:trPr>
        <w:tc>
          <w:tcPr>
            <w:tcW w:w="22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8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0" w:type="dxa"/>
            <w:vAlign w:val="bottom"/>
            <w:gridSpan w:val="1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200" w:type="dxa"/>
            <w:vAlign w:val="bottom"/>
            <w:tcBorders>
              <w:bottom w:val="single" w:sz="8" w:color="0000FF"/>
            </w:tcBorders>
            <w:gridSpan w:val="12"/>
            <w:vMerge w:val="continue"/>
          </w:tcPr>
          <w:p>
            <w:pPr>
              <w:spacing w:after="0"/>
              <w:rPr>
                <w:sz w:val="24"/>
                <w:szCs w:val="24"/>
                <w:color w:val="auto"/>
              </w:rPr>
            </w:pPr>
          </w:p>
        </w:tc>
        <w:tc>
          <w:tcPr>
            <w:tcW w:w="80" w:type="dxa"/>
            <w:vAlign w:val="bottom"/>
            <w:vMerge w:val="restart"/>
          </w:tcPr>
          <w:p>
            <w:pPr>
              <w:spacing w:after="0"/>
              <w:rPr>
                <w:sz w:val="24"/>
                <w:szCs w:val="24"/>
                <w:color w:val="auto"/>
              </w:rPr>
            </w:pPr>
          </w:p>
        </w:tc>
        <w:tc>
          <w:tcPr>
            <w:tcW w:w="10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14</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940" w:type="dxa"/>
            <w:vAlign w:val="bottom"/>
            <w:gridSpan w:val="14"/>
            <w:vMerge w:val="restart"/>
          </w:tcPr>
          <w:p>
            <w:pPr>
              <w:spacing w:after="0"/>
              <w:rPr>
                <w:sz w:val="20"/>
                <w:szCs w:val="20"/>
                <w:color w:val="auto"/>
              </w:rPr>
            </w:pPr>
            <w:r>
              <w:rPr>
                <w:rFonts w:ascii="Times New Roman" w:cs="Times New Roman" w:eastAsia="Times New Roman" w:hAnsi="Times New Roman"/>
                <w:sz w:val="16"/>
                <w:szCs w:val="16"/>
                <w:color w:val="0000FF"/>
                <w:w w:val="96"/>
              </w:rPr>
              <w:t>Summary Compensation Table</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1940" w:type="dxa"/>
            <w:vAlign w:val="bottom"/>
            <w:tcBorders>
              <w:bottom w:val="single" w:sz="8" w:color="0000FF"/>
            </w:tcBorders>
            <w:gridSpan w:val="14"/>
            <w:vMerge w:val="continue"/>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17</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8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7"/>
              </w:rPr>
              <w:t>Other Compensation Policies</w:t>
            </w:r>
          </w:p>
        </w:tc>
        <w:tc>
          <w:tcPr>
            <w:tcW w:w="7900" w:type="dxa"/>
            <w:vAlign w:val="bottom"/>
            <w:gridSpan w:val="24"/>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22</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spacing w:after="0"/>
              <w:rPr>
                <w:sz w:val="24"/>
                <w:szCs w:val="24"/>
                <w:color w:val="auto"/>
              </w:rPr>
            </w:pPr>
          </w:p>
        </w:tc>
        <w:tc>
          <w:tcPr>
            <w:tcW w:w="25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w w:val="96"/>
              </w:rPr>
              <w:t>Outstanding Equity Awards at Year-End</w:t>
            </w:r>
          </w:p>
        </w:tc>
        <w:tc>
          <w:tcPr>
            <w:tcW w:w="200" w:type="dxa"/>
            <w:vAlign w:val="bottom"/>
            <w:gridSpan w:val="2"/>
            <w:vMerge w:val="restart"/>
          </w:tcPr>
          <w:p>
            <w:pPr>
              <w:spacing w:after="0"/>
              <w:rPr>
                <w:sz w:val="24"/>
                <w:szCs w:val="24"/>
                <w:color w:val="auto"/>
              </w:rPr>
            </w:pPr>
          </w:p>
        </w:tc>
        <w:tc>
          <w:tcPr>
            <w:tcW w:w="78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3"/>
              </w:rPr>
              <w:t>Stock Incentive Plan</w:t>
            </w:r>
          </w:p>
        </w:tc>
        <w:tc>
          <w:tcPr>
            <w:tcW w:w="8460" w:type="dxa"/>
            <w:vAlign w:val="bottom"/>
            <w:gridSpan w:val="29"/>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25</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4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Pay Versus Performance Disclosure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1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PROPOSAL 2: RATIFICATION OF APPOINTMENT OF BDO USA, P.C. AS INDEPENDENT AUDITORS</w:t>
            </w:r>
          </w:p>
        </w:tc>
        <w:tc>
          <w:tcPr>
            <w:tcW w:w="10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20" w:type="dxa"/>
            <w:vAlign w:val="bottom"/>
            <w:gridSpan w:val="28"/>
            <w:vMerge w:val="restart"/>
          </w:tcPr>
          <w:p>
            <w:pPr>
              <w:spacing w:after="0"/>
              <w:rPr>
                <w:sz w:val="20"/>
                <w:szCs w:val="20"/>
                <w:color w:val="auto"/>
              </w:rPr>
            </w:pPr>
            <w:r>
              <w:rPr>
                <w:rFonts w:ascii="Times New Roman" w:cs="Times New Roman" w:eastAsia="Times New Roman" w:hAnsi="Times New Roman"/>
                <w:sz w:val="16"/>
                <w:szCs w:val="16"/>
                <w:color w:val="0000FF"/>
                <w:w w:val="99"/>
              </w:rPr>
              <w:t>Fees Billed by Independent Registered Public Accounting Firms</w:t>
            </w: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4120" w:type="dxa"/>
            <w:vAlign w:val="bottom"/>
            <w:tcBorders>
              <w:bottom w:val="single" w:sz="8" w:color="0000FF"/>
            </w:tcBorders>
            <w:gridSpan w:val="28"/>
            <w:vMerge w:val="continue"/>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140" w:type="dxa"/>
            <w:vAlign w:val="bottom"/>
            <w:gridSpan w:val="2"/>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0" w:type="dxa"/>
            <w:vAlign w:val="bottom"/>
            <w:gridSpan w:val="17"/>
            <w:vMerge w:val="restart"/>
          </w:tcPr>
          <w:p>
            <w:pPr>
              <w:spacing w:after="0"/>
              <w:rPr>
                <w:sz w:val="20"/>
                <w:szCs w:val="20"/>
                <w:color w:val="auto"/>
              </w:rPr>
            </w:pPr>
            <w:r>
              <w:rPr>
                <w:rFonts w:ascii="Times New Roman" w:cs="Times New Roman" w:eastAsia="Times New Roman" w:hAnsi="Times New Roman"/>
                <w:sz w:val="16"/>
                <w:szCs w:val="16"/>
                <w:color w:val="0000FF"/>
                <w:w w:val="97"/>
              </w:rPr>
              <w:t>Vote Sought and Recommendation</w:t>
            </w:r>
          </w:p>
        </w:tc>
        <w:tc>
          <w:tcPr>
            <w:tcW w:w="14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0" w:type="dxa"/>
            <w:vAlign w:val="bottom"/>
            <w:gridSpan w:val="17"/>
            <w:vMerge w:val="continu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2200" w:type="dxa"/>
            <w:vAlign w:val="bottom"/>
            <w:tcBorders>
              <w:bottom w:val="single" w:sz="8" w:color="0000FF"/>
            </w:tcBorders>
            <w:gridSpan w:val="17"/>
            <w:vMerge w:val="continue"/>
          </w:tcPr>
          <w:p>
            <w:pPr>
              <w:spacing w:after="0"/>
              <w:rPr>
                <w:sz w:val="24"/>
                <w:szCs w:val="24"/>
                <w:color w:val="auto"/>
              </w:rPr>
            </w:pPr>
          </w:p>
        </w:tc>
        <w:tc>
          <w:tcPr>
            <w:tcW w:w="140" w:type="dxa"/>
            <w:vAlign w:val="bottom"/>
            <w:gridSpan w:val="3"/>
          </w:tcPr>
          <w:p>
            <w:pPr>
              <w:spacing w:after="0"/>
              <w:rPr>
                <w:sz w:val="24"/>
                <w:szCs w:val="24"/>
                <w:color w:val="auto"/>
              </w:rPr>
            </w:pPr>
          </w:p>
        </w:tc>
        <w:tc>
          <w:tcPr>
            <w:tcW w:w="40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0" w:type="dxa"/>
            <w:vAlign w:val="bottom"/>
          </w:tcPr>
          <w:p>
            <w:pPr>
              <w:spacing w:after="0"/>
              <w:rPr>
                <w:sz w:val="1"/>
                <w:szCs w:val="1"/>
                <w:color w:val="auto"/>
              </w:rPr>
            </w:pPr>
          </w:p>
        </w:tc>
      </w:tr>
      <w:tr>
        <w:trPr>
          <w:trHeight w:val="20"/>
        </w:trPr>
        <w:tc>
          <w:tcPr>
            <w:tcW w:w="10180" w:type="dxa"/>
            <w:vAlign w:val="bottom"/>
            <w:gridSpan w:val="37"/>
            <w:vMerge w:val="restart"/>
          </w:tcPr>
          <w:p>
            <w:pPr>
              <w:spacing w:after="0"/>
              <w:rPr>
                <w:sz w:val="20"/>
                <w:szCs w:val="20"/>
                <w:color w:val="auto"/>
              </w:rPr>
            </w:pPr>
            <w:r>
              <w:rPr>
                <w:rFonts w:ascii="Times New Roman" w:cs="Times New Roman" w:eastAsia="Times New Roman" w:hAnsi="Times New Roman"/>
                <w:sz w:val="16"/>
                <w:szCs w:val="16"/>
                <w:color w:val="0000FF"/>
              </w:rPr>
              <w:t>PROPOSAL 3: TO APPROVE THE TWELFTH AMENDED AND RESTATED WESTWOOD HOLDINGS GROUP, INC. STOCK INCENTIVE</w:t>
            </w: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0180" w:type="dxa"/>
            <w:vAlign w:val="bottom"/>
            <w:gridSpan w:val="37"/>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5"/>
              </w:rPr>
              <w:t>PLAN</w:t>
            </w:r>
          </w:p>
        </w:tc>
        <w:tc>
          <w:tcPr>
            <w:tcW w:w="380" w:type="dxa"/>
            <w:vAlign w:val="bottom"/>
            <w:tcBorders>
              <w:top w:val="single" w:sz="8" w:color="0000FF"/>
              <w:bottom w:val="single" w:sz="8" w:color="0000FF"/>
            </w:tcBorders>
            <w:vMerge w:val="restart"/>
          </w:tcPr>
          <w:p>
            <w:pPr>
              <w:spacing w:after="0"/>
              <w:rPr>
                <w:sz w:val="15"/>
                <w:szCs w:val="15"/>
                <w:color w:val="auto"/>
              </w:rPr>
            </w:pPr>
          </w:p>
        </w:tc>
        <w:tc>
          <w:tcPr>
            <w:tcW w:w="500" w:type="dxa"/>
            <w:vAlign w:val="bottom"/>
            <w:tcBorders>
              <w:top w:val="single" w:sz="8" w:color="0000FF"/>
              <w:bottom w:val="single" w:sz="8" w:color="0000FF"/>
            </w:tcBorders>
            <w:gridSpan w:val="2"/>
            <w:vMerge w:val="restart"/>
          </w:tcPr>
          <w:p>
            <w:pPr>
              <w:spacing w:after="0"/>
              <w:rPr>
                <w:sz w:val="15"/>
                <w:szCs w:val="15"/>
                <w:color w:val="auto"/>
              </w:rPr>
            </w:pPr>
          </w:p>
        </w:tc>
        <w:tc>
          <w:tcPr>
            <w:tcW w:w="20" w:type="dxa"/>
            <w:vAlign w:val="bottom"/>
            <w:tcBorders>
              <w:top w:val="single" w:sz="8" w:color="0000FF"/>
              <w:bottom w:val="single" w:sz="8" w:color="0000FF"/>
            </w:tcBorders>
            <w:vMerge w:val="restart"/>
          </w:tcPr>
          <w:p>
            <w:pPr>
              <w:spacing w:after="0"/>
              <w:rPr>
                <w:sz w:val="15"/>
                <w:szCs w:val="15"/>
                <w:color w:val="auto"/>
              </w:rPr>
            </w:pPr>
          </w:p>
        </w:tc>
        <w:tc>
          <w:tcPr>
            <w:tcW w:w="120" w:type="dxa"/>
            <w:vAlign w:val="bottom"/>
            <w:tcBorders>
              <w:top w:val="single" w:sz="8" w:color="0000FF"/>
              <w:bottom w:val="single" w:sz="8" w:color="0000FF"/>
            </w:tcBorders>
            <w:vMerge w:val="restart"/>
          </w:tcPr>
          <w:p>
            <w:pPr>
              <w:spacing w:after="0"/>
              <w:rPr>
                <w:sz w:val="15"/>
                <w:szCs w:val="15"/>
                <w:color w:val="auto"/>
              </w:rPr>
            </w:pPr>
          </w:p>
        </w:tc>
        <w:tc>
          <w:tcPr>
            <w:tcW w:w="480" w:type="dxa"/>
            <w:vAlign w:val="bottom"/>
            <w:tcBorders>
              <w:top w:val="single" w:sz="8" w:color="0000FF"/>
              <w:bottom w:val="single" w:sz="8" w:color="0000FF"/>
            </w:tcBorders>
            <w:gridSpan w:val="4"/>
            <w:vMerge w:val="restart"/>
          </w:tcPr>
          <w:p>
            <w:pPr>
              <w:spacing w:after="0"/>
              <w:rPr>
                <w:sz w:val="15"/>
                <w:szCs w:val="15"/>
                <w:color w:val="auto"/>
              </w:rPr>
            </w:pPr>
          </w:p>
        </w:tc>
        <w:tc>
          <w:tcPr>
            <w:tcW w:w="220" w:type="dxa"/>
            <w:vAlign w:val="bottom"/>
            <w:tcBorders>
              <w:top w:val="single" w:sz="8" w:color="0000FF"/>
              <w:bottom w:val="single" w:sz="8" w:color="0000FF"/>
            </w:tcBorders>
            <w:vMerge w:val="restart"/>
          </w:tcPr>
          <w:p>
            <w:pPr>
              <w:spacing w:after="0"/>
              <w:rPr>
                <w:sz w:val="15"/>
                <w:szCs w:val="15"/>
                <w:color w:val="auto"/>
              </w:rPr>
            </w:pPr>
          </w:p>
        </w:tc>
        <w:tc>
          <w:tcPr>
            <w:tcW w:w="280" w:type="dxa"/>
            <w:vAlign w:val="bottom"/>
            <w:tcBorders>
              <w:top w:val="single" w:sz="8" w:color="0000FF"/>
              <w:bottom w:val="single" w:sz="8" w:color="0000FF"/>
            </w:tcBorders>
            <w:gridSpan w:val="5"/>
            <w:vMerge w:val="restart"/>
          </w:tcPr>
          <w:p>
            <w:pPr>
              <w:spacing w:after="0"/>
              <w:rPr>
                <w:sz w:val="15"/>
                <w:szCs w:val="15"/>
                <w:color w:val="auto"/>
              </w:rPr>
            </w:pPr>
          </w:p>
        </w:tc>
        <w:tc>
          <w:tcPr>
            <w:tcW w:w="180" w:type="dxa"/>
            <w:vAlign w:val="bottom"/>
            <w:tcBorders>
              <w:top w:val="single" w:sz="8" w:color="0000FF"/>
              <w:bottom w:val="single" w:sz="8" w:color="0000FF"/>
            </w:tcBorders>
            <w:vMerge w:val="restart"/>
          </w:tcPr>
          <w:p>
            <w:pPr>
              <w:spacing w:after="0"/>
              <w:rPr>
                <w:sz w:val="15"/>
                <w:szCs w:val="15"/>
                <w:color w:val="auto"/>
              </w:rPr>
            </w:pPr>
          </w:p>
        </w:tc>
        <w:tc>
          <w:tcPr>
            <w:tcW w:w="160" w:type="dxa"/>
            <w:vAlign w:val="bottom"/>
            <w:tcBorders>
              <w:top w:val="single" w:sz="8" w:color="0000FF"/>
              <w:bottom w:val="single" w:sz="8" w:color="0000FF"/>
            </w:tcBorders>
            <w:gridSpan w:val="4"/>
            <w:vMerge w:val="restart"/>
          </w:tcPr>
          <w:p>
            <w:pPr>
              <w:spacing w:after="0"/>
              <w:rPr>
                <w:sz w:val="15"/>
                <w:szCs w:val="15"/>
                <w:color w:val="auto"/>
              </w:rPr>
            </w:pPr>
          </w:p>
        </w:tc>
        <w:tc>
          <w:tcPr>
            <w:tcW w:w="400" w:type="dxa"/>
            <w:vAlign w:val="bottom"/>
            <w:tcBorders>
              <w:top w:val="single" w:sz="8" w:color="0000FF"/>
              <w:bottom w:val="single" w:sz="8" w:color="0000FF"/>
            </w:tcBorders>
            <w:gridSpan w:val="4"/>
            <w:vMerge w:val="restart"/>
          </w:tcPr>
          <w:p>
            <w:pPr>
              <w:spacing w:after="0"/>
              <w:rPr>
                <w:sz w:val="15"/>
                <w:szCs w:val="15"/>
                <w:color w:val="auto"/>
              </w:rPr>
            </w:pPr>
          </w:p>
        </w:tc>
        <w:tc>
          <w:tcPr>
            <w:tcW w:w="780" w:type="dxa"/>
            <w:vAlign w:val="bottom"/>
            <w:tcBorders>
              <w:top w:val="single" w:sz="8" w:color="0000FF"/>
              <w:bottom w:val="single" w:sz="8" w:color="0000FF"/>
            </w:tcBorders>
            <w:gridSpan w:val="2"/>
            <w:vMerge w:val="restart"/>
          </w:tcPr>
          <w:p>
            <w:pPr>
              <w:spacing w:after="0"/>
              <w:rPr>
                <w:sz w:val="15"/>
                <w:szCs w:val="15"/>
                <w:color w:val="auto"/>
              </w:rPr>
            </w:pPr>
          </w:p>
        </w:tc>
        <w:tc>
          <w:tcPr>
            <w:tcW w:w="420" w:type="dxa"/>
            <w:vAlign w:val="bottom"/>
            <w:tcBorders>
              <w:top w:val="single" w:sz="8" w:color="0000FF"/>
              <w:bottom w:val="single" w:sz="8" w:color="0000FF"/>
            </w:tcBorders>
            <w:vMerge w:val="restart"/>
          </w:tcPr>
          <w:p>
            <w:pPr>
              <w:spacing w:after="0"/>
              <w:rPr>
                <w:sz w:val="15"/>
                <w:szCs w:val="15"/>
                <w:color w:val="auto"/>
              </w:rPr>
            </w:pPr>
          </w:p>
        </w:tc>
        <w:tc>
          <w:tcPr>
            <w:tcW w:w="740" w:type="dxa"/>
            <w:vAlign w:val="bottom"/>
            <w:tcBorders>
              <w:top w:val="single" w:sz="8" w:color="0000FF"/>
              <w:bottom w:val="single" w:sz="8" w:color="0000FF"/>
            </w:tcBorders>
            <w:gridSpan w:val="3"/>
            <w:vMerge w:val="restart"/>
          </w:tcPr>
          <w:p>
            <w:pPr>
              <w:spacing w:after="0"/>
              <w:rPr>
                <w:sz w:val="15"/>
                <w:szCs w:val="15"/>
                <w:color w:val="auto"/>
              </w:rPr>
            </w:pPr>
          </w:p>
        </w:tc>
        <w:tc>
          <w:tcPr>
            <w:tcW w:w="940" w:type="dxa"/>
            <w:vAlign w:val="bottom"/>
            <w:tcBorders>
              <w:top w:val="single" w:sz="8" w:color="0000FF"/>
              <w:bottom w:val="single" w:sz="8" w:color="0000FF"/>
            </w:tcBorders>
            <w:vMerge w:val="restart"/>
          </w:tcPr>
          <w:p>
            <w:pPr>
              <w:spacing w:after="0"/>
              <w:rPr>
                <w:sz w:val="15"/>
                <w:szCs w:val="15"/>
                <w:color w:val="auto"/>
              </w:rPr>
            </w:pPr>
          </w:p>
        </w:tc>
        <w:tc>
          <w:tcPr>
            <w:tcW w:w="2140" w:type="dxa"/>
            <w:vAlign w:val="bottom"/>
            <w:tcBorders>
              <w:top w:val="single" w:sz="8" w:color="0000FF"/>
              <w:bottom w:val="single" w:sz="8" w:color="0000FF"/>
            </w:tcBorders>
            <w:gridSpan w:val="2"/>
            <w:vMerge w:val="restart"/>
          </w:tcPr>
          <w:p>
            <w:pPr>
              <w:spacing w:after="0"/>
              <w:rPr>
                <w:sz w:val="15"/>
                <w:szCs w:val="15"/>
                <w:color w:val="auto"/>
              </w:rPr>
            </w:pPr>
          </w:p>
        </w:tc>
        <w:tc>
          <w:tcPr>
            <w:tcW w:w="520" w:type="dxa"/>
            <w:vAlign w:val="bottom"/>
            <w:tcBorders>
              <w:top w:val="single" w:sz="8" w:color="0000FF"/>
              <w:bottom w:val="single" w:sz="8" w:color="0000FF"/>
            </w:tcBorders>
            <w:vMerge w:val="restart"/>
          </w:tcPr>
          <w:p>
            <w:pPr>
              <w:spacing w:after="0"/>
              <w:rPr>
                <w:sz w:val="15"/>
                <w:szCs w:val="15"/>
                <w:color w:val="auto"/>
              </w:rPr>
            </w:pPr>
          </w:p>
        </w:tc>
        <w:tc>
          <w:tcPr>
            <w:tcW w:w="840" w:type="dxa"/>
            <w:vAlign w:val="bottom"/>
            <w:tcBorders>
              <w:top w:val="single" w:sz="8" w:color="0000FF"/>
              <w:bottom w:val="single" w:sz="8" w:color="0000FF"/>
            </w:tcBorders>
            <w:vMerge w:val="restart"/>
          </w:tcPr>
          <w:p>
            <w:pPr>
              <w:spacing w:after="0"/>
              <w:rPr>
                <w:sz w:val="15"/>
                <w:szCs w:val="15"/>
                <w:color w:val="auto"/>
              </w:rPr>
            </w:pPr>
          </w:p>
        </w:tc>
        <w:tc>
          <w:tcPr>
            <w:tcW w:w="620" w:type="dxa"/>
            <w:vAlign w:val="bottom"/>
            <w:vMerge w:val="restart"/>
          </w:tcPr>
          <w:p>
            <w:pPr>
              <w:spacing w:after="0"/>
              <w:rPr>
                <w:sz w:val="15"/>
                <w:szCs w:val="15"/>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80" w:type="dxa"/>
            <w:vAlign w:val="bottom"/>
            <w:gridSpan w:val="4"/>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80" w:type="dxa"/>
            <w:vAlign w:val="bottom"/>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 w:type="dxa"/>
            <w:vAlign w:val="bottom"/>
            <w:gridSpan w:val="4"/>
            <w:vMerge w:val="continue"/>
          </w:tcPr>
          <w:p>
            <w:pPr>
              <w:spacing w:after="0" w:line="20" w:lineRule="exact"/>
              <w:rPr>
                <w:sz w:val="1"/>
                <w:szCs w:val="1"/>
                <w:color w:val="auto"/>
              </w:rPr>
            </w:pPr>
          </w:p>
        </w:tc>
        <w:tc>
          <w:tcPr>
            <w:tcW w:w="400" w:type="dxa"/>
            <w:vAlign w:val="bottom"/>
            <w:gridSpan w:val="4"/>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2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w w:val="98"/>
              </w:rPr>
              <w:t>Description of the Twelfth Amended and Restated Plan</w:t>
            </w:r>
          </w:p>
        </w:tc>
        <w:tc>
          <w:tcPr>
            <w:tcW w:w="6220" w:type="dxa"/>
            <w:vAlign w:val="bottom"/>
            <w:gridSpan w:val="10"/>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spacing w:after="0"/>
              <w:rPr>
                <w:sz w:val="24"/>
                <w:szCs w:val="24"/>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0"/>
              </w:rPr>
              <w:t>Types of Awards</w:t>
            </w:r>
          </w:p>
        </w:tc>
        <w:tc>
          <w:tcPr>
            <w:tcW w:w="4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c>
          <w:tcPr>
            <w:tcW w:w="40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420" w:type="dxa"/>
            <w:vAlign w:val="bottom"/>
            <w:vMerge w:val="restart"/>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140" w:type="dxa"/>
            <w:vAlign w:val="bottom"/>
            <w:gridSpan w:val="2"/>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2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color w:val="0000FF"/>
                <w:w w:val="98"/>
              </w:rPr>
              <w:t>Material Federal Income Tax Consequences of the Plan</w:t>
            </w:r>
          </w:p>
        </w:tc>
        <w:tc>
          <w:tcPr>
            <w:tcW w:w="420" w:type="dxa"/>
            <w:vAlign w:val="bottom"/>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20" w:type="dxa"/>
            <w:vAlign w:val="bottom"/>
            <w:gridSpan w:val="26"/>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3520" w:type="dxa"/>
            <w:vAlign w:val="bottom"/>
            <w:tcBorders>
              <w:bottom w:val="single" w:sz="8" w:color="0000FF"/>
            </w:tcBorders>
            <w:gridSpan w:val="26"/>
            <w:vMerge w:val="continue"/>
          </w:tcPr>
          <w:p>
            <w:pPr>
              <w:spacing w:after="0"/>
              <w:rPr>
                <w:sz w:val="24"/>
                <w:szCs w:val="24"/>
                <w:color w:val="auto"/>
              </w:rPr>
            </w:pPr>
          </w:p>
        </w:tc>
        <w:tc>
          <w:tcPr>
            <w:tcW w:w="420" w:type="dxa"/>
            <w:vAlign w:val="bottom"/>
            <w:vMerge w:val="restart"/>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140" w:type="dxa"/>
            <w:vAlign w:val="bottom"/>
            <w:gridSpan w:val="2"/>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8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color w:val="0000FF"/>
                <w:w w:val="96"/>
              </w:rPr>
              <w:t>Vote Sought and Recommendation</w:t>
            </w:r>
          </w:p>
        </w:tc>
        <w:tc>
          <w:tcPr>
            <w:tcW w:w="16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80" w:type="dxa"/>
            <w:vAlign w:val="bottom"/>
            <w:gridSpan w:val="16"/>
            <w:vMerge w:val="continu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2180" w:type="dxa"/>
            <w:vAlign w:val="bottom"/>
            <w:tcBorders>
              <w:bottom w:val="single" w:sz="8" w:color="0000FF"/>
            </w:tcBorders>
            <w:gridSpan w:val="16"/>
            <w:vMerge w:val="continue"/>
          </w:tcPr>
          <w:p>
            <w:pPr>
              <w:spacing w:after="0"/>
              <w:rPr>
                <w:sz w:val="24"/>
                <w:szCs w:val="24"/>
                <w:color w:val="auto"/>
              </w:rPr>
            </w:pPr>
          </w:p>
        </w:tc>
        <w:tc>
          <w:tcPr>
            <w:tcW w:w="160" w:type="dxa"/>
            <w:vAlign w:val="bottom"/>
            <w:gridSpan w:val="4"/>
          </w:tcPr>
          <w:p>
            <w:pPr>
              <w:spacing w:after="0"/>
              <w:rPr>
                <w:sz w:val="24"/>
                <w:szCs w:val="24"/>
                <w:color w:val="auto"/>
              </w:rPr>
            </w:pPr>
          </w:p>
        </w:tc>
        <w:tc>
          <w:tcPr>
            <w:tcW w:w="400" w:type="dxa"/>
            <w:vAlign w:val="bottom"/>
            <w:gridSpan w:val="4"/>
          </w:tcPr>
          <w:p>
            <w:pPr>
              <w:spacing w:after="0"/>
              <w:rPr>
                <w:sz w:val="24"/>
                <w:szCs w:val="24"/>
                <w:color w:val="auto"/>
              </w:rPr>
            </w:pPr>
          </w:p>
        </w:tc>
        <w:tc>
          <w:tcPr>
            <w:tcW w:w="1200" w:type="dxa"/>
            <w:vAlign w:val="bottom"/>
            <w:gridSpan w:val="3"/>
          </w:tcPr>
          <w:p>
            <w:pPr>
              <w:spacing w:after="0"/>
              <w:rPr>
                <w:sz w:val="24"/>
                <w:szCs w:val="24"/>
                <w:color w:val="auto"/>
              </w:rPr>
            </w:pPr>
          </w:p>
        </w:tc>
        <w:tc>
          <w:tcPr>
            <w:tcW w:w="7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520" w:type="dxa"/>
            <w:vAlign w:val="bottom"/>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0" w:type="dxa"/>
            <w:vAlign w:val="bottom"/>
          </w:tcPr>
          <w:p>
            <w:pPr>
              <w:spacing w:after="0"/>
              <w:rPr>
                <w:sz w:val="1"/>
                <w:szCs w:val="1"/>
                <w:color w:val="auto"/>
              </w:rPr>
            </w:pPr>
          </w:p>
        </w:tc>
      </w:tr>
      <w:tr>
        <w:trPr>
          <w:trHeight w:val="20"/>
        </w:trPr>
        <w:tc>
          <w:tcPr>
            <w:tcW w:w="8200" w:type="dxa"/>
            <w:vAlign w:val="bottom"/>
            <w:gridSpan w:val="34"/>
            <w:vMerge w:val="restart"/>
          </w:tcPr>
          <w:p>
            <w:pPr>
              <w:spacing w:after="0"/>
              <w:rPr>
                <w:sz w:val="20"/>
                <w:szCs w:val="20"/>
                <w:color w:val="auto"/>
              </w:rPr>
            </w:pPr>
            <w:r>
              <w:rPr>
                <w:rFonts w:ascii="Times New Roman" w:cs="Times New Roman" w:eastAsia="Times New Roman" w:hAnsi="Times New Roman"/>
                <w:sz w:val="16"/>
                <w:szCs w:val="16"/>
                <w:color w:val="0000FF"/>
              </w:rPr>
              <w:t>PROPOSAL 4: TO CAST A NON-BINDING, ADVISORY VOTE ON THE COMPANY'S EXECUTIVE COMPENSATION</w:t>
            </w:r>
          </w:p>
        </w:tc>
        <w:tc>
          <w:tcPr>
            <w:tcW w:w="520" w:type="dxa"/>
            <w:vAlign w:val="bottom"/>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0" w:type="dxa"/>
            <w:vAlign w:val="bottom"/>
            <w:gridSpan w:val="34"/>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200" w:type="dxa"/>
            <w:vAlign w:val="bottom"/>
            <w:tcBorders>
              <w:bottom w:val="single" w:sz="8" w:color="0000FF"/>
            </w:tcBorders>
            <w:gridSpan w:val="34"/>
            <w:vMerge w:val="continue"/>
          </w:tcPr>
          <w:p>
            <w:pPr>
              <w:spacing w:after="0"/>
              <w:rPr>
                <w:sz w:val="24"/>
                <w:szCs w:val="24"/>
                <w:color w:val="auto"/>
              </w:rPr>
            </w:pPr>
          </w:p>
        </w:tc>
        <w:tc>
          <w:tcPr>
            <w:tcW w:w="520" w:type="dxa"/>
            <w:vAlign w:val="bottom"/>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4"/>
            <w:vMerge w:val="restart"/>
          </w:tcPr>
          <w:p>
            <w:pPr>
              <w:spacing w:after="0"/>
              <w:rPr>
                <w:sz w:val="20"/>
                <w:szCs w:val="20"/>
                <w:color w:val="auto"/>
              </w:rPr>
            </w:pPr>
            <w:r>
              <w:rPr>
                <w:rFonts w:ascii="Times New Roman" w:cs="Times New Roman" w:eastAsia="Times New Roman" w:hAnsi="Times New Roman"/>
                <w:sz w:val="16"/>
                <w:szCs w:val="16"/>
                <w:color w:val="0000FF"/>
                <w:w w:val="97"/>
              </w:rPr>
              <w:t>Advisory Vote on Executive Compensation</w:t>
            </w: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0" w:type="dxa"/>
            <w:vAlign w:val="bottom"/>
          </w:tcPr>
          <w:p>
            <w:pPr>
              <w:spacing w:after="0"/>
              <w:rPr>
                <w:sz w:val="24"/>
                <w:szCs w:val="24"/>
                <w:color w:val="auto"/>
              </w:rPr>
            </w:pPr>
          </w:p>
        </w:tc>
        <w:tc>
          <w:tcPr>
            <w:tcW w:w="2740" w:type="dxa"/>
            <w:vAlign w:val="bottom"/>
            <w:tcBorders>
              <w:bottom w:val="single" w:sz="8" w:color="0000FF"/>
            </w:tcBorders>
            <w:gridSpan w:val="24"/>
            <w:vMerge w:val="continue"/>
          </w:tcPr>
          <w:p>
            <w:pPr>
              <w:spacing w:after="0"/>
              <w:rPr>
                <w:sz w:val="24"/>
                <w:szCs w:val="24"/>
                <w:color w:val="auto"/>
              </w:rPr>
            </w:pPr>
          </w:p>
        </w:tc>
        <w:tc>
          <w:tcPr>
            <w:tcW w:w="1200" w:type="dxa"/>
            <w:vAlign w:val="bottom"/>
            <w:gridSpan w:val="3"/>
            <w:vMerge w:val="restart"/>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660" w:type="dxa"/>
            <w:vAlign w:val="bottom"/>
            <w:gridSpan w:val="3"/>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660" w:type="dxa"/>
            <w:vAlign w:val="bottom"/>
            <w:gridSpan w:val="3"/>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spacing w:after="0"/>
              <w:rPr>
                <w:sz w:val="24"/>
                <w:szCs w:val="24"/>
                <w:color w:val="auto"/>
              </w:rPr>
            </w:pPr>
          </w:p>
        </w:tc>
        <w:tc>
          <w:tcPr>
            <w:tcW w:w="2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7"/>
              </w:rPr>
              <w:t>Vote Sought and Recommendation</w:t>
            </w:r>
          </w:p>
        </w:tc>
        <w:tc>
          <w:tcPr>
            <w:tcW w:w="140" w:type="dxa"/>
            <w:vAlign w:val="bottom"/>
            <w:gridSpan w:val="3"/>
          </w:tcPr>
          <w:p>
            <w:pPr>
              <w:spacing w:after="0"/>
              <w:rPr>
                <w:sz w:val="24"/>
                <w:szCs w:val="24"/>
                <w:color w:val="auto"/>
              </w:rPr>
            </w:pPr>
          </w:p>
        </w:tc>
        <w:tc>
          <w:tcPr>
            <w:tcW w:w="1600" w:type="dxa"/>
            <w:vAlign w:val="bottom"/>
            <w:gridSpan w:val="7"/>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660" w:type="dxa"/>
            <w:vAlign w:val="bottom"/>
            <w:gridSpan w:val="3"/>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20"/>
        </w:trPr>
        <w:tc>
          <w:tcPr>
            <w:tcW w:w="4380" w:type="dxa"/>
            <w:vAlign w:val="bottom"/>
            <w:gridSpan w:val="28"/>
            <w:vMerge w:val="restart"/>
          </w:tcPr>
          <w:p>
            <w:pPr>
              <w:spacing w:after="0"/>
              <w:rPr>
                <w:sz w:val="20"/>
                <w:szCs w:val="20"/>
                <w:color w:val="auto"/>
              </w:rPr>
            </w:pPr>
            <w:r>
              <w:rPr>
                <w:rFonts w:ascii="Times New Roman" w:cs="Times New Roman" w:eastAsia="Times New Roman" w:hAnsi="Times New Roman"/>
                <w:sz w:val="16"/>
                <w:szCs w:val="16"/>
                <w:color w:val="0000FF"/>
                <w:w w:val="99"/>
              </w:rPr>
              <w:t>CERTAIN RELATIONSHIPS AND RELATED TRANSACTIONS</w:t>
            </w: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660" w:type="dxa"/>
            <w:vAlign w:val="bottom"/>
            <w:gridSpan w:val="3"/>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80" w:type="dxa"/>
            <w:vAlign w:val="bottom"/>
            <w:gridSpan w:val="28"/>
            <w:vMerge w:val="continu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80" w:type="dxa"/>
            <w:vAlign w:val="bottom"/>
            <w:tcBorders>
              <w:bottom w:val="single" w:sz="8" w:color="0000FF"/>
            </w:tcBorders>
            <w:gridSpan w:val="28"/>
            <w:vMerge w:val="continue"/>
          </w:tcPr>
          <w:p>
            <w:pPr>
              <w:spacing w:after="0"/>
              <w:rPr>
                <w:sz w:val="24"/>
                <w:szCs w:val="24"/>
                <w:color w:val="auto"/>
              </w:rPr>
            </w:pPr>
          </w:p>
        </w:tc>
        <w:tc>
          <w:tcPr>
            <w:tcW w:w="7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660" w:type="dxa"/>
            <w:vAlign w:val="bottom"/>
            <w:gridSpan w:val="3"/>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0"/>
        </w:trPr>
        <w:tc>
          <w:tcPr>
            <w:tcW w:w="6060" w:type="dxa"/>
            <w:vAlign w:val="bottom"/>
            <w:gridSpan w:val="32"/>
            <w:vMerge w:val="restart"/>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w:t>
            </w:r>
          </w:p>
        </w:tc>
        <w:tc>
          <w:tcPr>
            <w:tcW w:w="2660" w:type="dxa"/>
            <w:vAlign w:val="bottom"/>
            <w:gridSpan w:val="3"/>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60" w:type="dxa"/>
            <w:vAlign w:val="bottom"/>
            <w:gridSpan w:val="32"/>
            <w:vMerge w:val="continu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060" w:type="dxa"/>
            <w:vAlign w:val="bottom"/>
            <w:tcBorders>
              <w:bottom w:val="single" w:sz="8" w:color="0000FF"/>
            </w:tcBorders>
            <w:gridSpan w:val="32"/>
            <w:vMerge w:val="continue"/>
          </w:tcPr>
          <w:p>
            <w:pPr>
              <w:spacing w:after="0"/>
              <w:rPr>
                <w:sz w:val="24"/>
                <w:szCs w:val="24"/>
                <w:color w:val="auto"/>
              </w:rPr>
            </w:pPr>
          </w:p>
        </w:tc>
        <w:tc>
          <w:tcPr>
            <w:tcW w:w="2660" w:type="dxa"/>
            <w:vAlign w:val="bottom"/>
            <w:gridSpan w:val="3"/>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1"/>
        </w:trPr>
        <w:tc>
          <w:tcPr>
            <w:tcW w:w="2780" w:type="dxa"/>
            <w:vAlign w:val="bottom"/>
            <w:gridSpan w:val="21"/>
            <w:vMerge w:val="restart"/>
          </w:tcPr>
          <w:p>
            <w:pPr>
              <w:spacing w:after="0"/>
              <w:rPr>
                <w:sz w:val="20"/>
                <w:szCs w:val="20"/>
                <w:color w:val="auto"/>
              </w:rPr>
            </w:pPr>
            <w:r>
              <w:rPr>
                <w:rFonts w:ascii="Times New Roman" w:cs="Times New Roman" w:eastAsia="Times New Roman" w:hAnsi="Times New Roman"/>
                <w:sz w:val="16"/>
                <w:szCs w:val="16"/>
                <w:color w:val="0000FF"/>
              </w:rPr>
              <w:t>REPORT OF THE AUDIT COMMITTEE</w:t>
            </w:r>
          </w:p>
        </w:tc>
        <w:tc>
          <w:tcPr>
            <w:tcW w:w="234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3"/>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80" w:type="dxa"/>
            <w:vAlign w:val="bottom"/>
            <w:gridSpan w:val="21"/>
            <w:vMerge w:val="continue"/>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80" w:type="dxa"/>
            <w:vAlign w:val="bottom"/>
            <w:tcBorders>
              <w:bottom w:val="single" w:sz="8" w:color="0000FF"/>
            </w:tcBorders>
            <w:gridSpan w:val="21"/>
            <w:vMerge w:val="continue"/>
          </w:tcPr>
          <w:p>
            <w:pPr>
              <w:spacing w:after="0"/>
              <w:rPr>
                <w:sz w:val="24"/>
                <w:szCs w:val="24"/>
                <w:color w:val="auto"/>
              </w:rPr>
            </w:pPr>
          </w:p>
        </w:tc>
        <w:tc>
          <w:tcPr>
            <w:tcW w:w="2340" w:type="dxa"/>
            <w:vAlign w:val="bottom"/>
            <w:gridSpan w:val="10"/>
          </w:tcPr>
          <w:p>
            <w:pPr>
              <w:spacing w:after="0"/>
              <w:rPr>
                <w:sz w:val="24"/>
                <w:szCs w:val="24"/>
                <w:color w:val="auto"/>
              </w:rPr>
            </w:pPr>
          </w:p>
        </w:tc>
        <w:tc>
          <w:tcPr>
            <w:tcW w:w="3600" w:type="dxa"/>
            <w:vAlign w:val="bottom"/>
            <w:gridSpan w:val="4"/>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21"/>
        </w:trPr>
        <w:tc>
          <w:tcPr>
            <w:tcW w:w="5120" w:type="dxa"/>
            <w:vAlign w:val="bottom"/>
            <w:gridSpan w:val="31"/>
            <w:vMerge w:val="restart"/>
          </w:tcPr>
          <w:p>
            <w:pPr>
              <w:spacing w:after="0"/>
              <w:rPr>
                <w:sz w:val="20"/>
                <w:szCs w:val="20"/>
                <w:color w:val="auto"/>
              </w:rPr>
            </w:pPr>
            <w:r>
              <w:rPr>
                <w:rFonts w:ascii="Times New Roman" w:cs="Times New Roman" w:eastAsia="Times New Roman" w:hAnsi="Times New Roman"/>
                <w:sz w:val="16"/>
                <w:szCs w:val="16"/>
                <w:color w:val="0000FF"/>
              </w:rPr>
              <w:t>SECTION 16(A) BENEFICIAL OWNERSHIP REPORTING COMPLIANCE</w:t>
            </w:r>
          </w:p>
        </w:tc>
        <w:tc>
          <w:tcPr>
            <w:tcW w:w="3600" w:type="dxa"/>
            <w:vAlign w:val="bottom"/>
            <w:gridSpan w:val="4"/>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31"/>
            <w:vMerge w:val="continu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20" w:type="dxa"/>
            <w:vAlign w:val="bottom"/>
            <w:tcBorders>
              <w:bottom w:val="single" w:sz="8" w:color="0000FF"/>
            </w:tcBorders>
            <w:gridSpan w:val="31"/>
            <w:vMerge w:val="continue"/>
          </w:tcPr>
          <w:p>
            <w:pPr>
              <w:spacing w:after="0"/>
              <w:rPr>
                <w:sz w:val="24"/>
                <w:szCs w:val="24"/>
                <w:color w:val="auto"/>
              </w:rPr>
            </w:pPr>
          </w:p>
        </w:tc>
        <w:tc>
          <w:tcPr>
            <w:tcW w:w="3600" w:type="dxa"/>
            <w:vAlign w:val="bottom"/>
            <w:gridSpan w:val="4"/>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1"/>
        </w:trPr>
        <w:tc>
          <w:tcPr>
            <w:tcW w:w="216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color w:val="0000FF"/>
              </w:rPr>
              <w:t>STOCKHOLDER PROPOSALS</w:t>
            </w:r>
          </w:p>
        </w:tc>
        <w:tc>
          <w:tcPr>
            <w:tcW w:w="280" w:type="dxa"/>
            <w:vAlign w:val="bottom"/>
            <w:gridSpan w:val="5"/>
          </w:tcPr>
          <w:p>
            <w:pPr>
              <w:spacing w:after="0" w:line="20" w:lineRule="exact"/>
              <w:rPr>
                <w:sz w:val="1"/>
                <w:szCs w:val="1"/>
                <w:color w:val="auto"/>
              </w:rPr>
            </w:pPr>
          </w:p>
        </w:tc>
        <w:tc>
          <w:tcPr>
            <w:tcW w:w="2680" w:type="dxa"/>
            <w:vAlign w:val="bottom"/>
            <w:gridSpan w:val="15"/>
          </w:tcPr>
          <w:p>
            <w:pPr>
              <w:spacing w:after="0" w:line="20" w:lineRule="exact"/>
              <w:rPr>
                <w:sz w:val="1"/>
                <w:szCs w:val="1"/>
                <w:color w:val="auto"/>
              </w:rPr>
            </w:pPr>
          </w:p>
        </w:tc>
        <w:tc>
          <w:tcPr>
            <w:tcW w:w="3600" w:type="dxa"/>
            <w:vAlign w:val="bottom"/>
            <w:gridSpan w:val="4"/>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60" w:type="dxa"/>
            <w:vAlign w:val="bottom"/>
            <w:gridSpan w:val="11"/>
            <w:vMerge w:val="continu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160" w:type="dxa"/>
            <w:vAlign w:val="bottom"/>
            <w:tcBorders>
              <w:bottom w:val="single" w:sz="8" w:color="0000FF"/>
            </w:tcBorders>
            <w:gridSpan w:val="11"/>
            <w:vMerge w:val="continue"/>
          </w:tcPr>
          <w:p>
            <w:pPr>
              <w:spacing w:after="0"/>
              <w:rPr>
                <w:sz w:val="24"/>
                <w:szCs w:val="24"/>
                <w:color w:val="auto"/>
              </w:rPr>
            </w:pPr>
          </w:p>
        </w:tc>
        <w:tc>
          <w:tcPr>
            <w:tcW w:w="280" w:type="dxa"/>
            <w:vAlign w:val="bottom"/>
            <w:gridSpan w:val="5"/>
            <w:vMerge w:val="restart"/>
          </w:tcPr>
          <w:p>
            <w:pPr>
              <w:spacing w:after="0"/>
              <w:rPr>
                <w:sz w:val="24"/>
                <w:szCs w:val="24"/>
                <w:color w:val="auto"/>
              </w:rPr>
            </w:pPr>
          </w:p>
        </w:tc>
        <w:tc>
          <w:tcPr>
            <w:tcW w:w="6280" w:type="dxa"/>
            <w:vAlign w:val="bottom"/>
            <w:gridSpan w:val="19"/>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1"/>
        </w:trPr>
        <w:tc>
          <w:tcPr>
            <w:tcW w:w="13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w w:val="99"/>
              </w:rPr>
              <w:t>ANNUAL REPORT</w:t>
            </w: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vMerge w:val="continue"/>
          </w:tcPr>
          <w:p>
            <w:pPr>
              <w:spacing w:after="0" w:line="20" w:lineRule="exact"/>
              <w:rPr>
                <w:sz w:val="1"/>
                <w:szCs w:val="1"/>
                <w:color w:val="auto"/>
              </w:rPr>
            </w:pPr>
          </w:p>
        </w:tc>
        <w:tc>
          <w:tcPr>
            <w:tcW w:w="6280" w:type="dxa"/>
            <w:vAlign w:val="bottom"/>
            <w:gridSpan w:val="19"/>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40" w:type="dxa"/>
            <w:vAlign w:val="bottom"/>
            <w:gridSpan w:val="5"/>
            <w:vMerge w:val="continu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340" w:type="dxa"/>
            <w:vAlign w:val="bottom"/>
            <w:tcBorders>
              <w:bottom w:val="single" w:sz="8" w:color="0000FF"/>
            </w:tcBorders>
            <w:gridSpan w:val="5"/>
            <w:vMerge w:val="continue"/>
          </w:tcPr>
          <w:p>
            <w:pPr>
              <w:spacing w:after="0"/>
              <w:rPr>
                <w:sz w:val="24"/>
                <w:szCs w:val="24"/>
                <w:color w:val="auto"/>
              </w:rPr>
            </w:pPr>
          </w:p>
        </w:tc>
        <w:tc>
          <w:tcPr>
            <w:tcW w:w="600" w:type="dxa"/>
            <w:vAlign w:val="bottom"/>
            <w:gridSpan w:val="5"/>
          </w:tcPr>
          <w:p>
            <w:pPr>
              <w:spacing w:after="0"/>
              <w:rPr>
                <w:sz w:val="24"/>
                <w:szCs w:val="24"/>
                <w:color w:val="auto"/>
              </w:rPr>
            </w:pPr>
          </w:p>
        </w:tc>
        <w:tc>
          <w:tcPr>
            <w:tcW w:w="500" w:type="dxa"/>
            <w:vAlign w:val="bottom"/>
            <w:gridSpan w:val="6"/>
          </w:tcPr>
          <w:p>
            <w:pPr>
              <w:spacing w:after="0"/>
              <w:rPr>
                <w:sz w:val="24"/>
                <w:szCs w:val="24"/>
                <w:color w:val="auto"/>
              </w:rPr>
            </w:pPr>
          </w:p>
        </w:tc>
        <w:tc>
          <w:tcPr>
            <w:tcW w:w="6280" w:type="dxa"/>
            <w:vAlign w:val="bottom"/>
            <w:gridSpan w:val="19"/>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1"/>
        </w:trPr>
        <w:tc>
          <w:tcPr>
            <w:tcW w:w="244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color w:val="0000FF"/>
                <w:w w:val="99"/>
              </w:rPr>
              <w:t>HOUSEHOLDING INFORMATION</w:t>
            </w:r>
          </w:p>
        </w:tc>
        <w:tc>
          <w:tcPr>
            <w:tcW w:w="6280" w:type="dxa"/>
            <w:vAlign w:val="bottom"/>
            <w:gridSpan w:val="19"/>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40" w:type="dxa"/>
            <w:vAlign w:val="bottom"/>
            <w:gridSpan w:val="16"/>
            <w:vMerge w:val="continue"/>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440" w:type="dxa"/>
            <w:vAlign w:val="bottom"/>
            <w:tcBorders>
              <w:bottom w:val="single" w:sz="8" w:color="0000FF"/>
            </w:tcBorders>
            <w:gridSpan w:val="16"/>
            <w:vMerge w:val="continue"/>
          </w:tcPr>
          <w:p>
            <w:pPr>
              <w:spacing w:after="0"/>
              <w:rPr>
                <w:sz w:val="24"/>
                <w:szCs w:val="24"/>
                <w:color w:val="auto"/>
              </w:rPr>
            </w:pPr>
          </w:p>
        </w:tc>
        <w:tc>
          <w:tcPr>
            <w:tcW w:w="6280" w:type="dxa"/>
            <w:vAlign w:val="bottom"/>
            <w:gridSpan w:val="19"/>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1"/>
        </w:trPr>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w w:val="98"/>
              </w:rPr>
              <w:t>OTHER MATTERS</w:t>
            </w:r>
          </w:p>
        </w:tc>
        <w:tc>
          <w:tcPr>
            <w:tcW w:w="62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280" w:type="dxa"/>
            <w:vAlign w:val="bottom"/>
            <w:gridSpan w:val="19"/>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20" w:type="dxa"/>
            <w:vAlign w:val="bottom"/>
            <w:gridSpan w:val="4"/>
            <w:vMerge w:val="continu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780" w:type="dxa"/>
            <w:vAlign w:val="bottom"/>
            <w:gridSpan w:val="2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320" w:type="dxa"/>
            <w:vAlign w:val="bottom"/>
            <w:tcBorders>
              <w:bottom w:val="single" w:sz="8" w:color="0000FF"/>
            </w:tcBorders>
            <w:gridSpan w:val="4"/>
            <w:vMerge w:val="continue"/>
          </w:tcPr>
          <w:p>
            <w:pPr>
              <w:spacing w:after="0"/>
              <w:rPr>
                <w:sz w:val="24"/>
                <w:szCs w:val="24"/>
                <w:color w:val="auto"/>
              </w:rPr>
            </w:pPr>
          </w:p>
        </w:tc>
        <w:tc>
          <w:tcPr>
            <w:tcW w:w="620" w:type="dxa"/>
            <w:vAlign w:val="bottom"/>
            <w:gridSpan w:val="6"/>
          </w:tcPr>
          <w:p>
            <w:pPr>
              <w:spacing w:after="0"/>
              <w:rPr>
                <w:sz w:val="24"/>
                <w:szCs w:val="24"/>
                <w:color w:val="auto"/>
              </w:rPr>
            </w:pPr>
          </w:p>
        </w:tc>
        <w:tc>
          <w:tcPr>
            <w:tcW w:w="6780" w:type="dxa"/>
            <w:vAlign w:val="bottom"/>
            <w:gridSpan w:val="25"/>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8720" w:type="dxa"/>
            <w:vAlign w:val="bottom"/>
            <w:gridSpan w:val="35"/>
            <w:vMerge w:val="restart"/>
          </w:tcPr>
          <w:p>
            <w:pPr>
              <w:spacing w:after="0"/>
              <w:rPr>
                <w:sz w:val="20"/>
                <w:szCs w:val="20"/>
                <w:color w:val="auto"/>
              </w:rPr>
            </w:pPr>
            <w:r>
              <w:rPr>
                <w:rFonts w:ascii="Times New Roman" w:cs="Times New Roman" w:eastAsia="Times New Roman" w:hAnsi="Times New Roman"/>
                <w:sz w:val="16"/>
                <w:szCs w:val="16"/>
                <w:color w:val="0000FF"/>
              </w:rPr>
              <w:t>APPENDIX A – TWELFTH AMENDED AND RESTATED WESTWOOD HOLDINGS GROUP, INC. STOCK INCENTIVE PLAN</w:t>
            </w:r>
          </w:p>
        </w:tc>
        <w:tc>
          <w:tcPr>
            <w:tcW w:w="146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20" w:type="dxa"/>
            <w:vAlign w:val="bottom"/>
            <w:gridSpan w:val="35"/>
            <w:vMerge w:val="continu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720" w:type="dxa"/>
            <w:vAlign w:val="bottom"/>
            <w:tcBorders>
              <w:bottom w:val="single" w:sz="8" w:color="0000FF"/>
            </w:tcBorders>
            <w:gridSpan w:val="35"/>
            <w:vMerge w:val="continue"/>
          </w:tcPr>
          <w:p>
            <w:pPr>
              <w:spacing w:after="0"/>
              <w:rPr>
                <w:sz w:val="24"/>
                <w:szCs w:val="24"/>
                <w:color w:val="auto"/>
              </w:rPr>
            </w:pPr>
          </w:p>
        </w:tc>
        <w:tc>
          <w:tcPr>
            <w:tcW w:w="1460" w:type="dxa"/>
            <w:vAlign w:val="bottom"/>
            <w:gridSpan w:val="2"/>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r>
        <w:trPr>
          <w:trHeight w:val="21"/>
        </w:trPr>
        <w:tc>
          <w:tcPr>
            <w:tcW w:w="10180" w:type="dxa"/>
            <w:vAlign w:val="bottom"/>
            <w:gridSpan w:val="37"/>
            <w:vMerge w:val="restart"/>
          </w:tcPr>
          <w:p>
            <w:pPr>
              <w:spacing w:after="0"/>
              <w:rPr>
                <w:sz w:val="20"/>
                <w:szCs w:val="20"/>
                <w:color w:val="auto"/>
              </w:rPr>
            </w:pPr>
            <w:r>
              <w:rPr>
                <w:rFonts w:ascii="Times New Roman" w:cs="Times New Roman" w:eastAsia="Times New Roman" w:hAnsi="Times New Roman"/>
                <w:sz w:val="16"/>
                <w:szCs w:val="16"/>
                <w:color w:val="0000FF"/>
              </w:rPr>
              <w:t>Plan History</w:t>
            </w: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180" w:type="dxa"/>
            <w:vAlign w:val="bottom"/>
            <w:gridSpan w:val="37"/>
            <w:vMerge w:val="continue"/>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180" w:type="dxa"/>
            <w:vAlign w:val="bottom"/>
            <w:gridSpan w:val="37"/>
            <w:vMerge w:val="continue"/>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60</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8240" w:type="dxa"/>
            <w:vAlign w:val="bottom"/>
            <w:gridSpan w:val="2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9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Proxy Form For Stockholders</w:t>
            </w:r>
          </w:p>
        </w:tc>
        <w:tc>
          <w:tcPr>
            <w:tcW w:w="8240" w:type="dxa"/>
            <w:vAlign w:val="bottom"/>
            <w:gridSpan w:val="27"/>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w:t>
            </w:r>
          </w:p>
        </w:tc>
        <w:tc>
          <w:tcPr>
            <w:tcW w:w="0" w:type="dxa"/>
            <w:vAlign w:val="bottom"/>
          </w:tcPr>
          <w:p>
            <w:pPr>
              <w:spacing w:after="0"/>
              <w:rPr>
                <w:sz w:val="1"/>
                <w:szCs w:val="1"/>
                <w:color w:val="auto"/>
              </w:rPr>
            </w:pPr>
          </w:p>
        </w:tc>
      </w:tr>
      <w:tr>
        <w:trPr>
          <w:trHeight w:val="27"/>
        </w:trPr>
        <w:tc>
          <w:tcPr>
            <w:tcW w:w="4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647065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00" w:top="695" w:right="619" w:bottom="1122"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APRIL 30,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Westwood Holdings Group, Inc.:</w:t>
      </w:r>
    </w:p>
    <w:p>
      <w:pPr>
        <w:spacing w:after="0" w:line="11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NOTICE IS HEREBY GIVEN that the annual meeting of the stockholders of Westwood Holdings Group, Inc. ("Westwood," the "Company," "we," "us" or "our") will be held virtually at </w:t>
      </w:r>
      <w:r>
        <w:rPr>
          <w:rFonts w:ascii="Times New Roman" w:cs="Times New Roman" w:eastAsia="Times New Roman" w:hAnsi="Times New Roman"/>
          <w:sz w:val="18"/>
          <w:szCs w:val="18"/>
          <w:i w:val="1"/>
          <w:iCs w:val="1"/>
          <w:u w:val="single" w:color="auto"/>
          <w:color w:val="auto"/>
        </w:rPr>
        <w:t>www.virtualshareholdermeeting.com/WHG2026</w:t>
      </w:r>
      <w:r>
        <w:rPr>
          <w:rFonts w:ascii="Times New Roman" w:cs="Times New Roman" w:eastAsia="Times New Roman" w:hAnsi="Times New Roman"/>
          <w:sz w:val="18"/>
          <w:szCs w:val="18"/>
          <w:color w:val="auto"/>
        </w:rPr>
        <w:t xml:space="preserve"> on Thursday, April 30, 2026, at 10:00 a.m., Central Time, to consider and vote on the following proposals: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0" w:type="dxa"/>
            <w:vAlign w:val="bottom"/>
          </w:tcPr>
          <w:p>
            <w:pPr>
              <w:spacing w:after="0"/>
              <w:rPr>
                <w:sz w:val="1"/>
                <w:szCs w:val="1"/>
                <w:color w:val="auto"/>
              </w:rPr>
            </w:pPr>
          </w:p>
        </w:tc>
      </w:tr>
      <w:tr>
        <w:trPr>
          <w:trHeight w:val="25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election of six directors to hold office until the next annual meeting of Westwood's stockholders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until their respective successors shall have been duly elected and qualified;</w:t>
            </w:r>
          </w:p>
        </w:tc>
        <w:tc>
          <w:tcPr>
            <w:tcW w:w="0" w:type="dxa"/>
            <w:vAlign w:val="bottom"/>
          </w:tcPr>
          <w:p>
            <w:pPr>
              <w:spacing w:after="0"/>
              <w:rPr>
                <w:sz w:val="1"/>
                <w:szCs w:val="1"/>
                <w:color w:val="auto"/>
              </w:rPr>
            </w:pPr>
          </w:p>
        </w:tc>
      </w:tr>
      <w:tr>
        <w:trPr>
          <w:trHeight w:val="33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80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The ratification of the appointment of BDO USA, P.C. as Westwood's independent auditors for the year</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8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ending December 31, 2026;</w:t>
            </w:r>
          </w:p>
        </w:tc>
        <w:tc>
          <w:tcPr>
            <w:tcW w:w="0" w:type="dxa"/>
            <w:vAlign w:val="bottom"/>
          </w:tcPr>
          <w:p>
            <w:pPr>
              <w:spacing w:after="0"/>
              <w:rPr>
                <w:sz w:val="1"/>
                <w:szCs w:val="1"/>
                <w:color w:val="auto"/>
              </w:rPr>
            </w:pPr>
          </w:p>
        </w:tc>
      </w:tr>
      <w:tr>
        <w:trPr>
          <w:trHeight w:val="378"/>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To approve the Twelfth Amended and Restated Westwood Holdings Group, Inc. Stock Incentive Plan; and</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4.</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cast a non-binding, advisory vote on the Company's executive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47625</wp:posOffset>
            </wp:positionV>
            <wp:extent cx="120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 all nominees</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t>
      </w: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t>
      </w:r>
    </w:p>
    <w:p>
      <w:pPr>
        <w:spacing w:after="0" w:line="211" w:lineRule="exact"/>
        <w:rPr>
          <w:sz w:val="20"/>
          <w:szCs w:val="20"/>
          <w:color w:val="auto"/>
        </w:rPr>
      </w:pPr>
    </w:p>
    <w:p>
      <w:pPr>
        <w:sectPr>
          <w:pgSz w:w="11900" w:h="16838" w:orient="portrait"/>
          <w:cols w:equalWidth="0" w:num="2">
            <w:col w:w="9200" w:space="420"/>
            <w:col w:w="1620"/>
          </w:cols>
          <w:pgMar w:left="320" w:top="549" w:right="339" w:bottom="1440" w:gutter="0" w:footer="0" w:header="0"/>
          <w:type w:val="continuous"/>
        </w:sectPr>
      </w:pPr>
    </w:p>
    <w:p>
      <w:pPr>
        <w:ind w:right="1100" w:firstLine="405"/>
        <w:spacing w:after="0" w:line="282" w:lineRule="auto"/>
        <w:rPr>
          <w:sz w:val="20"/>
          <w:szCs w:val="20"/>
          <w:color w:val="auto"/>
        </w:rPr>
      </w:pPr>
      <w:r>
        <w:rPr>
          <w:rFonts w:ascii="Times New Roman" w:cs="Times New Roman" w:eastAsia="Times New Roman" w:hAnsi="Times New Roman"/>
          <w:sz w:val="18"/>
          <w:szCs w:val="18"/>
          <w:color w:val="auto"/>
        </w:rPr>
        <w:t>In addition, we will consider the transaction of such other business as may properly come before the meeting or at any adjournments or postponements.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w:t>
      </w:r>
    </w:p>
    <w:p>
      <w:pPr>
        <w:spacing w:after="0" w:line="11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 2026,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Times New Roman" w:cs="Times New Roman" w:eastAsia="Times New Roman" w:hAnsi="Times New Roman"/>
          <w:sz w:val="18"/>
          <w:szCs w:val="18"/>
          <w:i w:val="1"/>
          <w:iCs w:val="1"/>
          <w:u w:val="single" w:color="auto"/>
          <w:color w:val="auto"/>
        </w:rPr>
        <w:t>www.virtualshareholdermeeting.com/WHG2026</w:t>
      </w:r>
      <w:r>
        <w:rPr>
          <w:rFonts w:ascii="Times New Roman" w:cs="Times New Roman" w:eastAsia="Times New Roman" w:hAnsi="Times New Roman"/>
          <w:sz w:val="18"/>
          <w:szCs w:val="18"/>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7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electronically at the annual meeting. Pursuant to the New York Stock Exchange ("NYSE") rules, if you hold your shares in street name, nominees will not have discretion to vote these shares on the election of directors, the approval of the Twelfth Amended and Restated Westwood Holdings Group, Inc. Stock Incentive Plan, or the matter pertaining to executive compensation. Accordingly, if your shares are held in street name and you do not submit voting instructions to your broker, bank, or other nominee, your shares will not be counted in determining the outcome on Proposals 1, 3 and 4 set forth in this proxy statement at the annual meeting. If you hold your shares in street name, we encourage you to provide voting instructions to your broker, bank, or other nominee so that your voice is heard on these proposals.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proxy statement and proxy card are being mailed to our stockholders on or about March 16, 2026.</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4" w:name="page5"/>
    <w:bookmarkEnd w:id="4"/>
    <w:p>
      <w:pPr>
        <w:ind w:left="2900"/>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 for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Meeting to be Held on April 30, 2026</w:t>
      </w:r>
    </w:p>
    <w:p>
      <w:pPr>
        <w:spacing w:after="0" w:line="200" w:lineRule="exact"/>
        <w:rPr>
          <w:sz w:val="20"/>
          <w:szCs w:val="20"/>
          <w:color w:val="auto"/>
        </w:rPr>
      </w:pPr>
    </w:p>
    <w:p>
      <w:pPr>
        <w:spacing w:after="0" w:line="25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proxy materials for the Company's Annual Meeting of Stockholders, including the 2025 Annual Report to Stockholders, the Proxy Statement and any other additional soliciting materials, are available over the Internet by accessing our website at </w:t>
      </w:r>
      <w:r>
        <w:rPr>
          <w:rFonts w:ascii="Times New Roman" w:cs="Times New Roman" w:eastAsia="Times New Roman" w:hAnsi="Times New Roman"/>
          <w:sz w:val="18"/>
          <w:szCs w:val="18"/>
          <w:i w:val="1"/>
          <w:iCs w:val="1"/>
          <w:u w:val="single" w:color="auto"/>
          <w:color w:val="auto"/>
        </w:rPr>
        <w:t>https://westwoodgroup.com/investor-relations/annual-reports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Other information on our website does not constitute part of the Company's proxy materials.</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97726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Brian O. Casey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of Westwood Holdings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APRIL 30, 2026</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QUESTIONS AND ANSWERS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16, 2026.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ANNUAL MEETING</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annual meeting?</w:t>
      </w:r>
    </w:p>
    <w:p>
      <w:pPr>
        <w:spacing w:after="0" w:line="121" w:lineRule="exact"/>
        <w:rPr>
          <w:sz w:val="20"/>
          <w:szCs w:val="20"/>
          <w:color w:val="auto"/>
        </w:rPr>
      </w:pPr>
    </w:p>
    <w:p>
      <w:pPr>
        <w:ind w:left="420" w:right="3500" w:hanging="412"/>
        <w:spacing w:after="0" w:line="282" w:lineRule="auto"/>
        <w:tabs>
          <w:tab w:leader="none" w:pos="38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annual meeting will be held virtually on Thursday, April 30, 2026, at 10:00 a.m., Central Time, at </w:t>
      </w:r>
      <w:r>
        <w:rPr>
          <w:rFonts w:ascii="Times New Roman" w:cs="Times New Roman" w:eastAsia="Times New Roman" w:hAnsi="Times New Roman"/>
          <w:sz w:val="18"/>
          <w:szCs w:val="18"/>
          <w:i w:val="1"/>
          <w:iCs w:val="1"/>
          <w:u w:val="single" w:color="auto"/>
          <w:color w:val="auto"/>
        </w:rPr>
        <w:t>www.virtualshareholdermeeting.com/WHG2026</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21"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being asked to vote on the following proposals at the annual meeting:</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The election of six directors to hold office until the next annual meeting of Westwood’s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The ratification of the appointment of BDO USA, P.C. ("BDO") as Westwood’s independent auditors for the year ending December 31, 2026;</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To approve the Twelfth Amended and Restated Westwood Holdings Group, Inc. Stock Incentive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To cast a non-binding, advisory vote on the Company's executive compensation.</w:t>
      </w:r>
    </w:p>
    <w:p>
      <w:pPr>
        <w:spacing w:after="0" w:line="11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121" w:lineRule="exact"/>
        <w:rPr>
          <w:sz w:val="20"/>
          <w:szCs w:val="20"/>
          <w:color w:val="auto"/>
        </w:rPr>
      </w:pPr>
    </w:p>
    <w:p>
      <w:pPr>
        <w:ind w:left="420" w:hanging="412"/>
        <w:spacing w:after="0" w:line="261" w:lineRule="auto"/>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recommends that you vote your shares (i) "FOR" each of the six director nominees for election to the Board of Directors, (ii) "FOR" the ratification of the appointment of BDO as Westwood’s independent auditors for the year ending December 31, 2026, (iii) "FOR" the approval of the Twelfth Amended and Restated Westwood Holdings Group, Inc. Stock Incentive Plan, and (iv) "FOR" the approval, on a non-binding, advisory basis, of the Company’s executive compensation.</w:t>
      </w:r>
    </w:p>
    <w:p>
      <w:pPr>
        <w:spacing w:after="0" w:line="72" w:lineRule="exact"/>
        <w:rPr>
          <w:sz w:val="20"/>
          <w:szCs w:val="20"/>
          <w:color w:val="auto"/>
        </w:rPr>
      </w:pPr>
    </w:p>
    <w:p>
      <w:pPr>
        <w:ind w:left="420" w:right="380" w:hanging="224"/>
        <w:spacing w:after="0" w:line="282" w:lineRule="auto"/>
        <w:rPr>
          <w:sz w:val="20"/>
          <w:szCs w:val="20"/>
          <w:color w:val="auto"/>
        </w:rPr>
      </w:pPr>
      <w:r>
        <w:rPr>
          <w:rFonts w:ascii="Times New Roman" w:cs="Times New Roman" w:eastAsia="Times New Roman" w:hAnsi="Times New Roman"/>
          <w:sz w:val="18"/>
          <w:szCs w:val="18"/>
          <w:color w:val="auto"/>
        </w:rPr>
        <w:t>If you submit your properly executed proxy without voting instructions, your shares represented by that proxy will be voted as recommended by the Board of Directors.</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annual meeting?</w:t>
      </w:r>
    </w:p>
    <w:p>
      <w:pPr>
        <w:spacing w:after="0" w:line="121" w:lineRule="exact"/>
        <w:rPr>
          <w:sz w:val="20"/>
          <w:szCs w:val="20"/>
          <w:color w:val="auto"/>
        </w:rPr>
      </w:pPr>
    </w:p>
    <w:p>
      <w:pPr>
        <w:ind w:left="420" w:hanging="412"/>
        <w:spacing w:after="0" w:line="281" w:lineRule="auto"/>
        <w:tabs>
          <w:tab w:leader="none" w:pos="3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of record at the close of business on March 3, 2026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3, 2026, there were 9,487,973 shares of common stock outstanding and entitled to vote on each of the proposals.</w:t>
      </w:r>
    </w:p>
    <w:p>
      <w:pPr>
        <w:spacing w:after="0" w:line="5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constitutes a quorum?</w:t>
      </w:r>
    </w:p>
    <w:p>
      <w:pPr>
        <w:spacing w:after="0" w:line="121" w:lineRule="exact"/>
        <w:rPr>
          <w:sz w:val="20"/>
          <w:szCs w:val="20"/>
          <w:color w:val="auto"/>
        </w:rPr>
      </w:pPr>
    </w:p>
    <w:p>
      <w:pPr>
        <w:ind w:left="420" w:right="40" w:hanging="412"/>
        <w:spacing w:after="0" w:line="266" w:lineRule="auto"/>
        <w:tabs>
          <w:tab w:leader="none" w:pos="3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is the difference between holding shares as a "stockholder of record" and as a "beneficial owner"?</w:t>
      </w:r>
    </w:p>
    <w:p>
      <w:pPr>
        <w:spacing w:after="0" w:line="121" w:lineRule="exact"/>
        <w:rPr>
          <w:sz w:val="20"/>
          <w:szCs w:val="20"/>
          <w:color w:val="auto"/>
        </w:rPr>
      </w:pPr>
    </w:p>
    <w:p>
      <w:pPr>
        <w:ind w:left="420" w:right="100" w:hanging="412"/>
        <w:spacing w:after="0" w:line="266"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 w:name="page7"/>
    <w:bookmarkEnd w:id="6"/>
    <w:p>
      <w:pPr>
        <w:ind w:left="420" w:right="20"/>
        <w:spacing w:after="0" w:line="256" w:lineRule="auto"/>
        <w:rPr>
          <w:sz w:val="20"/>
          <w:szCs w:val="20"/>
          <w:color w:val="auto"/>
        </w:rPr>
      </w:pPr>
      <w:r>
        <w:rPr>
          <w:rFonts w:ascii="Times New Roman" w:cs="Times New Roman" w:eastAsia="Times New Roman" w:hAnsi="Times New Roman"/>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w:t>
      </w:r>
    </w:p>
    <w:p>
      <w:pPr>
        <w:spacing w:after="0" w:line="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is a broker non-vote?</w:t>
      </w:r>
    </w:p>
    <w:p>
      <w:pPr>
        <w:spacing w:after="0" w:line="121" w:lineRule="exact"/>
        <w:rPr>
          <w:sz w:val="20"/>
          <w:szCs w:val="20"/>
          <w:color w:val="auto"/>
        </w:rPr>
      </w:pPr>
    </w:p>
    <w:p>
      <w:pPr>
        <w:ind w:left="420" w:hanging="412"/>
        <w:spacing w:after="0" w:line="258"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75" w:lineRule="exact"/>
        <w:rPr>
          <w:sz w:val="20"/>
          <w:szCs w:val="20"/>
          <w:color w:val="auto"/>
        </w:rPr>
      </w:pPr>
    </w:p>
    <w:p>
      <w:pPr>
        <w:ind w:left="420" w:right="100"/>
        <w:spacing w:after="0" w:line="256" w:lineRule="auto"/>
        <w:rPr>
          <w:sz w:val="20"/>
          <w:szCs w:val="20"/>
          <w:color w:val="auto"/>
        </w:rPr>
      </w:pPr>
      <w:r>
        <w:rPr>
          <w:rFonts w:ascii="Times New Roman" w:cs="Times New Roman" w:eastAsia="Times New Roman" w:hAnsi="Times New Roman"/>
          <w:sz w:val="18"/>
          <w:szCs w:val="18"/>
          <w:color w:val="auto"/>
        </w:rPr>
        <w:t>Under applicable rules, Proposals 1, 3, and 4 are considered "non-routine" matters, on which banks, brokers, and other nominees are not allowed to vote unless they have received voting instructions from the beneficial owners of such shares. The proposal to ratify the appointment of BDO as Westwood’s independent auditors for the year ending December 31, 2026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is required to approve each proposal?</w:t>
      </w:r>
    </w:p>
    <w:p>
      <w:pPr>
        <w:spacing w:after="0" w:line="121" w:lineRule="exact"/>
        <w:rPr>
          <w:sz w:val="20"/>
          <w:szCs w:val="20"/>
          <w:color w:val="auto"/>
        </w:rPr>
      </w:pPr>
    </w:p>
    <w:p>
      <w:pPr>
        <w:ind w:left="420" w:right="120" w:hanging="412"/>
        <w:spacing w:after="0" w:line="261"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election of directors requires the affirmative "FOR" vote of a majority of the shares present in person (or virtually) or represented by proxy and entitled to vote on the election of directors at the annual meeting at which a quorum is present. You may vote “FOR,” “AGAINST,” or “ABSTAIN” with respect to the election of each director nominee. Abstentions will have the effect of votes “AGAINST” a director nominee, and broker non-votes will have no effect on the outcome of the election of directors.</w:t>
      </w:r>
    </w:p>
    <w:p>
      <w:pPr>
        <w:spacing w:after="0" w:line="72" w:lineRule="exact"/>
        <w:rPr>
          <w:sz w:val="20"/>
          <w:szCs w:val="20"/>
          <w:color w:val="auto"/>
        </w:rPr>
      </w:pPr>
    </w:p>
    <w:p>
      <w:pPr>
        <w:ind w:left="420" w:right="80"/>
        <w:spacing w:after="0" w:line="258" w:lineRule="auto"/>
        <w:rPr>
          <w:sz w:val="20"/>
          <w:szCs w:val="20"/>
          <w:color w:val="auto"/>
        </w:rPr>
      </w:pPr>
      <w:r>
        <w:rPr>
          <w:rFonts w:ascii="Times New Roman" w:cs="Times New Roman" w:eastAsia="Times New Roman" w:hAnsi="Times New Roman"/>
          <w:sz w:val="18"/>
          <w:szCs w:val="18"/>
          <w:color w:val="auto"/>
        </w:rPr>
        <w:t>Proposal 2: The ratification of the appointment of BDO as Westwood’s independent auditors for the year ending December 31, 2026 requires the affirmative "FOR" vote of a majority of the votes cast at the annual meeting. You may vote "FOR," “AGAINST,” or “ABSTAIN” with respect to the ratification of our auditors. This proposal is considered a “routine” matter under applicable rules on which banks, brokers, and other nominees may vote in their discretion on behalf of beneficial owners who have not provided voting instructions. Abstentions will have no effect on the outcome of this proposal.</w:t>
      </w:r>
    </w:p>
    <w:p>
      <w:pPr>
        <w:spacing w:after="0" w:line="75" w:lineRule="exact"/>
        <w:rPr>
          <w:sz w:val="20"/>
          <w:szCs w:val="20"/>
          <w:color w:val="auto"/>
        </w:rPr>
      </w:pPr>
    </w:p>
    <w:p>
      <w:pPr>
        <w:ind w:left="420" w:right="120"/>
        <w:spacing w:after="0" w:line="258" w:lineRule="auto"/>
        <w:rPr>
          <w:sz w:val="20"/>
          <w:szCs w:val="20"/>
          <w:color w:val="auto"/>
        </w:rPr>
      </w:pPr>
      <w:r>
        <w:rPr>
          <w:rFonts w:ascii="Times New Roman" w:cs="Times New Roman" w:eastAsia="Times New Roman" w:hAnsi="Times New Roman"/>
          <w:sz w:val="18"/>
          <w:szCs w:val="18"/>
          <w:color w:val="auto"/>
        </w:rPr>
        <w:t>Proposal 3: The approval of the Twelfth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Neither a broker non-vote nor an abstention is a vote cast under applicable law or applicable NYSE rules and will have no effect on the outcome of this proposal.</w:t>
      </w:r>
    </w:p>
    <w:p>
      <w:pPr>
        <w:spacing w:after="0" w:line="75" w:lineRule="exact"/>
        <w:rPr>
          <w:sz w:val="20"/>
          <w:szCs w:val="20"/>
          <w:color w:val="auto"/>
        </w:rPr>
      </w:pPr>
    </w:p>
    <w:p>
      <w:pPr>
        <w:ind w:left="420" w:right="40"/>
        <w:spacing w:after="0" w:line="261" w:lineRule="auto"/>
        <w:rPr>
          <w:sz w:val="20"/>
          <w:szCs w:val="20"/>
          <w:color w:val="auto"/>
        </w:rPr>
      </w:pPr>
      <w:r>
        <w:rPr>
          <w:rFonts w:ascii="Times New Roman" w:cs="Times New Roman" w:eastAsia="Times New Roman" w:hAnsi="Times New Roman"/>
          <w:sz w:val="18"/>
          <w:szCs w:val="18"/>
          <w:color w:val="auto"/>
        </w:rPr>
        <w:t>Proposal 4: The non-binding, advisory vote on the Company's executive compensation requires the affirmative “FOR” vote of a majority of the votes cast at the annual meeting. You may vote “FOR,” “AGAINST,” or “ABSTAIN” with respect to this proposal. As the advisory vote on the Company's executive compensation is a “non-routine” matter under applicable rules, your bank, broker, or other nominee cannot vote without instructions from you. Abstentions and broker non-votes will have no effect on the outcome of this proposal.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 FOR VOTING</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is entitled to vote?</w:t>
      </w:r>
    </w:p>
    <w:p>
      <w:pPr>
        <w:spacing w:after="0" w:line="121" w:lineRule="exact"/>
        <w:rPr>
          <w:sz w:val="20"/>
          <w:szCs w:val="20"/>
          <w:color w:val="auto"/>
        </w:rPr>
      </w:pPr>
    </w:p>
    <w:p>
      <w:pPr>
        <w:ind w:left="420" w:right="460" w:hanging="412"/>
        <w:spacing w:after="0" w:line="282"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close of business on March 3, 2026, the record date, will be entitled to vote on the proposals at the Annual Meeting. Each share of common stock is entitled to one vote.</w:t>
      </w:r>
    </w:p>
    <w:p>
      <w:pPr>
        <w:spacing w:after="0" w:line="50"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420" w:right="100" w:hanging="412"/>
        <w:spacing w:after="0" w:line="266"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the record holder of your shares, you can vote by attending the Annual Meeting virtually, or by completing, signing and returning your proxy card in the enclosed postage-paid envelope. You can also vote by Internet at </w:t>
      </w:r>
      <w:r>
        <w:rPr>
          <w:rFonts w:ascii="Times New Roman" w:cs="Times New Roman" w:eastAsia="Times New Roman" w:hAnsi="Times New Roman"/>
          <w:sz w:val="18"/>
          <w:szCs w:val="18"/>
          <w:i w:val="1"/>
          <w:iCs w:val="1"/>
          <w:u w:val="single" w:color="auto"/>
          <w:color w:val="auto"/>
        </w:rPr>
        <w:t>www.virtualshareholdermeeting.com/WHG2026</w:t>
      </w:r>
      <w:r>
        <w:rPr>
          <w:rFonts w:ascii="Times New Roman" w:cs="Times New Roman" w:eastAsia="Times New Roman" w:hAnsi="Times New Roman"/>
          <w:sz w:val="18"/>
          <w:szCs w:val="18"/>
          <w:color w:val="auto"/>
        </w:rPr>
        <w:t xml:space="preserve"> using the control number shown on your proxy card or voting instruction card.</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 w:name="page8"/>
    <w:bookmarkEnd w:id="7"/>
    <w:p>
      <w:pPr>
        <w:jc w:val="both"/>
        <w:ind w:left="420" w:right="240"/>
        <w:spacing w:after="0" w:line="261" w:lineRule="auto"/>
        <w:rPr>
          <w:sz w:val="20"/>
          <w:szCs w:val="20"/>
          <w:color w:val="auto"/>
        </w:rPr>
      </w:pPr>
      <w:r>
        <w:rPr>
          <w:rFonts w:ascii="Times New Roman" w:cs="Times New Roman" w:eastAsia="Times New Roman" w:hAnsi="Times New Roman"/>
          <w:sz w:val="18"/>
          <w:szCs w:val="18"/>
          <w:color w:val="auto"/>
        </w:rPr>
        <w:t>If your shares are held by your broker as your nominee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81"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proxy revocable, and can I change my vote?</w:t>
      </w:r>
    </w:p>
    <w:p>
      <w:pPr>
        <w:spacing w:after="0" w:line="148"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may revoke your proxy at any time before it is officially voted by doing one of the following:</w:t>
      </w:r>
    </w:p>
    <w:p>
      <w:pPr>
        <w:spacing w:after="0" w:line="117"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revoking your proxy to our Corporate Secretary at Westwood Holdings Group, 200 Crescent Court, Suite 1200, Dallas, Texas 75201;</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mailing to us a proxy bearing a later date;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your vote by Internet (if you voted by Internet); 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our virtual annual meeting and voting then.</w:t>
      </w:r>
    </w:p>
    <w:p>
      <w:pPr>
        <w:spacing w:after="0" w:line="117" w:lineRule="exact"/>
        <w:rPr>
          <w:sz w:val="20"/>
          <w:szCs w:val="20"/>
          <w:color w:val="auto"/>
        </w:rPr>
      </w:pPr>
    </w:p>
    <w:p>
      <w:pPr>
        <w:ind w:left="420" w:hanging="224"/>
        <w:spacing w:after="0" w:line="266" w:lineRule="auto"/>
        <w:rPr>
          <w:sz w:val="20"/>
          <w:szCs w:val="20"/>
          <w:color w:val="auto"/>
        </w:rPr>
      </w:pPr>
      <w:r>
        <w:rPr>
          <w:rFonts w:ascii="Times New Roman" w:cs="Times New Roman" w:eastAsia="Times New Roman" w:hAnsi="Times New Roman"/>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7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135" w:lineRule="exact"/>
        <w:rPr>
          <w:sz w:val="20"/>
          <w:szCs w:val="20"/>
          <w:color w:val="auto"/>
        </w:rPr>
      </w:pPr>
    </w:p>
    <w:p>
      <w:pPr>
        <w:ind w:left="420" w:right="80" w:hanging="412"/>
        <w:spacing w:after="0" w:line="281" w:lineRule="auto"/>
        <w:tabs>
          <w:tab w:leader="none" w:pos="4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Only the inspector of votes and certain of our employees will have access to your proxy card. All comments will remain confidential, unless you ask that your name be disclosed.</w:t>
      </w:r>
    </w:p>
    <w:p>
      <w:pPr>
        <w:spacing w:after="0" w:line="1" w:lineRule="exact"/>
        <w:rPr>
          <w:rFonts w:ascii="Times New Roman" w:cs="Times New Roman" w:eastAsia="Times New Roman" w:hAnsi="Times New Roman"/>
          <w:sz w:val="18"/>
          <w:szCs w:val="18"/>
          <w:color w:val="auto"/>
        </w:rPr>
      </w:pPr>
    </w:p>
    <w:p>
      <w:pPr>
        <w:ind w:left="420" w:right="4340"/>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or need assistance voting, please contact Kingsdale Advisors at: Strategic Stockholder Advisor and Proxy Solicitation Agent</w:t>
      </w:r>
    </w:p>
    <w:p>
      <w:pPr>
        <w:ind w:left="420" w:right="668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745 Fifth Avenue,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New York, NY 10151 Toll-Free Telephone in North America: +1-888-302-5741 Email: </w:t>
      </w:r>
      <w:r>
        <w:rPr>
          <w:rFonts w:ascii="Times New Roman" w:cs="Times New Roman" w:eastAsia="Times New Roman" w:hAnsi="Times New Roman"/>
          <w:sz w:val="18"/>
          <w:szCs w:val="18"/>
          <w:u w:val="single" w:color="auto"/>
          <w:color w:val="auto"/>
        </w:rPr>
        <w:t>contactus@kingsdaleadvisors.com</w:t>
      </w:r>
    </w:p>
    <w:p>
      <w:pPr>
        <w:spacing w:after="0" w:line="2"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Collect and Text: +1-917-813-1252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CURRENT STOCK OWNERSHIP</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percentage of stock do the directors and executive officers own?</w:t>
      </w:r>
    </w:p>
    <w:p>
      <w:pPr>
        <w:spacing w:after="0" w:line="121" w:lineRule="exact"/>
        <w:rPr>
          <w:sz w:val="20"/>
          <w:szCs w:val="20"/>
          <w:color w:val="auto"/>
        </w:rPr>
      </w:pPr>
    </w:p>
    <w:p>
      <w:pPr>
        <w:ind w:left="420" w:right="240" w:hanging="412"/>
        <w:spacing w:after="0" w:line="282"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our named executive officers (“NEO” or "NEOs") and directors beneficially owned approximately 1,646,948 shares, or approximately 17.4% of our outstanding common stock as of March 3, 2026.</w:t>
      </w:r>
    </w:p>
    <w:p>
      <w:pPr>
        <w:spacing w:after="0" w:line="54" w:lineRule="exact"/>
        <w:rPr>
          <w:sz w:val="20"/>
          <w:szCs w:val="20"/>
          <w:color w:val="auto"/>
        </w:rPr>
      </w:pPr>
    </w:p>
    <w:p>
      <w:pPr>
        <w:ind w:left="420" w:right="160"/>
        <w:spacing w:after="0" w:line="282" w:lineRule="auto"/>
        <w:rPr>
          <w:sz w:val="20"/>
          <w:szCs w:val="20"/>
          <w:color w:val="auto"/>
        </w:rPr>
      </w:pPr>
      <w:r>
        <w:rPr>
          <w:rFonts w:ascii="Times New Roman" w:cs="Times New Roman" w:eastAsia="Times New Roman" w:hAnsi="Times New Roman"/>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are the largest principal stockholders?</w:t>
      </w:r>
    </w:p>
    <w:p>
      <w:pPr>
        <w:spacing w:after="0" w:line="121" w:lineRule="exact"/>
        <w:rPr>
          <w:sz w:val="20"/>
          <w:szCs w:val="20"/>
          <w:color w:val="auto"/>
        </w:rPr>
      </w:pPr>
    </w:p>
    <w:p>
      <w:pPr>
        <w:ind w:left="420" w:right="80" w:hanging="412"/>
        <w:spacing w:after="0" w:line="266"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review of Schedule 13G, Schedule 13D, and Form 13F filings, as of March 3, 2026, four institutional stockholders with the largest percentage ownership of our outstanding common stock were Hoak Public Equities, L.P. (7.9%), Allspring Global Investments Holding LLC (6.4%), BlackRock Fund Advisors (5.4%) and Settian Capital LP (5.0%).</w:t>
      </w:r>
    </w:p>
    <w:p>
      <w:pPr>
        <w:spacing w:after="0" w:line="68" w:lineRule="exact"/>
        <w:rPr>
          <w:sz w:val="20"/>
          <w:szCs w:val="20"/>
          <w:color w:val="auto"/>
        </w:rPr>
      </w:pPr>
    </w:p>
    <w:p>
      <w:pPr>
        <w:ind w:left="420" w:right="20"/>
        <w:spacing w:after="0" w:line="266" w:lineRule="auto"/>
        <w:rPr>
          <w:sz w:val="20"/>
          <w:szCs w:val="20"/>
          <w:color w:val="auto"/>
        </w:rPr>
      </w:pPr>
      <w:r>
        <w:rPr>
          <w:rFonts w:ascii="Times New Roman" w:cs="Times New Roman" w:eastAsia="Times New Roman" w:hAnsi="Times New Roman"/>
          <w:sz w:val="18"/>
          <w:szCs w:val="18"/>
          <w:color w:val="auto"/>
        </w:rPr>
        <w:t>Brian O. Casey, our Chief Executive Officer of Westwood Holdings Group, President and Chief Executive Officer of Westwood Wealth Management, and President of Westwood Trust, owned 5.6% of our outstanding common stock as of March 3, 2026. Our employees and directors, including Mr. Casey, collectively owned approximately 37.3% of our outstanding common stock as of March 3,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is soliciting my proxy and who will pay the solicitation expenses?</w:t>
      </w:r>
    </w:p>
    <w:p>
      <w:pPr>
        <w:spacing w:after="0" w:line="121" w:lineRule="exact"/>
        <w:rPr>
          <w:sz w:val="20"/>
          <w:szCs w:val="20"/>
          <w:color w:val="auto"/>
        </w:rPr>
      </w:pPr>
    </w:p>
    <w:p>
      <w:pPr>
        <w:ind w:left="420" w:right="200" w:hanging="412"/>
        <w:spacing w:after="0" w:line="266" w:lineRule="auto"/>
        <w:tabs>
          <w:tab w:leader="none" w:pos="3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68" w:lineRule="exact"/>
        <w:rPr>
          <w:sz w:val="20"/>
          <w:szCs w:val="20"/>
          <w:color w:val="auto"/>
        </w:rPr>
      </w:pPr>
    </w:p>
    <w:p>
      <w:pPr>
        <w:ind w:left="420" w:right="380"/>
        <w:spacing w:after="0" w:line="266" w:lineRule="auto"/>
        <w:rPr>
          <w:sz w:val="20"/>
          <w:szCs w:val="20"/>
          <w:color w:val="auto"/>
        </w:rPr>
      </w:pPr>
      <w:r>
        <w:rPr>
          <w:rFonts w:ascii="Times New Roman" w:cs="Times New Roman" w:eastAsia="Times New Roman" w:hAnsi="Times New Roman"/>
          <w:sz w:val="18"/>
          <w:szCs w:val="18"/>
          <w:color w:val="auto"/>
        </w:rPr>
        <w:t>We have engaged Kingsdale Shareholder Services US LLC (“Kingsdale Advisors”), an independent proxy solicitation firm, to provide strategic advisory services and to solicit proxies on our behalf in connection with our Annual Meeting. Kingsdale Advisors may solicit proxies personally, electronically or by telephone. We have also agreed to indemnify</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8" w:name="page9"/>
    <w:bookmarkEnd w:id="8"/>
    <w:p>
      <w:pPr>
        <w:ind w:left="420" w:right="60"/>
        <w:spacing w:after="0" w:line="266" w:lineRule="auto"/>
        <w:rPr>
          <w:sz w:val="20"/>
          <w:szCs w:val="20"/>
          <w:color w:val="auto"/>
        </w:rPr>
      </w:pPr>
      <w:r>
        <w:rPr>
          <w:rFonts w:ascii="Times New Roman" w:cs="Times New Roman" w:eastAsia="Times New Roman" w:hAnsi="Times New Roman"/>
          <w:sz w:val="18"/>
          <w:szCs w:val="18"/>
          <w:color w:val="auto"/>
        </w:rPr>
        <w:t xml:space="preserve">Kingsdale Advisors and its employees against certain liabilities arising from or in connection with the engagement. If you have any questions or require any assistance with completing your proxy, please contact Kingsdale Advisors by telephone at 1-888-302-5741 (toll free) or 1-917-813-1252 (call or text outside North America) or by email at: </w:t>
      </w:r>
      <w:r>
        <w:rPr>
          <w:rFonts w:ascii="Times New Roman" w:cs="Times New Roman" w:eastAsia="Times New Roman" w:hAnsi="Times New Roman"/>
          <w:sz w:val="18"/>
          <w:szCs w:val="18"/>
          <w:u w:val="single" w:color="auto"/>
          <w:color w:val="auto"/>
        </w:rPr>
        <w:t>contactus@kingsdaleadvisors.com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additional questions?</w:t>
      </w:r>
    </w:p>
    <w:p>
      <w:pPr>
        <w:spacing w:after="0" w:line="121" w:lineRule="exact"/>
        <w:rPr>
          <w:sz w:val="20"/>
          <w:szCs w:val="20"/>
          <w:color w:val="auto"/>
        </w:rPr>
      </w:pPr>
    </w:p>
    <w:p>
      <w:pPr>
        <w:ind w:left="420" w:right="460" w:hanging="412"/>
        <w:spacing w:after="0" w:line="282" w:lineRule="auto"/>
        <w:tabs>
          <w:tab w:leader="none" w:pos="3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Terry Forbes, Chief Financial Officer &amp; Treasurer</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Telephone: (214) 756-6900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question and answer section is qualified in its entirety by the more detailed information contained in this proxy statement.</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2025, filed with the Securities and Exchange Commission (“SEC”) on March 4, 2026 (the “2025 Form 10-K”), which is being sent to you with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Bylaws provide that the Board of Directors of the Company (the “Board” or the “Board of Directors”) will consist of between three and eleven directors, as may be determined from time to time by resolution of the Board. In accordance with the 2026 Annual Meeting of the Board of Directors, the Board approved by vote the number of directors to be six. Each director elected at the 2026 Annual Meeting will serve until the 2027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not serve if elected.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stockholder is entitled to cast one vote for each director nominee per share of common stock held by them at the close of business on March 3,</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2026. The affirmative “FOR” vote of a majority of the shares present in person (or virtually) or represented by proxy and entitled to vote on the election of directors is required for the election of directors. Stockholders may vote “FOR,” “AGAINST,” or “ABSTAIN” with respect to the election of each director nominee. Abstentions will have the same effect as votes against a director nominee, and broker non-votes will have no effect on the outcome of the election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persons nominated to be directors are listed below. The following information is submitted concerning the nominees for election as directors: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Westwood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of Westwood Holdings Group</w:t>
            </w:r>
          </w:p>
        </w:tc>
      </w:tr>
      <w:tr>
        <w:trPr>
          <w:trHeight w:val="31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9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Hale Hoak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1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A. Murray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Janice Ryan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38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1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EACH OF THE DIRECTOR NOMINEES.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biographical information for each director nominee is set forth below.</w:t>
      </w:r>
    </w:p>
    <w:p>
      <w:pPr>
        <w:spacing w:after="0" w:line="11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Brian O. Casey </w:t>
      </w:r>
      <w:r>
        <w:rPr>
          <w:rFonts w:ascii="Times New Roman" w:cs="Times New Roman" w:eastAsia="Times New Roman" w:hAnsi="Times New Roman"/>
          <w:sz w:val="18"/>
          <w:szCs w:val="18"/>
          <w:color w:val="auto"/>
        </w:rPr>
        <w:t>has served as Chief Executive Officer of Westwood Holdings Group since 2005 and became President and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Westwood Wealth Management in 2024, a role he previously held from 1996 to 2013. Mr. Casey joined Westwood in 1992 as a Vice President and was appointed President and Chief Executive Officer of Westwood Trust in 1996. ln 2001, he was named President and Chief Operating Officer of Westwood Management Corp., and in 2002 he led the spin-off to form Westwood Holdings Group, Inc. During his tenure, Mr. Casey led the acquisitions of Woodway Financial Advisors in Houston in 2015 and the assets of Salient Partners in 2022.</w:t>
      </w:r>
    </w:p>
    <w:p>
      <w:pPr>
        <w:spacing w:after="0" w:line="7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Since 2024, Mr. Casey has served on the board of Communify Fincentric, a financial technology platform that provides purpose-built visualizations and integrated data solutions worldwide. Mr. Casey has also served on the Board of the Dallas Museum of Art Endowment since 2025. 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8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the Chief Executive Officer of the Company with over 26 years in senior executive roles at Westwood, Mr. Casey brings extensive knowledge of and experience with the Company and its business, as well as valuable leadership and management skills. Mr. Casey has deep knowledge of the Company's operations, strategies, and competitive environment as well as of the asset management as a whole.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 w:name="page11"/>
    <w:bookmarkEnd w:id="10"/>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Ellen H. Masterson </w:t>
      </w:r>
      <w:r>
        <w:rPr>
          <w:rFonts w:ascii="Times New Roman" w:cs="Times New Roman" w:eastAsia="Times New Roman" w:hAnsi="Times New Roman"/>
          <w:sz w:val="18"/>
          <w:szCs w:val="18"/>
          <w:color w:val="auto"/>
        </w:rPr>
        <w:t>has served as a director of Westwood Holdings Group and Westwood Trust since 2014. She retired as a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(“PwC”) in 2008, having served in such capacity since 1999 and also from 1985 to 1997. Ms. Masterson specialized in the audits of companies involved in several sectors of the financial services industry, 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 largest doctor-owned medical malpractice insurer in the United States. Since 1982, she has served on the boards of directors for numerous nonprofit and charitable organizations.</w:t>
      </w:r>
    </w:p>
    <w:p>
      <w:pPr>
        <w:spacing w:after="0" w:line="8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over 53 years of serving clients and acting as a public company Chief Financial Officer and a trustee of nonprofit organizations.</w:t>
      </w:r>
    </w:p>
    <w:p>
      <w:pPr>
        <w:spacing w:after="0" w:line="66"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Randy A. Bowman </w:t>
      </w:r>
      <w:r>
        <w:rPr>
          <w:rFonts w:ascii="Times New Roman" w:cs="Times New Roman" w:eastAsia="Times New Roman" w:hAnsi="Times New Roman"/>
          <w:sz w:val="18"/>
          <w:szCs w:val="18"/>
          <w:color w:val="auto"/>
        </w:rPr>
        <w:t>has served as a director of Westwood Holdings Group and Westwood Trust since 2021 and as Chairman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2025. In 2001, he co-founded an innovative logistics company serving primarily Fortune 200 manufacturers on the North American continent. As President and Co-Owner, Mr. Bowman led the company to 49 consecutive quarters of operating profit and successfully exited via a sale in 2017. From 1989 to 2001, he served as a corporate finance lawyer, representing publicly-held and privately owned clients in sophisticated transactions ranging from initial capitalizations to ultimate liquidity events. From 2016 to 2020, Mr. Bowman served as a Board member and Chair of the City of Dallas Employee Retirement Fund (“ERP”), the pension fund for the city’s non-first responder employees (and a top-performing municipal pension fund in Texas each of those years). From 2011 to 2015, he served as Board Chair of the Parkland Hospital Foundation, Dallas County’s nationally-renowned trauma and safety net hospital, during the last five years of its fundraising campaign that completed the capital stack to build Parkland’s new $1.3B hospital. In 2017, he launched and became CEO of AT LAST! The Urban Boarding Experience, a non-profit organization that provides 17 hours per day of supplemental educational resources to impoverished elementary school children. Its innovative model has received numerous awards and considerable acclaim since inception.</w:t>
      </w:r>
    </w:p>
    <w:p>
      <w:pPr>
        <w:spacing w:after="0" w:line="8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Mr. Bowman provides deep business acumen in the areas of operations, business development, and strategic planning, with a multi-industry scope, and the perspective of an entrepreneur and former corporate finance lawyer. As former Chair of Dallas’ ERP, he also brings substantial knowledge of a plan sponsor’s perspective in the areas of investment management oversight and decision-making in the allocation process. He also has extensive community knowledge, and reputational and relationship capital through his nonprofit service.</w:t>
      </w:r>
    </w:p>
    <w:p>
      <w:pPr>
        <w:spacing w:after="0" w:line="7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 Hale Hoak </w:t>
      </w:r>
      <w:r>
        <w:rPr>
          <w:rFonts w:ascii="Times New Roman" w:cs="Times New Roman" w:eastAsia="Times New Roman" w:hAnsi="Times New Roman"/>
          <w:sz w:val="18"/>
          <w:szCs w:val="18"/>
          <w:color w:val="auto"/>
        </w:rPr>
        <w:t>has served as a director of Westwood Holdings Group and Westwood Trust since 2025. He has been an active investor in both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publicly-traded companies for over 30 years. Since 2004, Mr. Hoak has served as the President of Hoak &amp; Co., a Dallas-based investment holding company, where he is responsible for the daily operations of the firm including all asset allocation and investment decisions. From 2000 to 2004, Mr. Hoak was a founding partner of Inwood Capital Partners, L.P., a long/short equity hedge fund. From 1996 to 2000, Mr. Hoak was Vice President of Hoak Capital Corporation, where he was active in sourcing, evaluating, and managing private equity investments. Mr. Hoak is the founding equity partner of Berkshire Lane Development Partners, a multifamily apartment development company, and currently serves on the boards of Nova Holdco LLC, a provider of natural gas compression equipment and services; Ruan, Inc., the parent company for Ruan Transportation Management Systems, a leading trucking and logistics company; and BTC Financial Corporation, the largest independent bank in Iowa. Mr. Hoak previously served on the Baylor Health Care System Foundation Board of Directors and Southwestern Medical Foundation Board of Trustees as well as numerous other public and private company boards across a variety of industries. Mr. Hoak received a B.S. degree in Business from Miami University of Ohio in 1996.</w:t>
      </w:r>
    </w:p>
    <w:p>
      <w:pPr>
        <w:spacing w:after="0" w:line="7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Katherine A. Murray </w:t>
      </w:r>
      <w:r>
        <w:rPr>
          <w:rFonts w:ascii="Times New Roman" w:cs="Times New Roman" w:eastAsia="Times New Roman" w:hAnsi="Times New Roman"/>
          <w:sz w:val="18"/>
          <w:szCs w:val="18"/>
          <w:color w:val="auto"/>
        </w:rPr>
        <w:t>has served as a director of Westwood Holdings Group and Westwood Trust since 2025. She has over 41 years of experience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finance executive in the energy sector and public accounting. She currently serves on the audit and compensation committees as well as the board of directors of Core Laboratories, Inc., a public company providing reservoir description and production enhancement services/products with operations in over 50 countries. Since 2018, Ms. Murray has been an independent financial consultant/interim CFO, advising clients on finance strategies, cost optimization, and capital raises. She has also held leadership roles at McDermott International, Inc. and El Paso Corporation, gaining extensive experience in financial reporting, tax, and strategic planning. Ms. Murray began her career with Arthur Andersen and holds a B.B.A. from the University of St. Thomas. She is a certified public accountant. Her financial expertise and extensive experience in senior finance roles in large global energy companies, as well as her public accounting background, enable her to provide valuable insights in her board positions.</w:t>
      </w:r>
    </w:p>
    <w:p>
      <w:pPr>
        <w:spacing w:after="0" w:line="77"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Janice Ryan </w:t>
      </w:r>
      <w:r>
        <w:rPr>
          <w:rFonts w:ascii="Times New Roman" w:cs="Times New Roman" w:eastAsia="Times New Roman" w:hAnsi="Times New Roman"/>
          <w:sz w:val="18"/>
          <w:szCs w:val="18"/>
          <w:color w:val="auto"/>
        </w:rPr>
        <w:t>has served as a director of Westwood Holdings Group and Westwood Trust since 2025. She is a seasoned entrepreneur, board advisor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strategist with over 31 years of experience in leading and scaling technology-driven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1" w:name="page12"/>
    <w:bookmarkEnd w:id="11"/>
    <w:p>
      <w:pPr>
        <w:ind w:right="20"/>
        <w:spacing w:after="0" w:line="253" w:lineRule="auto"/>
        <w:rPr>
          <w:sz w:val="20"/>
          <w:szCs w:val="20"/>
          <w:color w:val="auto"/>
        </w:rPr>
      </w:pPr>
      <w:r>
        <w:rPr>
          <w:rFonts w:ascii="Times New Roman" w:cs="Times New Roman" w:eastAsia="Times New Roman" w:hAnsi="Times New Roman"/>
          <w:sz w:val="18"/>
          <w:szCs w:val="18"/>
          <w:color w:val="auto"/>
        </w:rPr>
        <w:t>companies. She has held executive roles such as founder, CEO, COO and CRO at multiple venture-backed and private equity-backed firms, resulting in four successful acquisitions and one IPO. Ms. Ryan is the founder and chief executive officer of 3Hills Group, an advisory firm focused on growth strategy and innovation for high-performing CEOs and boards that she founded in 2012. She has been a faculty member at The University of Texas at Austin since 2017 where she currently teaches a “Women in Entrepreneurship” course. Previously, she co-founded Social Dynamx, an SaaS-based platform for large-scale social customer care, that was acquired by Lithium Technologies. Ms. Ryan’s strategic counsel has guided companies through critical phases of market expansion, revenue optimization and organizational scaling. In addition to her private sector leadership, Ms. Ryan has held prominent academic and civic roles. She served as executive director of entrepreneurship and innovation at the University of Texas at Austin and co-founded the Kendra Scott Women’s Entrepreneurial Leadership Institute. She currently serves on various councils and task forces in Austin. Her board and advisory expertise includes growth and distribution strategy, client experience transformation, technology risk oversight and ESG-aligned leadership. Ms. Ryan resides in Austin and Wimberley, Texas.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Information</w:t>
      </w:r>
    </w:p>
    <w:p>
      <w:pPr>
        <w:spacing w:after="0" w:line="12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Board of Directors held five meetings during 2025. All director nominees who served in the capacity of director at the time that the meetings were held during the 2025 year attended the meetings; however, due to the timing of their appointments to the Board of Directors, J. Hale Hoak and Katherine A. Murray attended three meetings and Janice Ryan attended two meetings in 2025. The standing committees of the Board of Directors currently consist of the Audit Committee, the Compensation and Human Capital Committee, and the Governance/Nominating Committee. The membership and duties of these committees are described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Compensation and</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Governance/Nominating</w:t>
            </w:r>
          </w:p>
        </w:tc>
        <w:tc>
          <w:tcPr>
            <w:tcW w:w="0" w:type="dxa"/>
            <w:vAlign w:val="bottom"/>
          </w:tcPr>
          <w:p>
            <w:pPr>
              <w:spacing w:after="0"/>
              <w:rPr>
                <w:sz w:val="1"/>
                <w:szCs w:val="1"/>
                <w:color w:val="auto"/>
              </w:rPr>
            </w:pPr>
          </w:p>
        </w:tc>
      </w:tr>
      <w:tr>
        <w:trPr>
          <w:trHeight w:val="201"/>
        </w:trPr>
        <w:tc>
          <w:tcPr>
            <w:tcW w:w="620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Independent Directors</w:t>
            </w:r>
            <w:r>
              <w:rPr>
                <w:rFonts w:ascii="Times New Roman" w:cs="Times New Roman" w:eastAsia="Times New Roman" w:hAnsi="Times New Roman"/>
                <w:sz w:val="18"/>
                <w:szCs w:val="18"/>
                <w:b w:val="1"/>
                <w:bCs w:val="1"/>
                <w:color w:val="auto"/>
                <w:vertAlign w:val="superscript"/>
              </w:rPr>
              <w:t>(1)</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Human</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tcBorders>
              <w:bottom w:val="single" w:sz="8" w:color="CCEEFF"/>
            </w:tcBorders>
            <w:vMerge w:val="continue"/>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Committee</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0" w:type="dxa"/>
            <w:vAlign w:val="bottom"/>
          </w:tcPr>
          <w:p>
            <w:pPr>
              <w:spacing w:after="0"/>
              <w:rPr>
                <w:sz w:val="1"/>
                <w:szCs w:val="1"/>
                <w:color w:val="auto"/>
              </w:rPr>
            </w:pPr>
          </w:p>
        </w:tc>
      </w:tr>
      <w:tr>
        <w:trPr>
          <w:trHeight w:val="34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r>
              <w:rPr>
                <w:rFonts w:ascii="Times New Roman" w:cs="Times New Roman" w:eastAsia="Times New Roman" w:hAnsi="Times New Roman"/>
                <w:sz w:val="23"/>
                <w:szCs w:val="23"/>
                <w:color w:val="auto"/>
                <w:vertAlign w:val="superscript"/>
              </w:rPr>
              <w:t>(2)</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36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(3)</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36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3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Janice Ryan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Hale Hoak</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A. Murray</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96"/>
        </w:trPr>
        <w:tc>
          <w:tcPr>
            <w:tcW w:w="6200" w:type="dxa"/>
            <w:vAlign w:val="bottom"/>
          </w:tcPr>
          <w:p>
            <w:pPr>
              <w:ind w:left="40"/>
              <w:spacing w:after="0"/>
              <w:rPr>
                <w:sz w:val="20"/>
                <w:szCs w:val="20"/>
                <w:color w:val="auto"/>
              </w:rPr>
            </w:pPr>
            <w:r>
              <w:rPr>
                <w:rFonts w:ascii="Times New Roman" w:cs="Times New Roman" w:eastAsia="Times New Roman" w:hAnsi="Times New Roman"/>
                <w:sz w:val="9"/>
                <w:szCs w:val="9"/>
                <w:color w:val="auto"/>
              </w:rPr>
              <w:t>___________________</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right="9800" w:firstLine="8"/>
        <w:spacing w:after="0" w:line="342" w:lineRule="auto"/>
        <w:tabs>
          <w:tab w:leader="none" w:pos="27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 C Committee chair</w:t>
      </w:r>
    </w:p>
    <w:p>
      <w:pPr>
        <w:ind w:left="660" w:right="220" w:hanging="652"/>
        <w:spacing w:after="0" w:line="282" w:lineRule="auto"/>
        <w:tabs>
          <w:tab w:leader="none" w:pos="3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all members of the Audit, Compensation and Human Capital, and Governance/Nominating Committees are "independent directors" under the applicable rules of the NYSE and the Securities and Exchange Commission ("SEC").</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Randy A. Bowman served as Chairman of the Board of Directors and, as such, he chaired executive sessions of the Board of Directors.</w:t>
      </w:r>
    </w:p>
    <w:p>
      <w:pPr>
        <w:spacing w:after="0" w:line="68" w:lineRule="exact"/>
        <w:rPr>
          <w:rFonts w:ascii="Times New Roman" w:cs="Times New Roman" w:eastAsia="Times New Roman" w:hAnsi="Times New Roman"/>
          <w:sz w:val="14"/>
          <w:szCs w:val="14"/>
          <w:color w:val="auto"/>
        </w:rPr>
      </w:pPr>
    </w:p>
    <w:p>
      <w:pPr>
        <w:ind w:left="660" w:right="140" w:hanging="652"/>
        <w:spacing w:after="0" w:line="281" w:lineRule="auto"/>
        <w:tabs>
          <w:tab w:leader="none" w:pos="3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 Geoffrey R. Norman is not seeking reelection to the Board of Directors in 2026.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Committees</w:t>
      </w:r>
    </w:p>
    <w:p>
      <w:pPr>
        <w:spacing w:after="0" w:line="11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operates pursuant to a charter approved by our Board of Directors, which the Audit Committee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periodically to determine if revisions are necessary or appropriate. A copy of the charter is posted on our website at </w:t>
      </w:r>
      <w:r>
        <w:rPr>
          <w:rFonts w:ascii="Times New Roman" w:cs="Times New Roman" w:eastAsia="Times New Roman" w:hAnsi="Times New Roman"/>
          <w:sz w:val="18"/>
          <w:szCs w:val="18"/>
          <w:i w:val="1"/>
          <w:iCs w:val="1"/>
          <w:u w:val="single" w:color="auto"/>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cybersecurity testing and policies, and overall enterprise risk management, including Environmental, Social and Governance ("ESG"). The Audit Committee met five times during 2025. J. Hale Hoak and Katherine A. Murray attended three meetings and</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 w:name="page13"/>
    <w:bookmarkEnd w:id="12"/>
    <w:p>
      <w:pPr>
        <w:ind w:right="160"/>
        <w:spacing w:after="0" w:line="282" w:lineRule="auto"/>
        <w:rPr>
          <w:sz w:val="20"/>
          <w:szCs w:val="20"/>
          <w:color w:val="auto"/>
        </w:rPr>
      </w:pPr>
      <w:r>
        <w:rPr>
          <w:rFonts w:ascii="Times New Roman" w:cs="Times New Roman" w:eastAsia="Times New Roman" w:hAnsi="Times New Roman"/>
          <w:sz w:val="18"/>
          <w:szCs w:val="18"/>
          <w:color w:val="auto"/>
        </w:rPr>
        <w:t>Janice Ryan attended two meetings due to the timing of their appointments to the Board of Directors. All other members of the Audit Committee attended all five meetings.</w:t>
      </w:r>
    </w:p>
    <w:p>
      <w:pPr>
        <w:spacing w:after="0" w:line="5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Compensation and Human Capital Committee</w:t>
      </w:r>
      <w:r>
        <w:rPr>
          <w:rFonts w:ascii="Times New Roman" w:cs="Times New Roman" w:eastAsia="Times New Roman" w:hAnsi="Times New Roman"/>
          <w:sz w:val="18"/>
          <w:szCs w:val="18"/>
          <w:color w:val="auto"/>
        </w:rPr>
        <w:t>. The Compensation and Human Capital Committee (“CHC Committee”) operates pursuant to a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approved by our Board of Directors, which the CHC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u w:val="single" w:color="auto"/>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CHC Committee supports the Board of Directors by establishing our executive compensation philosophy and objectives, overseeing the development and implementation of our compensation, benefits and retirement policies and programs, reviewing and approving Company and individual goals relevant to the compensation of the CEO and other executive officers, recommending the compensation of the CEO for approval by the Board of Directors, and determining and administering the compensation for our other executive officers. In addition, the CHC Committee oversees our incentive compensation plans, determines any incentive awards to be made to our officers, oversees our stock incentive and other equity ownership plans, reviews management development and succession plans related to executive officers, reviews our human capital initiatives related to diversity, equity and inclusion programs and other workforce initiatives, as well as oversees other matters relating to compensation and benefits. The CHC Committee met five times during 2025. J. Hale Hoak and Katherine A. Murray attended three meetings and Janice Ryan attended two meetings due to the timing of their appointments to the Board of Directors. All other members of the CHC Committee attended all five meetings.</w:t>
      </w:r>
    </w:p>
    <w:p>
      <w:pPr>
        <w:spacing w:after="0" w:line="81" w:lineRule="exact"/>
        <w:rPr>
          <w:sz w:val="20"/>
          <w:szCs w:val="20"/>
          <w:color w:val="auto"/>
        </w:rPr>
      </w:pPr>
    </w:p>
    <w:p>
      <w:pPr>
        <w:ind w:right="580" w:firstLine="405"/>
        <w:spacing w:after="0" w:line="266" w:lineRule="auto"/>
        <w:rPr>
          <w:sz w:val="20"/>
          <w:szCs w:val="20"/>
          <w:color w:val="auto"/>
        </w:rPr>
      </w:pPr>
      <w:r>
        <w:rPr>
          <w:rFonts w:ascii="Times New Roman" w:cs="Times New Roman" w:eastAsia="Times New Roman" w:hAnsi="Times New Roman"/>
          <w:sz w:val="18"/>
          <w:szCs w:val="18"/>
          <w:color w:val="auto"/>
        </w:rPr>
        <w:t>The Company’s CEO, who is not a member of the CHC Committee, attended all of the CHC Committee’s meetings held in 2025 in order to contribute to and understand the CHC Committee’s oversight of our executive compensation program. The CEO did not attend portions of meetings relating to his own compensation. The CHC Committee regularly conducts executive sessions without management present.</w:t>
      </w:r>
    </w:p>
    <w:p>
      <w:pPr>
        <w:spacing w:after="0" w:line="6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CHC Committee engages in an ongoing dialog with the CEO and the CHC Committee’s independent compensation consultants in the evaluation and establishment of our executive compensation program and receives input from the Senior Vice President, Head of Human Capital, when making executive compensation decisions.</w:t>
      </w:r>
    </w:p>
    <w:p>
      <w:pPr>
        <w:spacing w:after="0" w:line="6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CHC Committee retained McLagan Partners to serve as an independent consultant to the CHC Committee regarding executive compensation. The CHC Committee did not direct McLagan Partners to perform its services in any particular manner or under any particular method. The CHC Committee has the final authority to retain the compensation consultant and it evaluates the compensation consultant annually. The CHC Committee has determined that no conflicts of interest exist as a result of the engagement of McLagan Partners.</w:t>
      </w:r>
    </w:p>
    <w:p>
      <w:pPr>
        <w:spacing w:after="0" w:line="70" w:lineRule="exact"/>
        <w:rPr>
          <w:sz w:val="20"/>
          <w:szCs w:val="20"/>
          <w:color w:val="auto"/>
        </w:rPr>
      </w:pPr>
    </w:p>
    <w:p>
      <w:pPr>
        <w:ind w:right="18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Governance/Nominating Committee. </w:t>
      </w:r>
      <w:r>
        <w:rPr>
          <w:rFonts w:ascii="Times New Roman" w:cs="Times New Roman" w:eastAsia="Times New Roman" w:hAnsi="Times New Roman"/>
          <w:sz w:val="18"/>
          <w:szCs w:val="18"/>
          <w:color w:val="auto"/>
        </w:rPr>
        <w:t>The Governance/Nominating Committee operates pursuant to a charter approved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the Governance/Nominating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u w:val="single" w:color="auto"/>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primary functions of the Governance/Nominating Committee are to develop and oversee the application of corporate governance principles to Westwood, review and assess the composition of the Board, to identify and evaluate qualified candidates for Board membership, to recommend director nominees to the Board to be voted on at the annual meeting of stockholders, develop and recommend Corporate Governance Guidelines and determine a director’s independence, coordinate educational sessions on topics, and communicate with members of the Board regarding Board and committee meeting format and procedures. Randy A. Bowman chaired the Governance/Nominating Committee until April 2025. The Governance/Nominating Committee met four times during 2025. J. Hale Hoak and Katherine A. Murray attended three meetings and Janice Ryan attended two meetings due to the timing of their appointments to the Board of Directors. All other members of the Governance/Nominating Committee attended all four meetings.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Independence</w:t>
      </w:r>
    </w:p>
    <w:p>
      <w:pPr>
        <w:spacing w:after="0" w:line="119"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regarding director independence, among other matters. The full text of our Corporate Governance Guidelines is available on our website at </w:t>
      </w:r>
      <w:r>
        <w:rPr>
          <w:rFonts w:ascii="Times New Roman" w:cs="Times New Roman" w:eastAsia="Times New Roman" w:hAnsi="Times New Roman"/>
          <w:sz w:val="18"/>
          <w:szCs w:val="18"/>
          <w:i w:val="1"/>
          <w:iCs w:val="1"/>
          <w:u w:val="single" w:color="auto"/>
          <w:color w:val="auto"/>
        </w:rPr>
        <w:t>westwoodgroup.com</w:t>
      </w:r>
      <w:r>
        <w:rPr>
          <w:rFonts w:ascii="Times New Roman" w:cs="Times New Roman" w:eastAsia="Times New Roman" w:hAnsi="Times New Roman"/>
          <w:sz w:val="18"/>
          <w:szCs w:val="18"/>
          <w:color w:val="auto"/>
        </w:rPr>
        <w:t>. In addition, a copy of our Corporate Governance Guidelines is available upon written request to our Corporate Secretary at our principal executive office (Westwood Holdings Group, 200 Crescent Court, Suite 1200, Dallas, Texas 75201).</w:t>
      </w:r>
    </w:p>
    <w:p>
      <w:pPr>
        <w:spacing w:after="0" w:line="72"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Pursuant to our Corporate Governance Guidelines, a majority of the members of our Board, as well as of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Securities Exchange Act of 1934, as amended (the “Exchange Act”). Our Board of Directors reviews director independence annually. In the 2025 review, the Board reviewed directors’ responses to a questionnaire inquiring about their relationships and the relationships of their family members with us, and other potential conflicts of interest. Our Board is aware that some of our directors and individuals or entities affiliated with such directors have asset management accounts held by one of our subsidiaries and managed by us. Our Board of Directors did not consider donations made during 2025 by Ms. Byrne, Messrs. Casey or Frank to AT LAST! to be an impairment of Mr.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260"/>
        <w:spacing w:after="0" w:line="282" w:lineRule="auto"/>
        <w:rPr>
          <w:sz w:val="20"/>
          <w:szCs w:val="20"/>
          <w:color w:val="auto"/>
        </w:rPr>
      </w:pPr>
      <w:r>
        <w:rPr>
          <w:rFonts w:ascii="Times New Roman" w:cs="Times New Roman" w:eastAsia="Times New Roman" w:hAnsi="Times New Roman"/>
          <w:sz w:val="18"/>
          <w:szCs w:val="18"/>
          <w:color w:val="auto"/>
        </w:rPr>
        <w:t>Bowman’s independence. After noting such items our Board of Directors unanimously determined that none of these relationships constituted a material relationship with us that would affect the “independence” of any such director under SEC and NYSE rules.</w:t>
      </w:r>
    </w:p>
    <w:p>
      <w:pPr>
        <w:spacing w:after="0" w:line="5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Board has affirmatively determined that Messrs. Norman, Bowman, and Hoak and Mses. Masterson, Murray, and Ryan are “independent” as defined under SEC and NYSE rules. Mr. Casey, who served as an executive officer of the Company during 2025, is not an independent director.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Leadership Structure</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separates the roles of Chief Executive Officer and Chairman of the Board; however, the Board does not have a policy that requires these two roles to remain separate. Brian O. Casey serves as Chief Executive Officer of Westwood Holdings Group, President and Chief Executive Officer of Westwood Wealth Management, President of Westwood Trust and board director, and Richard M. Frank served as our Chairman of the Board in 2025 until the Annual Meeting of Stockholders at which time he stepped down from that role. The Board of Directors appointed Randy A. Bowman as the new Chairman of the Board at the board meeting held in April 2025. As Chief Executive Officer, Mr. Casey manages the day-to-day operations of the Company together with Fabian Gomez, our President and Chief Operating Officer. Mr. Casey provides leadership on the Company’s key strategic objectives. The Chairman of the Board (i) provides leadership to the Board and chairs its meetings, (ii) chairs executive sessions of the non-management directors, and (iii) sets the agendas for such meetings and sessions. In accordance with our Corporate Governance Guidelines, our non-management directors meet in executive session without the presence of management on a regular basis.</w:t>
      </w:r>
    </w:p>
    <w:p>
      <w:pPr>
        <w:spacing w:after="0" w:line="8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With a supermajority of independent directors, an Audit Committee, a CHC Committee, and a Governance/Nominating Committee each comprised entirely of independent directors, and an independent Chairman of the Board who chairs all executive sessions of the non-management directors, the Board of Directors believes that its current leadership structure provides an appropriate balance that best serves the Company and its stockholders.</w:t>
      </w:r>
    </w:p>
    <w:p>
      <w:pPr>
        <w:spacing w:after="0" w:line="6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Board has adopted a Board Refreshment Policy that sets age limits and tenure caps for Board members, with the ability to delay a limit or cap where appropriate. The Board Refreshment Policy also requires the Board to engage in routine evaluations of its members and establishes Director Emerita/us positions on the Board.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Board’s Role in Risk Oversight</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AI, cybersecurity, ESG and strategic risks. The Audit Committee is responsible for oversight of risks relating to accounting matters, financial reporting, cybersecurity, and legal and regulatory compliance. To satisfy these oversight responsibilities, the Audit Committee meets regularly with management, Protiviti, the Company’s internal auditor, and BDO, the Company's independent auditor. The Audit Committee also oversees and approves the engagement of a third-party service provider to perform cybersecurity assistance services and cybersecurity testing throughout the year. The CHC Committee is responsible for overseeing risks relating to employment policies and the Company's compensation and benefits programs, including diversity, equity and inclusion. To satisfy these oversight responsibilities, the CHC Committee meets regularly with management to understand the implications of compensation decisions, particularly the risks our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8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Board’s risk oversight function is supported by Mr. Casey, our Chief Executive Officer of the Company, President and Chief Executive Officer of Westwood Wealth Management, President of Westwood Trust and board director whose industry knowledge and experience provide the Board with a deep understanding of risks facing the Company. The Board of Directors believes that having Mr. Casey on the Board, together with a supermajority of independent directors and three wholly independent Board committees, provides the appropriate leadership structure for effective risk oversight by the Board.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Compensation Policies and Practices</w:t>
      </w:r>
    </w:p>
    <w:p>
      <w:pPr>
        <w:spacing w:after="0" w:line="119"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As part of its oversight of our executive and non-executive compensation programs, the CHC Committee considers the impact on our risk profile of our compensation programs, including incentive awards. The CHC Committee reviews its compensation policies and procedures, including incentives and other factors that may influence excessive risk-taking, to determine whether they present a material risk to the Company. The CHC Committee also utilizes these risk mitigating factors:</w:t>
      </w:r>
    </w:p>
    <w:p>
      <w:pPr>
        <w:spacing w:after="0" w:line="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compensation levels that are competitive with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annual cash incentive awards;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authority to reduce annual cash incentive awards;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left="660" w:right="1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awards to reward executives and other key employees for driving sustainable, profitable growth for stockholders and clients;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periods for long-term equity incentive awards that encourage key employees to focus on sustained stock price appreciation;</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over financial reporting and other financial, operational and compliance policies and practices that are intended to prevent manipulation of performance;</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key risk mitigating policies, including a clawback policy to recover incentives for financial restatements due to misconduct or fraud, and stock ownership guidelines that require officers and directors to own a significant amount of Company stock;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related to the promotion of diversity, equity and inclusion in our workforce.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Core Principles</w:t>
      </w:r>
    </w:p>
    <w:p>
      <w:pPr>
        <w:spacing w:after="0" w:line="1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Since inception, we have fostered a corporate culture focused on a set of core values. We have found inspiration in Coach John Wooden’s Pyramid of Success™ which helps us aspire to and maintain a culture of teamwork, integrity and putting client interests ahead of our own.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ESG focus is guided by the following six pillars:</w:t>
      </w:r>
    </w:p>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and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investing;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w:t>
      </w:r>
    </w:p>
    <w:p>
      <w:pPr>
        <w:spacing w:after="0" w:line="117"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We include ESG pillars in conducting our business and measure ourselves against them because they make good sense. It improves our ability to create an environment that values true diversity, inclusiveness and transparency and ultimately supports long-term employee growth. Our focus on transparency, corporate governance, life principles, ethical conduct and giving back to the communities in which we operate is central to our values.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Westwood is committed to the successful integration and promotion of ESG at the corporate level and the investment level. We have separate governing structures to ensure that we have the necessary leadership to create and sustain a clear corporate strategy across our business. The separation of responsibilities among these governing structures ensures proper accountability across our firm.</w:t>
      </w:r>
    </w:p>
    <w:p>
      <w:pPr>
        <w:spacing w:after="0" w:line="68"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Westwood’s Board plays an important role to ensure that the interests of shareholders are represented and that Westwood is fulfilling its fiduciary duties. The Board regularly interacts with management to ensure that stakeholder interests are properly considered. Management regularly updates the Board on our ESG efforts and collaboration between the Board and those responsible for ESG is key to our implementation strategy. Our Board benefits from deep industry experience and a majority of its members are independent which enables strong oversight of our business.</w:t>
      </w:r>
    </w:p>
    <w:p>
      <w:pPr>
        <w:spacing w:after="0" w:line="7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Westwood’s ESG Steering Committee is responsible for ensuring effective execution of our overall ESG strategy. Along with our CEO, this group sets the strategic direction for our ESG agenda, oversees its implementation, and reviews our ESG strategy with our Board.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Responsible Investment / ESG Integration</w:t>
      </w:r>
    </w:p>
    <w:p>
      <w:pPr>
        <w:spacing w:after="0" w:line="11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responsible investment commitment is evident in our overall investment approach where we take a fundamental approach to identifying high-quality companies and sound businesses around the world. As an active asset manager, ESG issues are directly considered in our bottom-up, fundamental assessment of companies. Our fundamental, financial materiality-based approach to identifying high-quality companies and businesses around the world leads our investment team to consider these issues in their fundamental analyses of the merits of a company's strategy, downside risk and valuation. As ESG integration and evaluation techniques evolve we will adapt to ensure compliance with our fiduciary responsibilities.</w:t>
      </w:r>
    </w:p>
    <w:p>
      <w:pPr>
        <w:spacing w:after="0" w:line="7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Engagement</w:t>
      </w:r>
    </w:p>
    <w:p>
      <w:pPr>
        <w:spacing w:after="0" w:line="11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part of our fundamental investment research process, our analysts conduct meetings with target company management and investor relations to understand strategy, execution and financial strength throughout the life of our investment. Meetings inform our investment analysis and amplify our understanding of a business’s ability to adapt to changing business environments. Meetings can take place in person, during investment conferences or video calls, and they often build on long-standing relationships. Our understanding of material issues affecting the company is shared with the team in our valuation analyses and recommendations made by our research analysts.</w:t>
      </w:r>
    </w:p>
    <w:p>
      <w:pPr>
        <w:spacing w:after="0" w:line="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Westwood does not set and track engagement objectives. We engage on specific topics on a case-by-case basis and when ESG or other issues are of specific concern, our team seeks to understand how the company plans to address relevant issues and then tracks them over time. Our engagement is generally conducted via direct dialogue between our investment professionals and company managements which is a more constructive approach toward understanding issues and encouraging solutions that provide value to stakeholders.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w:t>
      </w:r>
    </w:p>
    <w:p>
      <w:pPr>
        <w:spacing w:after="0" w:line="11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Westwood views proxy voting rights as valuable portfolio assets. Our overarching principle is to exercise voting responsibilities solely in the best interests of our clients. We use proxy voting as a means of addressing corporate governance issues and identifying corporate actions that enhance shareholder value. Our process benefits from multiple inputs and directly involves our investment professionals.</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Westwood uses guidelines from a third-party proxy research service, Glass, Lewis &amp; Co. ("Glass Lewis"), that we believe create value for our clients and cover most proxy issues. The Investment Operations Team, including the head of data governance, oversees the implementation of our proxy voting policy. Westwood’s Corporate Responsibility Committee, together with our investment team’s bi-monthly review of ballots, evaluates the alignment of Glass-Lewis proxy voting guidelines on environmental and social issues with our financial-materiality-based view of ESG integration. The Glass Lewis policy states that it will vote in favor when there is a clear link between the proposal and value enhancement or risk mitigation. Our goal is to vote all proxies and we generally follow the recommendations of our proxy research service however our Research Analysts occasionally recommend a vote that differs from Glass Lewis. We vote against recommendations when we believe that it serves our clients’ best interests. An annual summary of voting is sent to each client for whom proxies are voted.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 and Corporate Giving</w:t>
      </w:r>
    </w:p>
    <w:p>
      <w:pPr>
        <w:spacing w:after="0" w:line="119" w:lineRule="exact"/>
        <w:rPr>
          <w:sz w:val="20"/>
          <w:szCs w:val="20"/>
          <w:color w:val="auto"/>
        </w:rPr>
      </w:pPr>
    </w:p>
    <w:p>
      <w:pPr>
        <w:ind w:right="40" w:firstLine="486"/>
        <w:spacing w:after="0" w:line="277" w:lineRule="auto"/>
        <w:rPr>
          <w:sz w:val="20"/>
          <w:szCs w:val="20"/>
          <w:color w:val="auto"/>
        </w:rPr>
      </w:pPr>
      <w:r>
        <w:rPr>
          <w:rFonts w:ascii="Times New Roman" w:cs="Times New Roman" w:eastAsia="Times New Roman" w:hAnsi="Times New Roman"/>
          <w:sz w:val="17"/>
          <w:szCs w:val="17"/>
          <w:color w:val="auto"/>
        </w:rPr>
        <w:t>Westwood has a long history of community involvement and support of local charitable causes. This involvement is a cornerstone of our culture, drives employee engagement and makes employees proud to work at Westwood. In honoring Westwood’s history of community involvement and support of local charitable causes, Westwood supports and partners with organizations that embrace activities that align with Westwood’s core values of teamwork, excellence, integrity and placement of client and stakeholder interests above our own. Every year, Westwood supports a number of charitable organizations financially and via employee volunteer efforts focused on issues like education, children’s needs, homelessness, food insecurity and disaster relief.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Stockholder Recommendations for Director Candidates</w:t>
      </w:r>
    </w:p>
    <w:p>
      <w:pPr>
        <w:spacing w:after="0" w:line="119"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7"/>
          <w:szCs w:val="17"/>
          <w:color w:val="auto"/>
        </w:rPr>
        <w:t>The Board of Directors has delegated specific responsibilities to the Governance/Nominating Committee relating to selection of directors to serve on the Board. The Governance/Nominating Committee is responsible for identifying potential candidates for Board membership and for recommending a slate of director candidates to stand for election at the Annual Meeting of our Stockholders. The Governance/Nominating Committee seeks to identify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 (v) are individuals with inquiring minds willing to challenge and stimulate management, (vi) offer diversity to the Board, with diversity being broadly construed to mean a variety of opinions, perspectives, experiences, and backgrounds, such as gender, race and ethnic differences, as well as other differentiating characteristics, and</w:t>
      </w:r>
    </w:p>
    <w:p>
      <w:pPr>
        <w:ind w:right="60" w:firstLine="8"/>
        <w:spacing w:after="0" w:line="260" w:lineRule="auto"/>
        <w:tabs>
          <w:tab w:leader="none" w:pos="3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the interests of Westwood as a whole and not just the interests of a particular stockholder or group. The Governance/Nominating Committee believes these criteria are the key factors in identifying qualified director candidates.</w:t>
      </w:r>
    </w:p>
    <w:p>
      <w:pPr>
        <w:spacing w:after="0" w:line="7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Governance/Nominating Committee has a policy for considering new director candidates recommended by our stockholders if such recommendations are made in compliance with applicable laws, rules and regulations, our Bylaws, and procedures established by the Governance/Nominating Committee. Director candidates recommended by stockholders are evaluated by the Governance/Nominating Committee using the same criteria described in the previous paragraph. Stockholders may submit their recommendations to the attention of the Board of Directors by following the procedures provided below under the heading “Communications with the Board.”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16" w:name="page17"/>
    <w:bookmarkEnd w:id="16"/>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Under our Bylaws, stockholders can nominate persons for election to our Board of Directors. Any director nomination must comply with the requirements set forth in our Bylaws and must be received by our Corporate Secretary at our principal executive offices between the close of business on December 31, 2026 and the close of business on January 30, 2027, except in certain circumstances set forth in our Bylaws.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Communications with the Board</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w:t>
      </w:r>
      <w:r>
        <w:rPr>
          <w:rFonts w:ascii="Times New Roman" w:cs="Times New Roman" w:eastAsia="Times New Roman" w:hAnsi="Times New Roman"/>
          <w:sz w:val="18"/>
          <w:szCs w:val="18"/>
          <w:u w:val="single" w:color="auto"/>
          <w:color w:val="auto"/>
        </w:rPr>
        <w:t>legal@westwoodgroup.com</w:t>
      </w:r>
      <w:r>
        <w:rPr>
          <w:rFonts w:ascii="Times New Roman" w:cs="Times New Roman" w:eastAsia="Times New Roman" w:hAnsi="Times New Roman"/>
          <w:sz w:val="18"/>
          <w:szCs w:val="18"/>
          <w:color w:val="auto"/>
        </w:rPr>
        <w:t>, or by telephone to 214-756-6900. Our Corporate Compliance Officer will forward correspondence to its intended addressee.</w:t>
      </w:r>
    </w:p>
    <w:p>
      <w:pPr>
        <w:spacing w:after="0" w:line="7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Board encourages stockholder communication with the Board and company management. The Company conducts ongoing stockholder outreach and holds meetings or calls with requesting stockholders. Additionally, our Chief Executive Officer routinely conducts calls with the Company’s largest stockholders.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 stockholder or other interested party is encouraged to contact directly the Chairman of the Audit Committee, Ellen H. Masterson at </w:t>
      </w:r>
      <w:r>
        <w:rPr>
          <w:rFonts w:ascii="Times New Roman" w:cs="Times New Roman" w:eastAsia="Times New Roman" w:hAnsi="Times New Roman"/>
          <w:sz w:val="18"/>
          <w:szCs w:val="18"/>
          <w:u w:val="single" w:color="auto"/>
          <w:color w:val="auto"/>
        </w:rPr>
        <w:t>emasterson@westwoodgroup.com</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Stockholders may also communicate with Board members at the Company’s annual meeting of stockholders, as it is our policy that Board members should attend such meetings and make themselves available to address any matters properly brought before the meetings. Instructions for methods to communicate with board members at any virtual annual meeting of stockholders will be explained at the outset of the meeting. All of our Board members serving at the time of the meeting attended the 2025 Annual Meeting of Stockholders.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Code of Business Conduct</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Times New Roman" w:cs="Times New Roman" w:eastAsia="Times New Roman" w:hAnsi="Times New Roman"/>
          <w:sz w:val="18"/>
          <w:szCs w:val="18"/>
          <w:i w:val="1"/>
          <w:iCs w:val="1"/>
          <w:u w:val="single" w:color="auto"/>
          <w:color w:val="auto"/>
        </w:rPr>
        <w:t>westwoodgroup.com</w:t>
      </w:r>
      <w:r>
        <w:rPr>
          <w:rFonts w:ascii="Times New Roman" w:cs="Times New Roman" w:eastAsia="Times New Roman" w:hAnsi="Times New Roman"/>
          <w:sz w:val="18"/>
          <w:szCs w:val="18"/>
          <w:color w:val="auto"/>
        </w:rPr>
        <w:t>. A copy of the Code of Business Conduct may be obtained upon written request to our Corporate Secretary at our principal executive office address. We intend to post amendments to or waivers from the Code of Business Conduct as required by applicable rules on our website.</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employees are required to report any conduct that they believe could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For 2025, we paid each non-employee member of our Board of Directors a $70,000 annual retainer. The Chairman of the Board received an additional $20,000 annual retainer, the committee chairs for the Audit and CHC Committees each received an additional $15,000 annual retainer and the committee chair for the Governance/Nominating Committee received an additional $10,000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$95,000 on the date of the award. Stock awards include a $90,000 award for each non-employee director and a $5,000 award for each non-employee director also serving on the separate Board of Directors for Westwood Trust.</w:t>
      </w:r>
    </w:p>
    <w:p>
      <w:pPr>
        <w:spacing w:after="0" w:line="8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Board has established stock ownership guidelines for non-employee directors, all of whom are in compliance with the policy by holding the required net vested shares until such time as the minimum is achieved.</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CHC Committee reviews our compensation arrangements for directors from time to time. Brian O. Casey, our Chief Executive Officer of the Company, President and Chief Executive Officer of Westwood Wealth Management, and President of Westwood Trust, is not included in this table as he is a Company employee and receives no compensation for his service as a Board director. See "Executive Compensation" for information concerning Mr. Casey's compensation. The Company's executive officers do not make recommendations regarding the non-employee directors' compensation.</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2025 Director Summary Compensation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(2)</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4"/>
        </w:trPr>
        <w:tc>
          <w:tcPr>
            <w:tcW w:w="5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0" w:type="dxa"/>
            <w:vAlign w:val="bottom"/>
          </w:tcPr>
          <w:p>
            <w:pPr>
              <w:spacing w:after="0"/>
              <w:rPr>
                <w:sz w:val="1"/>
                <w:szCs w:val="1"/>
                <w:color w:val="auto"/>
              </w:rPr>
            </w:pPr>
          </w:p>
        </w:tc>
      </w:tr>
      <w:tr>
        <w:trPr>
          <w:trHeight w:val="31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190,000</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Janice Ryan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17,500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18,500</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Hale Hoak</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132,000</w:t>
            </w:r>
          </w:p>
        </w:tc>
        <w:tc>
          <w:tcPr>
            <w:tcW w:w="0" w:type="dxa"/>
            <w:vAlign w:val="bottom"/>
          </w:tcPr>
          <w:p>
            <w:pPr>
              <w:spacing w:after="0"/>
              <w:rPr>
                <w:sz w:val="1"/>
                <w:szCs w:val="1"/>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A. Murray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35,000</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132,000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w:t>
      </w:r>
    </w:p>
    <w:p>
      <w:pPr>
        <w:spacing w:after="0" w:line="8"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also earns a $1,000 annual retainer and $1,000 for each regularly scheduled quarterly meeting for serving on the separate Board of Directors of Westwood Trust.</w:t>
      </w:r>
    </w:p>
    <w:p>
      <w:pPr>
        <w:spacing w:after="0" w:line="11" w:lineRule="exact"/>
        <w:rPr>
          <w:rFonts w:ascii="Times New Roman" w:cs="Times New Roman" w:eastAsia="Times New Roman" w:hAnsi="Times New Roman"/>
          <w:sz w:val="14"/>
          <w:szCs w:val="14"/>
          <w:color w:val="auto"/>
        </w:rPr>
      </w:pPr>
    </w:p>
    <w:p>
      <w:pPr>
        <w:ind w:left="340" w:right="40" w:hanging="332"/>
        <w:spacing w:after="0" w:line="257" w:lineRule="auto"/>
        <w:tabs>
          <w:tab w:leader="none" w:pos="32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include a $90,000 award of time-based restricted stock for each non-employee director and a $5,000 award of time-based restricted stock for each non-employee director serving on the separate Board of Directors for Westwood Trust. Stock awards reflect the grant date fair value of the time-based restricted stock granted to directors in 2025 in accordance with Accounting Standards Codification Topic 718 ("ASC 718"), "Stock Compensation." The assumptions used in the valuation of the restricted stock awards are discussed in Note 8 "Employee Benefits" of our audited financial statements, which are included in our 2025 Annual Report on Form 10-K. All restricted stock grants were made under the Westwood Holdings Group, Inc. Stock Incentive Plan and are subject to a one-year vesting period as described above.</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Janice Ryan joined the Board of Directors in July 2025 after the Annual Meeting and did not receive a stock award for 2025 as a result.</w:t>
      </w:r>
    </w:p>
    <w:p>
      <w:pPr>
        <w:spacing w:after="0" w:line="200" w:lineRule="exact"/>
        <w:rPr>
          <w:sz w:val="20"/>
          <w:szCs w:val="20"/>
          <w:color w:val="auto"/>
        </w:rPr>
      </w:pP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December 31, 2025, our directors, other than Brian O. Casey, held the following unvested restricted stock: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r>
      <w:tr>
        <w:trPr>
          <w:trHeight w:val="172"/>
        </w:trPr>
        <w:tc>
          <w:tcPr>
            <w:tcW w:w="9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r>
      <w:tr>
        <w:trPr>
          <w:trHeight w:val="244"/>
        </w:trPr>
        <w:tc>
          <w:tcPr>
            <w:tcW w:w="9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Stock </w:t>
            </w:r>
            <w:r>
              <w:rPr>
                <w:rFonts w:ascii="Times New Roman" w:cs="Times New Roman" w:eastAsia="Times New Roman" w:hAnsi="Times New Roman"/>
                <w:sz w:val="18"/>
                <w:szCs w:val="18"/>
                <w:b w:val="1"/>
                <w:bCs w:val="1"/>
                <w:color w:val="auto"/>
                <w:w w:val="98"/>
                <w:vertAlign w:val="superscript"/>
              </w:rPr>
              <w:t>(1)</w:t>
            </w:r>
          </w:p>
        </w:tc>
      </w:tr>
      <w:tr>
        <w:trPr>
          <w:trHeight w:val="358"/>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5,690</w:t>
            </w:r>
          </w:p>
        </w:tc>
      </w:tr>
      <w:tr>
        <w:trPr>
          <w:trHeight w:val="365"/>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5,690</w:t>
            </w:r>
          </w:p>
        </w:tc>
      </w:tr>
      <w:tr>
        <w:trPr>
          <w:trHeight w:val="365"/>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5,690</w:t>
            </w:r>
          </w:p>
        </w:tc>
      </w:tr>
      <w:tr>
        <w:trPr>
          <w:trHeight w:val="27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Hale Hoak</w:t>
            </w:r>
            <w:r>
              <w:rPr>
                <w:rFonts w:ascii="Times New Roman" w:cs="Times New Roman" w:eastAsia="Times New Roman" w:hAnsi="Times New Roman"/>
                <w:sz w:val="23"/>
                <w:szCs w:val="23"/>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5,690</w:t>
            </w:r>
          </w:p>
        </w:tc>
      </w:tr>
      <w:tr>
        <w:trPr>
          <w:trHeight w:val="27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A. Murray</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5,690</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85"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on April 30, 2025 with a vesting date of April 30, 2026, subject to such director's continued service as a director through the vesting date.</w:t>
      </w:r>
    </w:p>
    <w:p>
      <w:pPr>
        <w:spacing w:after="0" w:line="1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Biographical information regarding Westwood's executive officers and other key employees during 2025 is as follows: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Brian O. Casey, </w:t>
      </w:r>
      <w:r>
        <w:rPr>
          <w:rFonts w:ascii="Times New Roman" w:cs="Times New Roman" w:eastAsia="Times New Roman" w:hAnsi="Times New Roman"/>
          <w:sz w:val="18"/>
          <w:szCs w:val="18"/>
          <w:color w:val="auto"/>
        </w:rPr>
        <w:t>age 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biographical information in the "Proposal 1 – Election of Directors" section.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Fabian Gomez, </w:t>
      </w:r>
      <w:r>
        <w:rPr>
          <w:rFonts w:ascii="Times New Roman" w:cs="Times New Roman" w:eastAsia="Times New Roman" w:hAnsi="Times New Roman"/>
          <w:sz w:val="18"/>
          <w:szCs w:val="18"/>
          <w:color w:val="auto"/>
        </w:rPr>
        <w:t>age 60, is President and Chief Operating Officer at Westwood Holdings Group. He has served as President of Westwood since May</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2022 and Chief Operating Officer since July 2023. He previously served as Senior Vice President, Chief Operating Officer from 2018 to May 2022. He served as Chief Information Officer and Director of Operations beginning in 2015 until 2018. Before joining Westwood, Mr. Gomez worked at Invesco Ltd. as Global Head of Equity and Alternative Investment Applications responsible for strategic planning, oversight of all major project initiatives, and staff development at a global level. Mr. Gomez worked at McDonnell Investment Management for six years as a Managing Director and Chief Information Officer and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David O. Linton</w:t>
      </w:r>
      <w:r>
        <w:rPr>
          <w:rFonts w:ascii="Times New Roman" w:cs="Times New Roman" w:eastAsia="Times New Roman" w:hAnsi="Times New Roman"/>
          <w:sz w:val="18"/>
          <w:szCs w:val="18"/>
          <w:color w:val="auto"/>
        </w:rPr>
        <w:t>, age 61, has over 30 years of experience in financial services and has served as Managing Director, Head of Distribution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Westwood since November 2022. In this role, he is responsible for the overall distribution strategy and support structure for the firm and leads our Institutional Sales and Client Service efforts. Prior to joining Westwood, Mr. Linton served as managing director and head of distribution at Salient Partners, L.P. from 2012 to 2022 , where he was responsible for internal and external sales and national accounts. Before joining Salient Partners, he was head of sales for Van Kampen Investments from 2004 to 2010, a division of Morgan Stanley, where he led a team of 150 professionals focused on internal/external sales, national accounts, closed-end funds, unit investment trusts (UITs), separate accounts, variable annuities and 401(k)s. Mr. Linton was also a managing director for Morgan Stanley Investment Management from 2005 to 2010. Prior to that, he held national sales leadership roles for Sun America, ING/Pilgrim and NorthStar. Mr. Linton earned a B.A. in Economics from St. Lawrence University.</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no family relationships among the directors, executive officers and other key employees of Westwood.</w:t>
      </w:r>
    </w:p>
    <w:p>
      <w:pPr>
        <w:sectPr>
          <w:pgSz w:w="11900" w:h="16838" w:orient="portrait"/>
          <w:cols w:equalWidth="0" w:num="1">
            <w:col w:w="11220"/>
          </w:cols>
          <w:pgMar w:left="320" w:top="549" w:right="35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7" w:lineRule="exact"/>
        <w:rPr>
          <w:sz w:val="20"/>
          <w:szCs w:val="20"/>
          <w:color w:val="auto"/>
        </w:rPr>
      </w:pPr>
    </w:p>
    <w:p>
      <w:pPr>
        <w:ind w:right="260" w:firstLine="405"/>
        <w:spacing w:after="0" w:line="281" w:lineRule="auto"/>
        <w:rPr>
          <w:sz w:val="20"/>
          <w:szCs w:val="20"/>
          <w:color w:val="auto"/>
        </w:rPr>
      </w:pPr>
      <w:r>
        <w:rPr>
          <w:rFonts w:ascii="Times New Roman" w:cs="Times New Roman" w:eastAsia="Times New Roman" w:hAnsi="Times New Roman"/>
          <w:sz w:val="17"/>
          <w:szCs w:val="17"/>
          <w:color w:val="auto"/>
        </w:rPr>
        <w:t>The Company is a “smaller reporting company” under Item 10 of Regulation S-K, promulgated under the Securities and Exchange Act of 1934, as amended, and the following compensation disclosure is intended to comply with the requirements applicable to smaller reporting companies. The rules allow the Company to provide less detail about its executive compensation program; however, the CHC Committee elected to provide the additional information below regarding its executive compensation program to help stockholders better understand its executive compensation decisions.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1"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This section provides information regarding our executive compensation program in 2025 for the following executive officers of the Company (collectively, the "named executive officers" or “NEO”):</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169"/>
        </w:trPr>
        <w:tc>
          <w:tcPr>
            <w:tcW w:w="1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shd w:val="clear" w:color="auto" w:fill="CCEEFF"/>
              </w:rPr>
              <w:t>Brian O. Casey</w:t>
            </w: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Chief Executive Officer of Westwood Holdings Group, President and Chief Executive Officer of Westwood Wealth</w:t>
            </w:r>
          </w:p>
        </w:tc>
        <w:tc>
          <w:tcPr>
            <w:tcW w:w="0" w:type="dxa"/>
            <w:vAlign w:val="bottom"/>
          </w:tcPr>
          <w:p>
            <w:pPr>
              <w:spacing w:after="0"/>
              <w:rPr>
                <w:sz w:val="1"/>
                <w:szCs w:val="1"/>
                <w:color w:val="auto"/>
              </w:rPr>
            </w:pPr>
          </w:p>
        </w:tc>
      </w:tr>
      <w:tr>
        <w:trPr>
          <w:trHeight w:val="135"/>
        </w:trPr>
        <w:tc>
          <w:tcPr>
            <w:tcW w:w="1120" w:type="dxa"/>
            <w:vAlign w:val="bottom"/>
            <w:vMerge w:val="continue"/>
            <w:shd w:val="clear" w:color="auto" w:fill="CCEEFF"/>
          </w:tcPr>
          <w:p>
            <w:pPr>
              <w:spacing w:after="0"/>
              <w:rPr>
                <w:sz w:val="11"/>
                <w:szCs w:val="11"/>
                <w:color w:val="auto"/>
              </w:rPr>
            </w:pPr>
          </w:p>
        </w:tc>
        <w:tc>
          <w:tcPr>
            <w:tcW w:w="1240" w:type="dxa"/>
            <w:vAlign w:val="bottom"/>
            <w:gridSpan w:val="2"/>
            <w:shd w:val="clear" w:color="auto" w:fill="CCEEFF"/>
          </w:tcPr>
          <w:p>
            <w:pPr>
              <w:spacing w:after="0"/>
              <w:rPr>
                <w:sz w:val="11"/>
                <w:szCs w:val="11"/>
                <w:color w:val="auto"/>
              </w:rPr>
            </w:pPr>
          </w:p>
        </w:tc>
        <w:tc>
          <w:tcPr>
            <w:tcW w:w="8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President of Westwood Trust</w:t>
            </w:r>
          </w:p>
        </w:tc>
        <w:tc>
          <w:tcPr>
            <w:tcW w:w="0" w:type="dxa"/>
            <w:vAlign w:val="bottom"/>
          </w:tcPr>
          <w:p>
            <w:pPr>
              <w:spacing w:after="0"/>
              <w:rPr>
                <w:sz w:val="1"/>
                <w:szCs w:val="1"/>
                <w:color w:val="auto"/>
              </w:rPr>
            </w:pPr>
          </w:p>
        </w:tc>
      </w:tr>
      <w:tr>
        <w:trPr>
          <w:trHeight w:val="108"/>
        </w:trPr>
        <w:tc>
          <w:tcPr>
            <w:tcW w:w="1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Fabian Gomez</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O. Linton</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Managing Director, Head of Distribution</w:t>
            </w:r>
          </w:p>
        </w:tc>
        <w:tc>
          <w:tcPr>
            <w:tcW w:w="0" w:type="dxa"/>
            <w:vAlign w:val="bottom"/>
          </w:tcPr>
          <w:p>
            <w:pPr>
              <w:spacing w:after="0"/>
              <w:rPr>
                <w:sz w:val="1"/>
                <w:szCs w:val="1"/>
                <w:color w:val="auto"/>
              </w:rPr>
            </w:pPr>
          </w:p>
        </w:tc>
      </w:tr>
      <w:tr>
        <w:trPr>
          <w:trHeight w:val="54"/>
        </w:trPr>
        <w:tc>
          <w:tcPr>
            <w:tcW w:w="1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Performance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Amid challenging market conditions, the Company delivered strong financial and strategic results during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our 2025 financial results include the following:</w:t>
      </w:r>
    </w:p>
    <w:p>
      <w:pPr>
        <w:spacing w:after="0" w:line="117" w:lineRule="exact"/>
        <w:rPr>
          <w:sz w:val="20"/>
          <w:szCs w:val="20"/>
          <w:color w:val="auto"/>
        </w:rPr>
      </w:pPr>
    </w:p>
    <w:p>
      <w:pPr>
        <w:ind w:left="660" w:right="7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firm assets under management and advisement for 2025 were $17.4 billion, consisting of $16.5 billion in assets under management (“AUM”) and $0.9 billion in assets under advisement (“AUA”), consistent with 2024.</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 2025 were $97.8 million, 3% higher than in 2024.</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Westwood was $7.1 million, up 219% from $2.2 million in 2024 on higher revenues, unrealized appreciation on private investments, and the impact of changes in the fair value of contingent consideration in 2024, all offset by higher professional service and information technology costs.</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(NYSE: WHG) rose 13.7% in 2025 to $17.21, including stock appreciation and dividends. For longer-term stockholders who held Westwood stock over the last three years, their total return was 77%.</w:t>
      </w:r>
    </w:p>
    <w:p>
      <w:pPr>
        <w:spacing w:after="0" w:line="53"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(“EPS”) in 2025 was $0.79 compared with $0.26 per share for 2024. Non-GAAP Economic Earnings, which more clearly reflect our underlying performance by excluding certain non-recurring items, increased 105% to $14.3 million or $1.61 per share, compared with $7.0 million or $0.82 per share in 2024. We paid out approximately $5.4 million in dividends to our stockholders.</w:t>
      </w:r>
    </w:p>
    <w:p>
      <w:pPr>
        <w:spacing w:after="0" w:line="67" w:lineRule="exact"/>
        <w:rPr>
          <w:rFonts w:ascii="Times New Roman" w:cs="Times New Roman" w:eastAsia="Times New Roman" w:hAnsi="Times New Roman"/>
          <w:sz w:val="18"/>
          <w:szCs w:val="18"/>
          <w:color w:val="auto"/>
        </w:rPr>
      </w:pPr>
    </w:p>
    <w:p>
      <w:pPr>
        <w:ind w:right="360" w:firstLine="332"/>
        <w:spacing w:after="0" w:line="375"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remains strong with cash and liquid investments of approximately $44.1 million, and no debt as of December 31, 2025. Highlights of the Company’s 2025 strategic results include the following:</w:t>
      </w:r>
    </w:p>
    <w:p>
      <w:pPr>
        <w:spacing w:after="0" w:line="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Channel:</w:t>
      </w:r>
      <w:r>
        <w:rPr>
          <w:rFonts w:ascii="Times New Roman" w:cs="Times New Roman" w:eastAsia="Times New Roman" w:hAnsi="Times New Roman"/>
          <w:sz w:val="18"/>
          <w:szCs w:val="18"/>
          <w:color w:val="auto"/>
        </w:rPr>
        <w:t xml:space="preserve"> Our Institutional channel achieved gross sales growth of 36% in 2025, and our Intermediary channel reported full-year sales growth of 32%. Westwood’s gross sales for the distribution channel represents our strongest annual performance in several years and reflects the successful execution of our intermediary and institutional distribution strategy, with particular emphasis on our energy and real asset products, which resonated with advisors and their clients seeking income and diversification.</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Westwood ETFs:</w:t>
      </w:r>
      <w:r>
        <w:rPr>
          <w:rFonts w:ascii="Times New Roman" w:cs="Times New Roman" w:eastAsia="Times New Roman" w:hAnsi="Times New Roman"/>
          <w:sz w:val="18"/>
          <w:szCs w:val="18"/>
          <w:color w:val="auto"/>
        </w:rPr>
        <w:t xml:space="preserve"> Our ETF assets reached $200 million in 2025, which was an important milestone for our ETF platform. We expanded our ETF</w:t>
      </w:r>
    </w:p>
    <w:p>
      <w:pPr>
        <w:spacing w:after="0" w:line="27" w:lineRule="exact"/>
        <w:rPr>
          <w:rFonts w:ascii="Times New Roman" w:cs="Times New Roman" w:eastAsia="Times New Roman" w:hAnsi="Times New Roman"/>
          <w:sz w:val="18"/>
          <w:szCs w:val="18"/>
          <w:color w:val="auto"/>
        </w:rPr>
      </w:pPr>
    </w:p>
    <w:p>
      <w:pPr>
        <w:ind w:left="66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in 2025 with the addition of a new Enhanced Income Opportunity ETF product (NYSE: YLDW) in December and our ETF platform continues to be a point of focus and growth for our firm.</w:t>
      </w:r>
    </w:p>
    <w:p>
      <w:pPr>
        <w:spacing w:after="0" w:line="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Energy ETFs:</w:t>
      </w:r>
      <w:r>
        <w:rPr>
          <w:rFonts w:ascii="Times New Roman" w:cs="Times New Roman" w:eastAsia="Times New Roman" w:hAnsi="Times New Roman"/>
          <w:sz w:val="18"/>
          <w:szCs w:val="18"/>
          <w:color w:val="auto"/>
        </w:rPr>
        <w:t xml:space="preserve"> Our Enhanced Midstream Income ETF (NYSE: MDST) reached $170 million in assets in 2025 with an annual distribution of</w:t>
      </w:r>
    </w:p>
    <w:p>
      <w:pPr>
        <w:spacing w:after="0" w:line="27" w:lineRule="exact"/>
        <w:rPr>
          <w:rFonts w:ascii="Times New Roman" w:cs="Times New Roman" w:eastAsia="Times New Roman" w:hAnsi="Times New Roman"/>
          <w:sz w:val="18"/>
          <w:szCs w:val="18"/>
          <w:color w:val="auto"/>
        </w:rPr>
      </w:pPr>
    </w:p>
    <w:p>
      <w:pPr>
        <w:ind w:left="66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which has positioned it for review and approval on additional major broker-dealer platforms. Westwood’s Enhanced Energy Income ETF (Nasdaq: WEEI) reached $30 million in assets in 2025 with an annual distribution of 12.4% in 2025.</w:t>
      </w:r>
    </w:p>
    <w:p>
      <w:pPr>
        <w:spacing w:after="0" w:line="69" w:lineRule="exact"/>
        <w:rPr>
          <w:rFonts w:ascii="Times New Roman" w:cs="Times New Roman" w:eastAsia="Times New Roman" w:hAnsi="Times New Roman"/>
          <w:sz w:val="18"/>
          <w:szCs w:val="18"/>
          <w:color w:val="auto"/>
        </w:rPr>
      </w:pPr>
    </w:p>
    <w:p>
      <w:pPr>
        <w:ind w:left="660" w:right="40" w:hanging="328"/>
        <w:spacing w:after="0" w:line="23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WEBs ETFs:</w:t>
      </w:r>
      <w:r>
        <w:rPr>
          <w:rFonts w:ascii="Times New Roman" w:cs="Times New Roman" w:eastAsia="Times New Roman" w:hAnsi="Times New Roman"/>
          <w:sz w:val="18"/>
          <w:szCs w:val="18"/>
          <w:color w:val="auto"/>
        </w:rPr>
        <w:t xml:space="preserve"> The Westwood Engineered Beta ("WEBs") ETF platform launched 11 Defined Volatility</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Sector ETFs on the Nasdaq in 2025 that apply our Defined Volatility strategy to individual sectors within the S&amp;P 500. Our sector ETFs track a Defined Volatility index created by Syntax that provide investment exposure to an underlying Select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ind w:left="660" w:right="360"/>
        <w:spacing w:after="0" w:line="230" w:lineRule="auto"/>
        <w:rPr>
          <w:sz w:val="20"/>
          <w:szCs w:val="20"/>
          <w:color w:val="auto"/>
        </w:rPr>
      </w:pPr>
      <w:r>
        <w:rPr>
          <w:rFonts w:ascii="Times New Roman" w:cs="Times New Roman" w:eastAsia="Times New Roman" w:hAnsi="Times New Roman"/>
          <w:sz w:val="18"/>
          <w:szCs w:val="18"/>
          <w:color w:val="auto"/>
        </w:rPr>
        <w:t>Sector SPDR ETF. Defined Volatility</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sector ETFs are designed to give investors more precise control over risk and sector exposure, using a transparent framework that adjusts portfolio exposure based on real-time market volatility.</w:t>
      </w:r>
    </w:p>
    <w:p>
      <w:pPr>
        <w:spacing w:after="0" w:line="92" w:lineRule="exact"/>
        <w:rPr>
          <w:sz w:val="20"/>
          <w:szCs w:val="20"/>
          <w:color w:val="auto"/>
        </w:rPr>
      </w:pPr>
    </w:p>
    <w:p>
      <w:pPr>
        <w:ind w:left="660" w:right="100" w:hanging="328"/>
        <w:spacing w:after="0" w:line="25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Capital Platform:</w:t>
      </w:r>
      <w:r>
        <w:rPr>
          <w:rFonts w:ascii="Times New Roman" w:cs="Times New Roman" w:eastAsia="Times New Roman" w:hAnsi="Times New Roman"/>
          <w:sz w:val="18"/>
          <w:szCs w:val="18"/>
          <w:color w:val="auto"/>
        </w:rPr>
        <w:t xml:space="preserve"> Our Westwood Energy Secondaries Fund II (“WES II”) and two accompanying co-investment vehicles closed on December 31, 2025 with over $300 million in capital commitments, double our capital fundraising goal. Our second secondaries fund builds on the success of our inaugural energy secondaries strategy and demonstrates our ability to raise capital in specialized private investments. The fund provides institutional investors with access to secondary market opportunities in the energy sector, complementing our suite of energy investment solutions. Since the launch of our initial Westwood flagship energy secondaries fund (WES I) in 2023, we have raised nearly $350 million and have invested over $250 million across two energy secondaries flagship funds and three co-investment funds.</w:t>
      </w:r>
    </w:p>
    <w:p>
      <w:pPr>
        <w:spacing w:after="0" w:line="79"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Managed Investment Solutions (“MIS”):</w:t>
      </w:r>
      <w:r>
        <w:rPr>
          <w:rFonts w:ascii="Times New Roman" w:cs="Times New Roman" w:eastAsia="Times New Roman" w:hAnsi="Times New Roman"/>
          <w:sz w:val="18"/>
          <w:szCs w:val="18"/>
          <w:color w:val="auto"/>
        </w:rPr>
        <w:t xml:space="preserve"> Our Managed Investment Solutions (“MIS”) reached an important milestone in 2025 with the addition of its first large institutional account. This was one of two new mandates MIS secured in 2025. By applying an active-design, rules-based approach to address specific client needs and intentions in their portfolios, MIS assisted our clients in customizing their infrastructure and real asset investment portfolios and implementation of custom-indexing. Investors and advisors seeking increased tax efficiencies also sought out our MIS team to assist them in transitioning their investments to more tax-friendly structures. In 2026, MIS will implement solutions in U.S. Multi-Factor, Developed Ex-U.S. Multi-Factor and Emerging Market Multi-Factor for an institutional client.</w:t>
      </w:r>
    </w:p>
    <w:p>
      <w:pPr>
        <w:spacing w:after="0" w:line="7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Wealth &amp; Trust Business:</w:t>
      </w:r>
      <w:r>
        <w:rPr>
          <w:rFonts w:ascii="Times New Roman" w:cs="Times New Roman" w:eastAsia="Times New Roman" w:hAnsi="Times New Roman"/>
          <w:sz w:val="18"/>
          <w:szCs w:val="18"/>
          <w:color w:val="auto"/>
        </w:rPr>
        <w:t xml:space="preserve"> We completed a comprehensive assessment of our competitive position within the wealth and trust services industry in 2025 and advanced key strategic initiatives to better align our services with where the industry is heading and where we are uniquely positioned to grow. We clarified our vision for our Wealth and Trust division, evaluated our service model, identified opportunities to strengthen our business by attracting new ultra-high-net-worth families and deepening existing client relationships, especially in Texas, and aligned our pricing with market standards. As a result of this assessment, we determined to transition our Westwood Wealth &amp; Trust business into a high-touch Multi-Family Office (“MFO”) model. As a multi-family office with corporate trustee powers, we are uniquely equipped to understand a family's complete picture and can step in seamlessly when named as executor or successor trustee.</w:t>
      </w:r>
    </w:p>
    <w:p>
      <w:pPr>
        <w:spacing w:after="0" w:line="8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Performance:</w:t>
      </w:r>
      <w:r>
        <w:rPr>
          <w:rFonts w:ascii="Times New Roman" w:cs="Times New Roman" w:eastAsia="Times New Roman" w:hAnsi="Times New Roman"/>
          <w:sz w:val="18"/>
          <w:szCs w:val="18"/>
          <w:color w:val="auto"/>
        </w:rPr>
        <w:t xml:space="preserve"> Westwood investment strategies that beat their primary benchmarks in 2025 included: Enhanced Balanced, Income Opportunity, Multi-Asset Income, Alternative Income, Westwood Salient Enhanced Midstream Income ETF and Westwood Salient Enhanced Energy Income ETF.</w:t>
      </w:r>
    </w:p>
    <w:p>
      <w:pPr>
        <w:spacing w:after="0" w:line="6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Value SMidCap</w:t>
      </w:r>
      <w:r>
        <w:rPr>
          <w:rFonts w:ascii="Times New Roman" w:cs="Times New Roman" w:eastAsia="Times New Roman" w:hAnsi="Times New Roman"/>
          <w:sz w:val="18"/>
          <w:szCs w:val="18"/>
          <w:color w:val="auto"/>
        </w:rPr>
        <w:t xml:space="preserve"> ranked in the top third of funds in the past three-year period, which reflects our disciplined approach to identifying high-quality businesses trading at attractive valuations.</w:t>
      </w:r>
    </w:p>
    <w:p>
      <w:pPr>
        <w:spacing w:after="0" w:line="5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auto"/>
        </w:rPr>
        <w:t>Multi-Asset strategies</w:t>
      </w:r>
      <w:r>
        <w:rPr>
          <w:rFonts w:ascii="Times New Roman" w:cs="Times New Roman" w:eastAsia="Times New Roman" w:hAnsi="Times New Roman"/>
          <w:sz w:val="18"/>
          <w:szCs w:val="18"/>
          <w:color w:val="auto"/>
        </w:rPr>
        <w:t xml:space="preserve"> demonstrated long and shorter-term strength with Income Opportunity outperforming its benchmark in 2025 and posting a top-third ranking versus its peers for the year as well as a top-decile ranking since inception; Multi-Asset Income beat its benchmark for the three- and five-year periods and since inception; and the Alternative Income Fund (WMNIX) outperformed its benchmark in 2025 as well as for the three-, five-, seven-, 10-year periods and since fund inception.</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Opportunities</w:t>
      </w:r>
      <w:r>
        <w:rPr>
          <w:rFonts w:ascii="Times New Roman" w:cs="Times New Roman" w:eastAsia="Times New Roman" w:hAnsi="Times New Roman"/>
          <w:sz w:val="18"/>
          <w:szCs w:val="18"/>
          <w:color w:val="auto"/>
        </w:rPr>
        <w:t xml:space="preserve"> ranked in the top decile among peers over both the last three- and five-year periods.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Energy MLP and midstream</w:t>
      </w:r>
      <w:r>
        <w:rPr>
          <w:rFonts w:ascii="Times New Roman" w:cs="Times New Roman" w:eastAsia="Times New Roman" w:hAnsi="Times New Roman"/>
          <w:sz w:val="18"/>
          <w:szCs w:val="18"/>
          <w:color w:val="auto"/>
        </w:rPr>
        <w:t xml:space="preserve"> strategies provided strong absolute returns in an environment favorable to energy infrastructure.</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Clients First Initiative:</w:t>
      </w:r>
      <w:r>
        <w:rPr>
          <w:rFonts w:ascii="Times New Roman" w:cs="Times New Roman" w:eastAsia="Times New Roman" w:hAnsi="Times New Roman"/>
          <w:sz w:val="18"/>
          <w:szCs w:val="18"/>
          <w:color w:val="auto"/>
        </w:rPr>
        <w:t xml:space="preserve"> Our CEO, Brian Casey, traveled throughout the United States to meet with nearly all of our largest clients with assets exceeding $100 million and obtained invaluable feedback on our services and solutions.</w:t>
      </w:r>
    </w:p>
    <w:p>
      <w:pPr>
        <w:spacing w:after="0" w:line="53"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Engagement:</w:t>
      </w:r>
      <w:r>
        <w:rPr>
          <w:rFonts w:ascii="Times New Roman" w:cs="Times New Roman" w:eastAsia="Times New Roman" w:hAnsi="Times New Roman"/>
          <w:sz w:val="18"/>
          <w:szCs w:val="18"/>
          <w:color w:val="auto"/>
        </w:rPr>
        <w:t xml:space="preserve"> As part of our regular stockholder engagement program, we reached out this past year to our top institutional stockholders, representing 5.4 million shares or 57.5% of total shares outstanding, to foster open discussions regarding our executive compensation program. The CHC Committee welcomes stockholder perspectives on our executive compensation program and will continue to consider future say-on-pay votes carefully when making compensation decisions for our executive officers.</w:t>
      </w:r>
    </w:p>
    <w:p>
      <w:pPr>
        <w:spacing w:after="0" w:line="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Westwood was named </w:t>
      </w:r>
      <w:r>
        <w:rPr>
          <w:rFonts w:ascii="Times New Roman" w:cs="Times New Roman" w:eastAsia="Times New Roman" w:hAnsi="Times New Roman"/>
          <w:sz w:val="18"/>
          <w:szCs w:val="18"/>
          <w:i w:val="1"/>
          <w:iCs w:val="1"/>
          <w:color w:val="auto"/>
        </w:rPr>
        <w:t>Pensions &amp; Investments’</w:t>
      </w:r>
      <w:r>
        <w:rPr>
          <w:rFonts w:ascii="Times New Roman" w:cs="Times New Roman" w:eastAsia="Times New Roman" w:hAnsi="Times New Roman"/>
          <w:sz w:val="18"/>
          <w:szCs w:val="18"/>
          <w:color w:val="auto"/>
        </w:rPr>
        <w:t xml:space="preserve"> “Best Places to Work in 2025” for the 11th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2025 Compensation Decisions for Named Executive Officers</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our “pay-for-performance” compensation philosophy, the CHC Committee generally allocates a substantial majority of each NEO’s direct compensation (i.e., base salary, target annual cash incentive, and target value of long-term incentives) to variable “at-risk” compensation. In this way, our executive compensation program is designed to (a) align the interests of our NEO with our stockholders and (b) reward successful achievement of annual financial and strategic objectives.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0" w:name="page21"/>
    <w:bookmarkEnd w:id="20"/>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Accordingly, our compensation decisions with respect to each of our NEO for 2025 were primarily driven by our performance against Company-wide financial and strategic objectives and individual objectives developed at the beginning of the year.</w:t>
      </w:r>
    </w:p>
    <w:p>
      <w:pPr>
        <w:spacing w:after="0" w:line="5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Reflecting a rigorous assessment of the Company’s performance, the bonus pool and the aggregate incentives for our NEO were increased from 2024 to 2025.</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summary:</w:t>
      </w:r>
    </w:p>
    <w:p>
      <w:pPr>
        <w:spacing w:after="0" w:line="117" w:lineRule="exact"/>
        <w:rPr>
          <w:sz w:val="20"/>
          <w:szCs w:val="20"/>
          <w:color w:val="auto"/>
        </w:rPr>
      </w:pPr>
    </w:p>
    <w:p>
      <w:pPr>
        <w:jc w:val="both"/>
        <w:ind w:left="900" w:right="140" w:hanging="325"/>
        <w:spacing w:after="0" w:line="266"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made no change to Mr. Casey’s annual base salary and, based on 2025 performance as measured against pre-established financial and strategic objectives, approved an annual cash incentive bonus to Mr. Casey in the amount equal to 119.4% of target. Mr. Casey’s 2025 incentive awards reflected the Company’s overall performance.</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approved an annual cash incentive bonus to Mr. Gomez for 2025 in an amount equal to 119.4% of target, reflecting his 2025 performance as measured against pre-established financial, strategic, and individual performance objectives.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Linton earned an cash incentive amount equal to 91.5% of target, reflecting his 2025 target for sales.</w:t>
      </w:r>
    </w:p>
    <w:p>
      <w:pPr>
        <w:spacing w:after="0" w:line="117" w:lineRule="exact"/>
        <w:rPr>
          <w:rFonts w:ascii="Times New Roman" w:cs="Times New Roman" w:eastAsia="Times New Roman" w:hAnsi="Times New Roman"/>
          <w:sz w:val="18"/>
          <w:szCs w:val="18"/>
          <w:color w:val="auto"/>
        </w:rPr>
      </w:pPr>
    </w:p>
    <w:p>
      <w:pPr>
        <w:ind w:left="900" w:right="680" w:hanging="325"/>
        <w:spacing w:after="0" w:line="282"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CHC Committee approved the following awards of restricted stock to each of our NEO based on our fiscal 2024 performance: Mr. Casey – 45,621 shares; Mr. Gomez – 24,636 shares; Mr. Linton – 6,083 shares.</w:t>
      </w:r>
    </w:p>
    <w:p>
      <w:pPr>
        <w:spacing w:after="0" w:line="53" w:lineRule="exact"/>
        <w:rPr>
          <w:rFonts w:ascii="Times New Roman" w:cs="Times New Roman" w:eastAsia="Times New Roman" w:hAnsi="Times New Roman"/>
          <w:sz w:val="18"/>
          <w:szCs w:val="18"/>
          <w:color w:val="auto"/>
        </w:rPr>
      </w:pPr>
    </w:p>
    <w:p>
      <w:pPr>
        <w:jc w:val="both"/>
        <w:ind w:left="900" w:right="220" w:hanging="325"/>
        <w:spacing w:after="0" w:line="266"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CHC Committee approved the following awards of restricted stock to Messrs. Casey, Gomez, and Linton based on our fiscal 2025 performance: Mr. Casey – 57,194 shares; Mr. Gomez – 32,287 shares; Mr. Linton – 15,414 shares. These restricted stock awards were granted after the end of 2025 and accordingly will be reported in our 2027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Program</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intellectual capabilities of our employees are among our most important assets. Our financial results depend on the level of assets we manage, our ability to provide outstanding client service, develop new client relationships, generate competitive long-term investment performance, and build strong relationships with clients, investment consulting firms, and other financial intermediaries.</w:t>
      </w:r>
    </w:p>
    <w:p>
      <w:pPr>
        <w:spacing w:after="0" w:line="6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believe that the expertise and commitment of our NEOs are critical to delivering superior long-term results to our clients and stockholders and to achieving our overall business objectives. Our executive compensation program aims to: align executive compensation with performance delivered for stockholders and clients; deliver pay in a balanced combination of base salary, cash awards and long-term, stockholder-aligned equity; and attract, motivate and retain top talent.</w:t>
      </w:r>
    </w:p>
    <w:p>
      <w:pPr>
        <w:spacing w:after="0" w:line="72" w:lineRule="exact"/>
        <w:rPr>
          <w:sz w:val="20"/>
          <w:szCs w:val="20"/>
          <w:color w:val="auto"/>
        </w:rPr>
      </w:pPr>
    </w:p>
    <w:p>
      <w:pPr>
        <w:ind w:right="260" w:firstLine="405"/>
        <w:spacing w:after="0" w:line="276" w:lineRule="auto"/>
        <w:rPr>
          <w:sz w:val="20"/>
          <w:szCs w:val="20"/>
          <w:color w:val="auto"/>
        </w:rPr>
      </w:pPr>
      <w:r>
        <w:rPr>
          <w:rFonts w:ascii="Times New Roman" w:cs="Times New Roman" w:eastAsia="Times New Roman" w:hAnsi="Times New Roman"/>
          <w:sz w:val="18"/>
          <w:szCs w:val="18"/>
          <w:color w:val="auto"/>
        </w:rPr>
        <w:t>We review our executive compensation program on an ongoing basis to ensure that it reflects market best practices related to corporate governance and risk mitigation. Highlights of our executive compensation program related to these matters include the following:</w:t>
      </w:r>
    </w:p>
    <w:tbl>
      <w:tblPr>
        <w:tblLayout w:type="fixed"/>
        <w:tblInd w:w="0" w:type="dxa"/>
        <w:tblCellMar>
          <w:top w:w="0" w:type="dxa"/>
          <w:left w:w="0" w:type="dxa"/>
          <w:bottom w:w="0" w:type="dxa"/>
          <w:right w:w="0" w:type="dxa"/>
        </w:tblCellMar>
      </w:tblPr>
      <w:tr>
        <w:trPr>
          <w:trHeight w:val="223"/>
        </w:trPr>
        <w:tc>
          <w:tcPr>
            <w:tcW w:w="100" w:type="dxa"/>
            <w:vAlign w:val="bottom"/>
            <w:tcBorders>
              <w:right w:val="single" w:sz="8" w:color="auto"/>
            </w:tcBorders>
          </w:tcPr>
          <w:p>
            <w:pPr>
              <w:spacing w:after="0"/>
              <w:rPr>
                <w:sz w:val="19"/>
                <w:szCs w:val="19"/>
                <w:color w:val="auto"/>
              </w:rPr>
            </w:pPr>
          </w:p>
        </w:tc>
        <w:tc>
          <w:tcPr>
            <w:tcW w:w="5460" w:type="dxa"/>
            <w:vAlign w:val="bottom"/>
            <w:tcBorders>
              <w:top w:val="single" w:sz="8" w:color="auto"/>
              <w:bottom w:val="single" w:sz="8" w:color="auto"/>
              <w:right w:val="single" w:sz="8" w:color="auto"/>
            </w:tcBorders>
            <w:shd w:val="clear" w:color="auto" w:fill="D9D9D9"/>
          </w:tcPr>
          <w:p>
            <w:pPr>
              <w:ind w:left="2240"/>
              <w:spacing w:after="0"/>
              <w:rPr>
                <w:sz w:val="20"/>
                <w:szCs w:val="20"/>
                <w:color w:val="auto"/>
              </w:rPr>
            </w:pPr>
            <w:r>
              <w:rPr>
                <w:rFonts w:ascii="Times New Roman" w:cs="Times New Roman" w:eastAsia="Times New Roman" w:hAnsi="Times New Roman"/>
                <w:sz w:val="17"/>
                <w:szCs w:val="17"/>
                <w:b w:val="1"/>
                <w:bCs w:val="1"/>
                <w:color w:val="auto"/>
              </w:rPr>
              <w:t>What We Do</w:t>
            </w:r>
          </w:p>
        </w:tc>
        <w:tc>
          <w:tcPr>
            <w:tcW w:w="5700" w:type="dxa"/>
            <w:vAlign w:val="bottom"/>
            <w:tcBorders>
              <w:top w:val="single" w:sz="8" w:color="auto"/>
              <w:bottom w:val="single" w:sz="8" w:color="auto"/>
              <w:right w:val="single" w:sz="8" w:color="auto"/>
            </w:tcBorders>
            <w:shd w:val="clear" w:color="auto" w:fill="D9D9D9"/>
          </w:tcPr>
          <w:p>
            <w:pPr>
              <w:ind w:left="2080"/>
              <w:spacing w:after="0"/>
              <w:rPr>
                <w:sz w:val="20"/>
                <w:szCs w:val="20"/>
                <w:color w:val="auto"/>
              </w:rPr>
            </w:pPr>
            <w:r>
              <w:rPr>
                <w:rFonts w:ascii="Times New Roman" w:cs="Times New Roman" w:eastAsia="Times New Roman" w:hAnsi="Times New Roman"/>
                <w:sz w:val="17"/>
                <w:szCs w:val="17"/>
                <w:b w:val="1"/>
                <w:bCs w:val="1"/>
                <w:color w:val="auto"/>
              </w:rPr>
              <w:t>What We Do Not Do</w:t>
            </w:r>
          </w:p>
        </w:tc>
      </w:tr>
      <w:tr>
        <w:trPr>
          <w:trHeight w:val="216"/>
        </w:trPr>
        <w:tc>
          <w:tcPr>
            <w:tcW w:w="10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Variable "at risk" compensation targeted at a larger share vs. fixed base</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do not provide fringe benefits or perquisites to executives that are not</w:t>
            </w:r>
          </w:p>
        </w:tc>
      </w:tr>
      <w:tr>
        <w:trPr>
          <w:trHeight w:val="222"/>
        </w:trPr>
        <w:tc>
          <w:tcPr>
            <w:tcW w:w="10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salary</w:t>
            </w:r>
          </w:p>
        </w:tc>
        <w:tc>
          <w:tcPr>
            <w:tcW w:w="57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available to all employees</w:t>
            </w:r>
          </w:p>
        </w:tc>
      </w:tr>
      <w:tr>
        <w:trPr>
          <w:trHeight w:val="43"/>
        </w:trPr>
        <w:tc>
          <w:tcPr>
            <w:tcW w:w="100" w:type="dxa"/>
            <w:vAlign w:val="bottom"/>
            <w:tcBorders>
              <w:right w:val="single" w:sz="8" w:color="auto"/>
            </w:tcBorders>
          </w:tcPr>
          <w:p>
            <w:pPr>
              <w:spacing w:after="0"/>
              <w:rPr>
                <w:sz w:val="3"/>
                <w:szCs w:val="3"/>
                <w:color w:val="auto"/>
              </w:rPr>
            </w:pPr>
          </w:p>
        </w:tc>
        <w:tc>
          <w:tcPr>
            <w:tcW w:w="5460" w:type="dxa"/>
            <w:vAlign w:val="bottom"/>
            <w:tcBorders>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15"/>
        </w:trPr>
        <w:tc>
          <w:tcPr>
            <w:tcW w:w="10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Compensation aligned with performance achievements</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prohibit hedging and short sales of Company stock by executives and</w:t>
            </w:r>
          </w:p>
        </w:tc>
      </w:tr>
      <w:tr>
        <w:trPr>
          <w:trHeight w:val="222"/>
        </w:trPr>
        <w:tc>
          <w:tcPr>
            <w:tcW w:w="10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directors</w:t>
            </w:r>
          </w:p>
        </w:tc>
      </w:tr>
      <w:tr>
        <w:trPr>
          <w:trHeight w:val="43"/>
        </w:trPr>
        <w:tc>
          <w:tcPr>
            <w:tcW w:w="100" w:type="dxa"/>
            <w:vAlign w:val="bottom"/>
            <w:tcBorders>
              <w:right w:val="single" w:sz="8" w:color="auto"/>
            </w:tcBorders>
          </w:tcPr>
          <w:p>
            <w:pPr>
              <w:spacing w:after="0"/>
              <w:rPr>
                <w:sz w:val="3"/>
                <w:szCs w:val="3"/>
                <w:color w:val="auto"/>
              </w:rPr>
            </w:pPr>
          </w:p>
        </w:tc>
        <w:tc>
          <w:tcPr>
            <w:tcW w:w="5460" w:type="dxa"/>
            <w:vAlign w:val="bottom"/>
            <w:tcBorders>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62"/>
        </w:trPr>
        <w:tc>
          <w:tcPr>
            <w:tcW w:w="10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Incentive plan payouts capped on amounts that executives can earn</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do not gross-up change-in-control related benefits for excise tax</w:t>
            </w:r>
          </w:p>
        </w:tc>
      </w:tr>
      <w:tr>
        <w:trPr>
          <w:trHeight w:val="42"/>
        </w:trPr>
        <w:tc>
          <w:tcPr>
            <w:tcW w:w="100" w:type="dxa"/>
            <w:vAlign w:val="bottom"/>
            <w:tcBorders>
              <w:right w:val="single" w:sz="8" w:color="auto"/>
            </w:tcBorders>
          </w:tcPr>
          <w:p>
            <w:pPr>
              <w:spacing w:after="0"/>
              <w:rPr>
                <w:sz w:val="3"/>
                <w:szCs w:val="3"/>
                <w:color w:val="auto"/>
              </w:rPr>
            </w:pPr>
          </w:p>
        </w:tc>
        <w:tc>
          <w:tcPr>
            <w:tcW w:w="5460" w:type="dxa"/>
            <w:vAlign w:val="bottom"/>
            <w:tcBorders>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62"/>
        </w:trPr>
        <w:tc>
          <w:tcPr>
            <w:tcW w:w="10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Change-in-control severance is a "double trigger" for our CEO</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do not pay dividends on unvested equity-based compensation awards</w:t>
            </w:r>
          </w:p>
        </w:tc>
      </w:tr>
      <w:tr>
        <w:trPr>
          <w:trHeight w:val="43"/>
        </w:trPr>
        <w:tc>
          <w:tcPr>
            <w:tcW w:w="100" w:type="dxa"/>
            <w:vAlign w:val="bottom"/>
            <w:tcBorders>
              <w:right w:val="single" w:sz="8" w:color="auto"/>
            </w:tcBorders>
          </w:tcPr>
          <w:p>
            <w:pPr>
              <w:spacing w:after="0"/>
              <w:rPr>
                <w:sz w:val="3"/>
                <w:szCs w:val="3"/>
                <w:color w:val="auto"/>
              </w:rPr>
            </w:pPr>
          </w:p>
        </w:tc>
        <w:tc>
          <w:tcPr>
            <w:tcW w:w="5460" w:type="dxa"/>
            <w:vAlign w:val="bottom"/>
            <w:tcBorders>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15"/>
        </w:trPr>
        <w:tc>
          <w:tcPr>
            <w:tcW w:w="10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Officers and directors are required to satisfy industry-aligned standards</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prohibit repricing of stock options without stockholder approval</w:t>
            </w:r>
          </w:p>
        </w:tc>
      </w:tr>
      <w:tr>
        <w:trPr>
          <w:trHeight w:val="222"/>
        </w:trPr>
        <w:tc>
          <w:tcPr>
            <w:tcW w:w="10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related to Company stock ownership</w:t>
            </w:r>
          </w:p>
        </w:tc>
        <w:tc>
          <w:tcPr>
            <w:tcW w:w="5700" w:type="dxa"/>
            <w:vAlign w:val="bottom"/>
            <w:tcBorders>
              <w:right w:val="single" w:sz="8" w:color="auto"/>
            </w:tcBorders>
          </w:tcPr>
          <w:p>
            <w:pPr>
              <w:spacing w:after="0"/>
              <w:rPr>
                <w:sz w:val="19"/>
                <w:szCs w:val="19"/>
                <w:color w:val="auto"/>
              </w:rPr>
            </w:pPr>
          </w:p>
        </w:tc>
      </w:tr>
      <w:tr>
        <w:trPr>
          <w:trHeight w:val="83"/>
        </w:trPr>
        <w:tc>
          <w:tcPr>
            <w:tcW w:w="100" w:type="dxa"/>
            <w:vAlign w:val="bottom"/>
            <w:tcBorders>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c>
          <w:tcPr>
            <w:tcW w:w="5700" w:type="dxa"/>
            <w:vAlign w:val="bottom"/>
            <w:tcBorders>
              <w:right w:val="single" w:sz="8" w:color="auto"/>
            </w:tcBorders>
          </w:tcPr>
          <w:p>
            <w:pPr>
              <w:spacing w:after="0"/>
              <w:rPr>
                <w:sz w:val="7"/>
                <w:szCs w:val="7"/>
                <w:color w:val="auto"/>
              </w:rPr>
            </w:pPr>
          </w:p>
        </w:tc>
      </w:tr>
      <w:tr>
        <w:trPr>
          <w:trHeight w:val="215"/>
        </w:trPr>
        <w:tc>
          <w:tcPr>
            <w:tcW w:w="10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w w:val="99"/>
              </w:rPr>
              <w:t xml:space="preserve">ü  </w:t>
            </w:r>
            <w:r>
              <w:rPr>
                <w:rFonts w:ascii="Times New Roman" w:cs="Times New Roman" w:eastAsia="Times New Roman" w:hAnsi="Times New Roman"/>
                <w:sz w:val="17"/>
                <w:szCs w:val="17"/>
                <w:color w:val="auto"/>
                <w:w w:val="99"/>
              </w:rPr>
              <w:t>Clawback policy requires recovery of erroneously received compensation</w:t>
            </w:r>
          </w:p>
        </w:tc>
        <w:tc>
          <w:tcPr>
            <w:tcW w:w="5700" w:type="dxa"/>
            <w:vAlign w:val="bottom"/>
            <w:tcBorders>
              <w:right w:val="single" w:sz="8" w:color="auto"/>
            </w:tcBorders>
          </w:tcPr>
          <w:p>
            <w:pPr>
              <w:spacing w:after="0"/>
              <w:rPr>
                <w:sz w:val="18"/>
                <w:szCs w:val="18"/>
                <w:color w:val="auto"/>
              </w:rPr>
            </w:pPr>
          </w:p>
        </w:tc>
      </w:tr>
      <w:tr>
        <w:trPr>
          <w:trHeight w:val="222"/>
        </w:trPr>
        <w:tc>
          <w:tcPr>
            <w:tcW w:w="10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in the event of a financial restatement or other material failures</w:t>
            </w:r>
          </w:p>
        </w:tc>
        <w:tc>
          <w:tcPr>
            <w:tcW w:w="5700" w:type="dxa"/>
            <w:vAlign w:val="bottom"/>
            <w:tcBorders>
              <w:right w:val="single" w:sz="8" w:color="auto"/>
            </w:tcBorders>
          </w:tcPr>
          <w:p>
            <w:pPr>
              <w:spacing w:after="0"/>
              <w:rPr>
                <w:sz w:val="19"/>
                <w:szCs w:val="19"/>
                <w:color w:val="auto"/>
              </w:rPr>
            </w:pPr>
          </w:p>
        </w:tc>
      </w:tr>
      <w:tr>
        <w:trPr>
          <w:trHeight w:val="177"/>
        </w:trPr>
        <w:tc>
          <w:tcPr>
            <w:tcW w:w="100" w:type="dxa"/>
            <w:vAlign w:val="bottom"/>
            <w:tcBorders>
              <w:right w:val="single" w:sz="8" w:color="auto"/>
            </w:tcBorders>
          </w:tcPr>
          <w:p>
            <w:pPr>
              <w:spacing w:after="0"/>
              <w:rPr>
                <w:sz w:val="15"/>
                <w:szCs w:val="15"/>
                <w:color w:val="auto"/>
              </w:rPr>
            </w:pPr>
          </w:p>
        </w:tc>
        <w:tc>
          <w:tcPr>
            <w:tcW w:w="5460" w:type="dxa"/>
            <w:vAlign w:val="bottom"/>
            <w:tcBorders>
              <w:bottom w:val="single" w:sz="8" w:color="auto"/>
              <w:right w:val="single" w:sz="8" w:color="auto"/>
            </w:tcBorders>
          </w:tcPr>
          <w:p>
            <w:pPr>
              <w:spacing w:after="0"/>
              <w:rPr>
                <w:sz w:val="15"/>
                <w:szCs w:val="15"/>
                <w:color w:val="auto"/>
              </w:rPr>
            </w:pPr>
          </w:p>
        </w:tc>
        <w:tc>
          <w:tcPr>
            <w:tcW w:w="5700" w:type="dxa"/>
            <w:vAlign w:val="bottom"/>
            <w:tcBorders>
              <w:right w:val="single" w:sz="8" w:color="auto"/>
            </w:tcBorders>
          </w:tcPr>
          <w:p>
            <w:pPr>
              <w:spacing w:after="0"/>
              <w:rPr>
                <w:sz w:val="15"/>
                <w:szCs w:val="15"/>
                <w:color w:val="auto"/>
              </w:rPr>
            </w:pPr>
          </w:p>
        </w:tc>
      </w:tr>
      <w:tr>
        <w:trPr>
          <w:trHeight w:val="262"/>
        </w:trPr>
        <w:tc>
          <w:tcPr>
            <w:tcW w:w="10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Appropriate post-employment and change-in-control arrangements</w:t>
            </w:r>
          </w:p>
        </w:tc>
        <w:tc>
          <w:tcPr>
            <w:tcW w:w="5700" w:type="dxa"/>
            <w:vAlign w:val="bottom"/>
            <w:tcBorders>
              <w:right w:val="single" w:sz="8" w:color="auto"/>
            </w:tcBorders>
          </w:tcPr>
          <w:p>
            <w:pPr>
              <w:spacing w:after="0"/>
              <w:rPr>
                <w:sz w:val="22"/>
                <w:szCs w:val="22"/>
                <w:color w:val="auto"/>
              </w:rPr>
            </w:pPr>
          </w:p>
        </w:tc>
      </w:tr>
      <w:tr>
        <w:trPr>
          <w:trHeight w:val="258"/>
        </w:trPr>
        <w:tc>
          <w:tcPr>
            <w:tcW w:w="100" w:type="dxa"/>
            <w:vAlign w:val="bottom"/>
            <w:tcBorders>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c>
          <w:tcPr>
            <w:tcW w:w="5700" w:type="dxa"/>
            <w:vAlign w:val="bottom"/>
            <w:tcBorders>
              <w:right w:val="single" w:sz="8" w:color="auto"/>
            </w:tcBorders>
          </w:tcPr>
          <w:p>
            <w:pPr>
              <w:spacing w:after="0"/>
              <w:rPr>
                <w:sz w:val="22"/>
                <w:szCs w:val="22"/>
                <w:color w:val="auto"/>
              </w:rPr>
            </w:pPr>
          </w:p>
        </w:tc>
      </w:tr>
      <w:tr>
        <w:trPr>
          <w:trHeight w:val="215"/>
        </w:trPr>
        <w:tc>
          <w:tcPr>
            <w:tcW w:w="10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McLagan Partners’ survey results are used for competitive compensation</w:t>
            </w:r>
          </w:p>
        </w:tc>
        <w:tc>
          <w:tcPr>
            <w:tcW w:w="5700" w:type="dxa"/>
            <w:vAlign w:val="bottom"/>
            <w:tcBorders>
              <w:right w:val="single" w:sz="8" w:color="auto"/>
            </w:tcBorders>
          </w:tcPr>
          <w:p>
            <w:pPr>
              <w:spacing w:after="0"/>
              <w:rPr>
                <w:sz w:val="18"/>
                <w:szCs w:val="18"/>
                <w:color w:val="auto"/>
              </w:rPr>
            </w:pPr>
          </w:p>
        </w:tc>
      </w:tr>
      <w:tr>
        <w:trPr>
          <w:trHeight w:val="222"/>
        </w:trPr>
        <w:tc>
          <w:tcPr>
            <w:tcW w:w="10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market data and ad hoc compensation analysis</w:t>
            </w:r>
          </w:p>
        </w:tc>
        <w:tc>
          <w:tcPr>
            <w:tcW w:w="5700" w:type="dxa"/>
            <w:vAlign w:val="bottom"/>
            <w:tcBorders>
              <w:right w:val="single" w:sz="8" w:color="auto"/>
            </w:tcBorders>
          </w:tcPr>
          <w:p>
            <w:pPr>
              <w:spacing w:after="0"/>
              <w:rPr>
                <w:sz w:val="19"/>
                <w:szCs w:val="19"/>
                <w:color w:val="auto"/>
              </w:rPr>
            </w:pPr>
          </w:p>
        </w:tc>
      </w:tr>
      <w:tr>
        <w:trPr>
          <w:trHeight w:val="43"/>
        </w:trPr>
        <w:tc>
          <w:tcPr>
            <w:tcW w:w="100" w:type="dxa"/>
            <w:vAlign w:val="bottom"/>
            <w:tcBorders>
              <w:right w:val="single" w:sz="8" w:color="auto"/>
            </w:tcBorders>
          </w:tcPr>
          <w:p>
            <w:pPr>
              <w:spacing w:after="0"/>
              <w:rPr>
                <w:sz w:val="3"/>
                <w:szCs w:val="3"/>
                <w:color w:val="auto"/>
              </w:rPr>
            </w:pPr>
          </w:p>
        </w:tc>
        <w:tc>
          <w:tcPr>
            <w:tcW w:w="5460" w:type="dxa"/>
            <w:vAlign w:val="bottom"/>
            <w:tcBorders>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649"/>
        </w:trPr>
        <w:tc>
          <w:tcPr>
            <w:tcW w:w="1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16</w:t>
            </w:r>
          </w:p>
        </w:tc>
      </w:tr>
      <w:tr>
        <w:trPr>
          <w:trHeight w:val="364"/>
        </w:trPr>
        <w:tc>
          <w:tcPr>
            <w:tcW w:w="1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designing and implementing our executive compensation program, the CHC Committee is guided by the following philosophy and objectives:</w:t>
      </w:r>
    </w:p>
    <w:p>
      <w:pPr>
        <w:spacing w:after="0" w:line="11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competitive compensation at levels that attract, motivate and retain talented executives who contribute to the success of our business;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compensation that motivates and rewards short- and long-term individual and company performance while discouraging excessive risk-taking;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NEO interests with our stockholders.</w:t>
      </w:r>
    </w:p>
    <w:p>
      <w:pPr>
        <w:spacing w:after="0" w:line="11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an executive's role expands in scope and responsibilities, we believe that: (1) an increasing share of total direct compensation should be at risk and performance-based; (2) base salary should be a relatively smaller portion of total direct compensation; and (3) most of incentive compensation should vary with overall Company results. Reflecting these principles, in 2025, 42% of Mr. Casey’s total compensation was delivered in performance-based compensation and 29% was delivered in long-term equity awards, which provide direct alignment with our stockholders.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Compensation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01"/>
        <w:spacing w:after="0" w:line="267" w:lineRule="auto"/>
        <w:rPr>
          <w:sz w:val="20"/>
          <w:szCs w:val="20"/>
          <w:color w:val="auto"/>
        </w:rPr>
      </w:pPr>
      <w:r>
        <w:rPr>
          <w:rFonts w:ascii="Times New Roman" w:cs="Times New Roman" w:eastAsia="Times New Roman" w:hAnsi="Times New Roman"/>
          <w:sz w:val="18"/>
          <w:szCs w:val="18"/>
          <w:color w:val="auto"/>
        </w:rPr>
        <w:t xml:space="preserve">In making its pay decisions, the CHC Committee considered market compensation data from </w:t>
      </w:r>
      <w:r>
        <w:rPr>
          <w:rFonts w:ascii="Times New Roman" w:cs="Times New Roman" w:eastAsia="Times New Roman" w:hAnsi="Times New Roman"/>
          <w:sz w:val="18"/>
          <w:szCs w:val="18"/>
          <w:i w:val="1"/>
          <w:iCs w:val="1"/>
          <w:color w:val="auto"/>
        </w:rPr>
        <w:t>Aon’s Radford McLagan 2025 Investment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Survey – U.S</w:t>
      </w:r>
      <w:r>
        <w:rPr>
          <w:rFonts w:ascii="Times New Roman" w:cs="Times New Roman" w:eastAsia="Times New Roman" w:hAnsi="Times New Roman"/>
          <w:sz w:val="18"/>
          <w:szCs w:val="18"/>
          <w:color w:val="auto"/>
        </w:rPr>
        <w:t>., a widely-used source for compensation information that includes data from approximately 320 public and private investment firms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“McLagan Survey”). Confidentiality obligations to Aon and its survey participants prevent disclosure of the firms included in the survey.</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CHC Committee considers market compensation data from the McLagan Survey to be useful in helping ensure that our executive pay levels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competitive. In using the McLagan Survey, the CHC Committee: (1) primarily considered data for firms with assets under management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billion and $34.9 billion, a comparison that the CHC Committee deemed appropriate given our Company’s size and complexity; and (2) did not set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of our NEOs’ pay to fall within a specific range or percentile of the reported survey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all compensation earned by our NEOs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3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vMerge w:val="continue"/>
          </w:tcPr>
          <w:p>
            <w:pPr>
              <w:spacing w:after="0"/>
              <w:rPr>
                <w:sz w:val="9"/>
                <w:szCs w:val="9"/>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0"/>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9"/>
                <w:szCs w:val="1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10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1,110,220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24,500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2,634,720</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Executive Officer of Westwood Holdings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578,750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748,469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24,150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2,101,369</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Group</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8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672,732</w:t>
            </w:r>
          </w:p>
        </w:tc>
        <w:tc>
          <w:tcPr>
            <w:tcW w:w="1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2,067,532</w:t>
            </w:r>
          </w:p>
        </w:tc>
        <w:tc>
          <w:tcPr>
            <w:tcW w:w="0" w:type="dxa"/>
            <w:vAlign w:val="bottom"/>
          </w:tcPr>
          <w:p>
            <w:pPr>
              <w:spacing w:after="0"/>
              <w:rPr>
                <w:sz w:val="1"/>
                <w:szCs w:val="1"/>
                <w:color w:val="auto"/>
              </w:rPr>
            </w:pPr>
          </w:p>
        </w:tc>
      </w:tr>
      <w:tr>
        <w:trPr>
          <w:trHeight w:val="127"/>
        </w:trPr>
        <w:tc>
          <w:tcPr>
            <w:tcW w:w="3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vMerge w:val="continue"/>
            <w:shd w:val="clear" w:color="auto" w:fill="CCEEFF"/>
          </w:tcPr>
          <w:p>
            <w:pPr>
              <w:spacing w:after="0"/>
              <w:rPr>
                <w:sz w:val="11"/>
                <w:szCs w:val="11"/>
                <w:color w:val="auto"/>
              </w:rPr>
            </w:pPr>
          </w:p>
        </w:tc>
        <w:tc>
          <w:tcPr>
            <w:tcW w:w="10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tcPr>
          <w:p>
            <w:pPr>
              <w:spacing w:after="0"/>
              <w:rPr>
                <w:sz w:val="23"/>
                <w:szCs w:val="23"/>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23"/>
                <w:szCs w:val="2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441,667</w:t>
            </w:r>
          </w:p>
        </w:tc>
        <w:tc>
          <w:tcPr>
            <w:tcW w:w="80" w:type="dxa"/>
            <w:vAlign w:val="bottom"/>
          </w:tcPr>
          <w:p>
            <w:pPr>
              <w:spacing w:after="0"/>
              <w:rPr>
                <w:sz w:val="23"/>
                <w:szCs w:val="23"/>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3"/>
                <w:szCs w:val="23"/>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405,000</w:t>
            </w:r>
          </w:p>
        </w:tc>
        <w:tc>
          <w:tcPr>
            <w:tcW w:w="100" w:type="dxa"/>
            <w:vAlign w:val="bottom"/>
          </w:tcPr>
          <w:p>
            <w:pPr>
              <w:spacing w:after="0"/>
              <w:rPr>
                <w:sz w:val="23"/>
                <w:szCs w:val="2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626,737</w:t>
            </w:r>
          </w:p>
        </w:tc>
        <w:tc>
          <w:tcPr>
            <w:tcW w:w="100" w:type="dxa"/>
            <w:vAlign w:val="bottom"/>
          </w:tcPr>
          <w:p>
            <w:pPr>
              <w:spacing w:after="0"/>
              <w:rPr>
                <w:sz w:val="23"/>
                <w:szCs w:val="2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24,500</w:t>
            </w:r>
          </w:p>
        </w:tc>
        <w:tc>
          <w:tcPr>
            <w:tcW w:w="100" w:type="dxa"/>
            <w:vAlign w:val="bottom"/>
          </w:tcPr>
          <w:p>
            <w:pPr>
              <w:spacing w:after="0"/>
              <w:rPr>
                <w:sz w:val="23"/>
                <w:szCs w:val="23"/>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1,497,904</w:t>
            </w:r>
          </w:p>
        </w:tc>
        <w:tc>
          <w:tcPr>
            <w:tcW w:w="0" w:type="dxa"/>
            <w:vAlign w:val="bottom"/>
          </w:tcPr>
          <w:p>
            <w:pPr>
              <w:spacing w:after="0"/>
              <w:rPr>
                <w:sz w:val="1"/>
                <w:szCs w:val="1"/>
                <w:color w:val="auto"/>
              </w:rPr>
            </w:pPr>
          </w:p>
        </w:tc>
      </w:tr>
      <w:tr>
        <w:trPr>
          <w:trHeight w:val="257"/>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10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80" w:type="dxa"/>
            <w:vAlign w:val="bottom"/>
          </w:tcPr>
          <w:p>
            <w:pPr>
              <w:spacing w:after="0"/>
              <w:rPr>
                <w:sz w:val="22"/>
                <w:szCs w:val="2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394,885</w:t>
            </w:r>
          </w:p>
        </w:tc>
        <w:tc>
          <w:tcPr>
            <w:tcW w:w="1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404,173</w:t>
            </w:r>
          </w:p>
        </w:tc>
        <w:tc>
          <w:tcPr>
            <w:tcW w:w="1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20,700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1,219,758</w:t>
            </w:r>
          </w:p>
        </w:tc>
        <w:tc>
          <w:tcPr>
            <w:tcW w:w="0" w:type="dxa"/>
            <w:vAlign w:val="bottom"/>
          </w:tcPr>
          <w:p>
            <w:pPr>
              <w:spacing w:after="0"/>
              <w:rPr>
                <w:sz w:val="1"/>
                <w:szCs w:val="1"/>
                <w:color w:val="auto"/>
              </w:rPr>
            </w:pPr>
          </w:p>
        </w:tc>
      </w:tr>
      <w:tr>
        <w:trPr>
          <w:trHeight w:val="219"/>
        </w:trPr>
        <w:tc>
          <w:tcPr>
            <w:tcW w:w="3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244,885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864,685</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O. Linton</w:t>
            </w:r>
          </w:p>
        </w:tc>
        <w:tc>
          <w:tcPr>
            <w:tcW w:w="10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320,833</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457,712</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99,500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978,045</w:t>
            </w:r>
          </w:p>
        </w:tc>
        <w:tc>
          <w:tcPr>
            <w:tcW w:w="0" w:type="dxa"/>
            <w:vAlign w:val="bottom"/>
          </w:tcPr>
          <w:p>
            <w:pPr>
              <w:spacing w:after="0"/>
              <w:rPr>
                <w:sz w:val="1"/>
                <w:szCs w:val="1"/>
                <w:color w:val="auto"/>
              </w:rPr>
            </w:pPr>
          </w:p>
        </w:tc>
      </w:tr>
      <w:tr>
        <w:trPr>
          <w:trHeight w:val="350"/>
        </w:trPr>
        <w:tc>
          <w:tcPr>
            <w:tcW w:w="3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Managing Director, Head of Distribution</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base compensation earned during each of the fiscal years presented.</w:t>
      </w:r>
    </w:p>
    <w:p>
      <w:pPr>
        <w:spacing w:after="0" w:line="68" w:lineRule="exact"/>
        <w:rPr>
          <w:rFonts w:ascii="Times New Roman" w:cs="Times New Roman" w:eastAsia="Times New Roman" w:hAnsi="Times New Roman"/>
          <w:sz w:val="14"/>
          <w:szCs w:val="14"/>
          <w:color w:val="auto"/>
        </w:rPr>
      </w:pPr>
    </w:p>
    <w:p>
      <w:pPr>
        <w:ind w:left="660" w:right="60" w:hanging="652"/>
        <w:spacing w:after="0" w:line="271" w:lineRule="auto"/>
        <w:tabs>
          <w:tab w:leader="none" w:pos="32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typically granted in February of each year based on our performance for the immediately preceding year. The restricted stock awards shown for 2025, 2024, and 2023 were made in February 2025, February 2024, and February 2023, respectively. The restricted award grants for the 2025 performance year that were granted in February 2026 are described below.</w:t>
      </w:r>
    </w:p>
    <w:p>
      <w:pPr>
        <w:spacing w:after="0" w:line="22" w:lineRule="exact"/>
        <w:rPr>
          <w:sz w:val="20"/>
          <w:szCs w:val="20"/>
          <w:color w:val="auto"/>
        </w:rPr>
      </w:pPr>
    </w:p>
    <w:p>
      <w:pPr>
        <w:ind w:left="660" w:right="20"/>
        <w:spacing w:after="0" w:line="301" w:lineRule="auto"/>
        <w:rPr>
          <w:sz w:val="20"/>
          <w:szCs w:val="20"/>
          <w:color w:val="auto"/>
        </w:rPr>
      </w:pPr>
      <w:r>
        <w:rPr>
          <w:rFonts w:ascii="Times New Roman" w:cs="Times New Roman" w:eastAsia="Times New Roman" w:hAnsi="Times New Roman"/>
          <w:sz w:val="14"/>
          <w:szCs w:val="14"/>
          <w:color w:val="auto"/>
        </w:rPr>
        <w:t>For 2025, the amounts contained in column (e) reflect (i) for Mr. Casey, the grant date fair value of his time-vested restricted stock award (45,621 shares), (ii) for Mr. Gomez, the grant date fair value of his time-vested restricted stock award (24,636 shares), and (iii) for Mr. Linton, the grant date fair value of his time-vested restricted stock award (6,083 shares).</w:t>
      </w:r>
    </w:p>
    <w:p>
      <w:pPr>
        <w:spacing w:after="0" w:line="1"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14"/>
          <w:szCs w:val="14"/>
          <w:color w:val="auto"/>
        </w:rPr>
        <w:t>The above grant date fair values reported in column (e) were calculated in accordance with Accounting Standards Codification Topic 718 (“ASC 718”), “Stock Compensation.” The assumptions used in the valuation of the time-vested restricted stock awards are discussed in Note 8 “Employee Benefits” of our audited financial statements, which are included in our 2025 Form 10-K. See the “Executive Compensation” section above for a further description of these restricted stock awards.</w:t>
      </w:r>
    </w:p>
    <w:p>
      <w:pPr>
        <w:spacing w:after="0" w:line="22"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the amounts for Messrs. Casey, Gomez, and Linton reflect the cash payments made under our executive compensation program. Each of these payments was approved in 2026.</w:t>
      </w:r>
    </w:p>
    <w:p>
      <w:pPr>
        <w:spacing w:after="0" w:line="200" w:lineRule="exact"/>
        <w:rPr>
          <w:rFonts w:ascii="Times New Roman" w:cs="Times New Roman" w:eastAsia="Times New Roman" w:hAnsi="Times New Roman"/>
          <w:sz w:val="14"/>
          <w:szCs w:val="14"/>
          <w:color w:val="auto"/>
        </w:rPr>
      </w:pPr>
    </w:p>
    <w:p>
      <w:pPr>
        <w:spacing w:after="0" w:line="201"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2" w:name="page23"/>
    <w:bookmarkEnd w:id="22"/>
    <w:p>
      <w:pPr>
        <w:ind w:left="660" w:right="100" w:hanging="652"/>
        <w:spacing w:after="0" w:line="268" w:lineRule="auto"/>
        <w:tabs>
          <w:tab w:leader="none" w:pos="3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column (g) reflect each named executive officer’s 401(k) Company matching contribution, and Company profit sharing contribution under the Savings Plan. The Company matching contributions was $21,000 for each named executive officer for 2025, $20,700 for each named executive officer for 2024, and $19,800 for each named executive officer for 2023. The Company profit sharing contribution was $3,500 for each named executive officer for 2025 and $3,450 for 2024. See “Other Benefits and Perquisites” below for a description of plan contributions. For Mr. Linton, the amount in column (g) also includes $75,000 time-vested deferred cash award granted to him in 2025 for the 2024 performance year.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2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For 2025, the principal components of compensation for our NEOs were base salary, an annual cash incentive award, and a long-term equity award paid in restricted stock. For our three NEOs an average of approximately 70% of 2025 total direct compensation represented variable "at risk" compensation delivered in the form of performance-based annual cash incentive awards and time-based long-term equity awards.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Base salary is the fixed component of our NEOs’ annual cash compensation. The Company provides its NEOs with a base salary for services rendered during the year in recognition of their expertise, knowledge and experience.</w:t>
      </w:r>
    </w:p>
    <w:p>
      <w:pPr>
        <w:spacing w:after="0" w:line="5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Salary levels are usually evaluated annually as part of our performance review process, as well as upon promotions, changes in job responsibilities, or in connection with the terms of initial employment.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Awards</w:t>
      </w:r>
    </w:p>
    <w:p>
      <w:pPr>
        <w:spacing w:after="0" w:line="12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NEOs are eligible to receive performance-based cash incentive bonuses that are designed to provide them with appropriate incentives to achieve defined performance goals and reward them for individual achievement toward these goals. The Company believes that a combination of cash incentive awards and equity awards moderates the dilution effect of using only equity awards. The CHC Committee sets performance objectives and subsequently approves annual cash incentive awards for our NEOs. For Messrs. Casey, Gomez, and Linton, we use target incentives and a structured scorecard-based system to evaluate performance and determine cash incentive payouts. Performance measures and weightings can vary in their scorecards to reflect differences in responsibilities and the impact on results.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CHC Committee monitors individual performance throughout the year and completes formal mid-year and end-of-year performance assessments using pre-defined scorecards. Final incentive payouts are based on scorecard results and the amounts that the CHC Committee believes balance the need to:</w:t>
      </w:r>
    </w:p>
    <w:p>
      <w:pPr>
        <w:spacing w:after="0"/>
        <w:rPr>
          <w:sz w:val="20"/>
          <w:szCs w:val="20"/>
          <w:color w:val="auto"/>
        </w:rPr>
      </w:pPr>
      <w:r>
        <w:rPr>
          <w:rFonts w:ascii="Times New Roman" w:cs="Times New Roman" w:eastAsia="Times New Roman" w:hAnsi="Times New Roman"/>
          <w:sz w:val="18"/>
          <w:szCs w:val="18"/>
          <w:color w:val="auto"/>
        </w:rPr>
        <w:t>(1) retain the executives with industry-competitive total compensation; and (2) provide attractive long-term financial returns to stockholders.</w:t>
      </w:r>
    </w:p>
    <w:p>
      <w:pPr>
        <w:spacing w:after="0" w:line="9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CHC Committee determined for fiscal 2025 annual cash incentives for the CEO and the other NEOs in early 2026 using the following scorecard-based assessment of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685800" cy="3891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Fiscal 2025 Non-</w:t>
      </w:r>
    </w:p>
    <w:p>
      <w:pPr>
        <w:ind w:left="40"/>
        <w:spacing w:after="0" w:line="209" w:lineRule="auto"/>
        <w:rPr>
          <w:sz w:val="20"/>
          <w:szCs w:val="20"/>
          <w:color w:val="auto"/>
        </w:rPr>
      </w:pPr>
      <w:r>
        <w:rPr>
          <w:rFonts w:ascii="Times New Roman" w:cs="Times New Roman" w:eastAsia="Times New Roman" w:hAnsi="Times New Roman"/>
          <w:sz w:val="14"/>
          <w:szCs w:val="14"/>
          <w:b w:val="1"/>
          <w:bCs w:val="1"/>
          <w:color w:val="auto"/>
        </w:rPr>
        <w:t>Equity Incentive</w:t>
      </w:r>
    </w:p>
    <w:p>
      <w:pPr>
        <w:ind w:left="120"/>
        <w:spacing w:after="0"/>
        <w:rPr>
          <w:sz w:val="20"/>
          <w:szCs w:val="20"/>
          <w:color w:val="auto"/>
        </w:rPr>
      </w:pPr>
      <w:r>
        <w:rPr>
          <w:rFonts w:ascii="Times New Roman" w:cs="Times New Roman" w:eastAsia="Times New Roman" w:hAnsi="Times New Roman"/>
          <w:sz w:val="14"/>
          <w:szCs w:val="14"/>
          <w:b w:val="1"/>
          <w:bCs w:val="1"/>
          <w:color w:val="auto"/>
        </w:rPr>
        <w:t>(paid in 2026)</w:t>
      </w:r>
    </w:p>
    <w:p>
      <w:pPr>
        <w:spacing w:after="0" w:line="20" w:lineRule="exact"/>
        <w:rPr>
          <w:sz w:val="20"/>
          <w:szCs w:val="20"/>
          <w:color w:val="auto"/>
        </w:rPr>
      </w:pPr>
      <w:r>
        <w:rPr>
          <w:sz w:val="20"/>
          <w:szCs w:val="20"/>
          <w:color w:val="auto"/>
        </w:rPr>
        <w:br w:type="column"/>
      </w:r>
    </w:p>
    <w:p>
      <w:pPr>
        <w:ind w:left="4540"/>
        <w:spacing w:after="0"/>
        <w:rPr>
          <w:sz w:val="20"/>
          <w:szCs w:val="20"/>
          <w:color w:val="auto"/>
        </w:rPr>
      </w:pPr>
      <w:r>
        <w:rPr>
          <w:rFonts w:ascii="Times New Roman" w:cs="Times New Roman" w:eastAsia="Times New Roman" w:hAnsi="Times New Roman"/>
          <w:sz w:val="14"/>
          <w:szCs w:val="14"/>
          <w:b w:val="1"/>
          <w:bCs w:val="1"/>
          <w:color w:val="auto"/>
        </w:rPr>
        <w:t>Fiscal 2025 Non-Equity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-94615</wp:posOffset>
            </wp:positionV>
            <wp:extent cx="569214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265430"/>
                    </a:xfrm>
                    <a:prstGeom prst="rect">
                      <a:avLst/>
                    </a:prstGeom>
                    <a:noFill/>
                  </pic:spPr>
                </pic:pic>
              </a:graphicData>
            </a:graphic>
          </wp:anchor>
        </w:drawing>
      </w:r>
    </w:p>
    <w:p>
      <w:pPr>
        <w:spacing w:after="0" w:line="13"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28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 Results</w:t>
            </w:r>
          </w:p>
        </w:tc>
        <w:tc>
          <w:tcPr>
            <w:tcW w:w="14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vs. High</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215"/>
        </w:trPr>
        <w:tc>
          <w:tcPr>
            <w:tcW w:w="28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Expectations</w:t>
            </w: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(0-150% target)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Economic earnings</w:t>
            </w:r>
          </w:p>
        </w:tc>
        <w:tc>
          <w:tcPr>
            <w:tcW w:w="1240" w:type="dxa"/>
            <w:vAlign w:val="bottom"/>
            <w:gridSpan w:val="2"/>
            <w:vMerge w:val="restart"/>
          </w:tcPr>
          <w:p>
            <w:pPr>
              <w:jc w:val="center"/>
              <w:ind w:left="328"/>
              <w:spacing w:after="0"/>
              <w:rPr>
                <w:sz w:val="20"/>
                <w:szCs w:val="20"/>
                <w:color w:val="auto"/>
              </w:rPr>
            </w:pPr>
            <w:r>
              <w:rPr>
                <w:rFonts w:ascii="Times New Roman" w:cs="Times New Roman" w:eastAsia="Times New Roman" w:hAnsi="Times New Roman"/>
                <w:sz w:val="14"/>
                <w:szCs w:val="14"/>
                <w:color w:val="auto"/>
                <w:w w:val="99"/>
              </w:rPr>
              <w:t>60.0%</w:t>
            </w:r>
          </w:p>
        </w:tc>
        <w:tc>
          <w:tcPr>
            <w:tcW w:w="8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$558,000</w:t>
            </w:r>
          </w:p>
        </w:tc>
        <w:tc>
          <w:tcPr>
            <w:tcW w:w="100" w:type="dxa"/>
            <w:vAlign w:val="bottom"/>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Slightly below</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$554,080</w:t>
            </w:r>
          </w:p>
        </w:tc>
        <w:tc>
          <w:tcPr>
            <w:tcW w:w="0" w:type="dxa"/>
            <w:vAlign w:val="bottom"/>
          </w:tcPr>
          <w:p>
            <w:pPr>
              <w:spacing w:after="0"/>
              <w:rPr>
                <w:sz w:val="1"/>
                <w:szCs w:val="1"/>
                <w:color w:val="auto"/>
              </w:rPr>
            </w:pPr>
          </w:p>
        </w:tc>
      </w:tr>
      <w:tr>
        <w:trPr>
          <w:trHeight w:val="81"/>
        </w:trPr>
        <w:tc>
          <w:tcPr>
            <w:tcW w:w="28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target</w:t>
            </w: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80" w:type="dxa"/>
            <w:vAlign w:val="bottom"/>
            <w:vMerge w:val="restart"/>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74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4"/>
                <w:szCs w:val="14"/>
                <w:color w:val="auto"/>
              </w:rPr>
              <w:t>Sales execution</w:t>
            </w: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80" w:type="dxa"/>
            <w:vAlign w:val="bottom"/>
            <w:vMerge w:val="continue"/>
          </w:tcPr>
          <w:p>
            <w:pPr>
              <w:spacing w:after="0"/>
              <w:rPr>
                <w:sz w:val="3"/>
                <w:szCs w:val="3"/>
                <w:color w:val="auto"/>
              </w:rPr>
            </w:pPr>
          </w:p>
        </w:tc>
        <w:tc>
          <w:tcPr>
            <w:tcW w:w="27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Relative TSR</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-564515</wp:posOffset>
            </wp:positionV>
            <wp:extent cx="625475" cy="1465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5475" cy="146558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-564515</wp:posOffset>
            </wp:positionV>
            <wp:extent cx="137160" cy="574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60"/>
        <w:spacing w:after="0"/>
        <w:tabs>
          <w:tab w:leader="none" w:pos="1080" w:val="left"/>
        </w:tabs>
        <w:rPr>
          <w:sz w:val="20"/>
          <w:szCs w:val="20"/>
          <w:color w:val="auto"/>
        </w:rPr>
      </w:pPr>
      <w:r>
        <w:rPr>
          <w:rFonts w:ascii="Times New Roman" w:cs="Times New Roman" w:eastAsia="Times New Roman" w:hAnsi="Times New Roman"/>
          <w:sz w:val="28"/>
          <w:szCs w:val="28"/>
          <w:color w:val="auto"/>
          <w:vertAlign w:val="subscript"/>
        </w:rPr>
        <w:t>Brian O. Casey</w:t>
      </w:r>
      <w:r>
        <w:rPr>
          <w:rFonts w:ascii="Times New Roman" w:cs="Times New Roman" w:eastAsia="Times New Roman" w:hAnsi="Times New Roman"/>
          <w:sz w:val="14"/>
          <w:szCs w:val="14"/>
          <w:b w:val="1"/>
          <w:bCs w:val="1"/>
          <w:color w:val="auto"/>
        </w:rPr>
        <w:tab/>
        <w:t>Strategic Objectives: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Operationalize MIS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3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ETF Platform</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$372,000</w:t>
            </w:r>
          </w:p>
        </w:tc>
        <w:tc>
          <w:tcPr>
            <w:tcW w:w="15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Far exceeded</w:t>
            </w:r>
          </w:p>
        </w:tc>
        <w:tc>
          <w:tcPr>
            <w:tcW w:w="13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150%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$556,140</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Westwood Wealth Restructure</w:t>
            </w: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3520" w:type="dxa"/>
            <w:vAlign w:val="bottom"/>
            <w:gridSpan w:val="2"/>
          </w:tcPr>
          <w:p>
            <w:pPr>
              <w:ind w:left="280"/>
              <w:spacing w:after="0" w:line="139" w:lineRule="exact"/>
              <w:rPr>
                <w:sz w:val="20"/>
                <w:szCs w:val="20"/>
                <w:color w:val="auto"/>
              </w:rPr>
            </w:pPr>
            <w:r>
              <w:rPr>
                <w:rFonts w:ascii="Times New Roman" w:cs="Times New Roman" w:eastAsia="Times New Roman" w:hAnsi="Times New Roman"/>
                <w:sz w:val="14"/>
                <w:szCs w:val="14"/>
                <w:color w:val="auto"/>
              </w:rPr>
              <w:t>•  Promote a client-first culture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3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Branding &amp; Web</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Investor Relations</w:t>
            </w:r>
          </w:p>
        </w:tc>
        <w:tc>
          <w:tcPr>
            <w:tcW w:w="8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140" w:type="dxa"/>
            <w:vAlign w:val="bottom"/>
            <w:vMerge w:val="continue"/>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7"/>
                <w:szCs w:val="7"/>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$930,000</w:t>
            </w:r>
          </w:p>
        </w:tc>
        <w:tc>
          <w:tcPr>
            <w:tcW w:w="15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$1,110,220</w:t>
            </w:r>
          </w:p>
        </w:tc>
        <w:tc>
          <w:tcPr>
            <w:tcW w:w="0" w:type="dxa"/>
            <w:vAlign w:val="bottom"/>
          </w:tcPr>
          <w:p>
            <w:pPr>
              <w:spacing w:after="0"/>
              <w:rPr>
                <w:sz w:val="1"/>
                <w:szCs w:val="1"/>
                <w:color w:val="auto"/>
              </w:rPr>
            </w:pPr>
          </w:p>
        </w:tc>
      </w:tr>
      <w:tr>
        <w:trPr>
          <w:trHeight w:val="99"/>
        </w:trPr>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98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980" w:type="dxa"/>
            <w:vAlign w:val="bottom"/>
          </w:tcPr>
          <w:p>
            <w:pPr>
              <w:spacing w:after="0"/>
              <w:rPr>
                <w:sz w:val="6"/>
                <w:szCs w:val="6"/>
                <w:color w:val="auto"/>
              </w:rPr>
            </w:pPr>
          </w:p>
        </w:tc>
        <w:tc>
          <w:tcPr>
            <w:tcW w:w="3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980" w:type="dxa"/>
            <w:vAlign w:val="bottom"/>
            <w:shd w:val="clear" w:color="auto" w:fill="CCEEFF"/>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spacing w:after="0"/>
              <w:rPr>
                <w:sz w:val="20"/>
                <w:szCs w:val="20"/>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Economic earnings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80" w:type="dxa"/>
            <w:vAlign w:val="bottom"/>
          </w:tcPr>
          <w:p>
            <w:pPr>
              <w:spacing w:after="0"/>
              <w:rPr>
                <w:sz w:val="20"/>
                <w:szCs w:val="2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$315,000</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Slightly below</w:t>
            </w:r>
          </w:p>
        </w:tc>
        <w:tc>
          <w:tcPr>
            <w:tcW w:w="13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99%</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$312,787</w:t>
            </w:r>
          </w:p>
        </w:tc>
        <w:tc>
          <w:tcPr>
            <w:tcW w:w="0" w:type="dxa"/>
            <w:vAlign w:val="bottom"/>
          </w:tcPr>
          <w:p>
            <w:pPr>
              <w:spacing w:after="0"/>
              <w:rPr>
                <w:sz w:val="1"/>
                <w:szCs w:val="1"/>
                <w:color w:val="auto"/>
              </w:rPr>
            </w:pPr>
          </w:p>
        </w:tc>
      </w:tr>
      <w:tr>
        <w:trPr>
          <w:trHeight w:val="94"/>
        </w:trPr>
        <w:tc>
          <w:tcPr>
            <w:tcW w:w="980" w:type="dxa"/>
            <w:vAlign w:val="bottom"/>
            <w:shd w:val="clear" w:color="auto" w:fill="CCEEFF"/>
          </w:tcPr>
          <w:p>
            <w:pPr>
              <w:spacing w:after="0"/>
              <w:rPr>
                <w:sz w:val="8"/>
                <w:szCs w:val="8"/>
                <w:color w:val="auto"/>
              </w:rPr>
            </w:pPr>
          </w:p>
        </w:tc>
        <w:tc>
          <w:tcPr>
            <w:tcW w:w="380" w:type="dxa"/>
            <w:vAlign w:val="bottom"/>
            <w:vMerge w:val="continue"/>
          </w:tcPr>
          <w:p>
            <w:pPr>
              <w:spacing w:after="0"/>
              <w:rPr>
                <w:sz w:val="8"/>
                <w:szCs w:val="8"/>
                <w:color w:val="auto"/>
              </w:rPr>
            </w:pPr>
          </w:p>
        </w:tc>
        <w:tc>
          <w:tcPr>
            <w:tcW w:w="31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5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target</w:t>
            </w: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80" w:type="dxa"/>
            <w:vAlign w:val="bottom"/>
            <w:shd w:val="clear" w:color="auto" w:fill="CCEEFF"/>
          </w:tcPr>
          <w:p>
            <w:pPr>
              <w:spacing w:after="0"/>
              <w:rPr>
                <w:sz w:val="8"/>
                <w:szCs w:val="8"/>
                <w:color w:val="auto"/>
              </w:rPr>
            </w:pPr>
          </w:p>
        </w:tc>
        <w:tc>
          <w:tcPr>
            <w:tcW w:w="380" w:type="dxa"/>
            <w:vAlign w:val="bottom"/>
            <w:vMerge w:val="restart"/>
          </w:tcPr>
          <w:p>
            <w:pPr>
              <w:ind w:lef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14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4"/>
                <w:szCs w:val="14"/>
                <w:color w:val="auto"/>
              </w:rPr>
              <w:t>Sales execution</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980" w:type="dxa"/>
            <w:vAlign w:val="bottom"/>
            <w:shd w:val="clear" w:color="auto" w:fill="CCEEFF"/>
          </w:tcPr>
          <w:p>
            <w:pPr>
              <w:spacing w:after="0"/>
              <w:rPr>
                <w:sz w:val="4"/>
                <w:szCs w:val="4"/>
                <w:color w:val="auto"/>
              </w:rPr>
            </w:pPr>
          </w:p>
        </w:tc>
        <w:tc>
          <w:tcPr>
            <w:tcW w:w="380" w:type="dxa"/>
            <w:vAlign w:val="bottom"/>
            <w:vMerge w:val="continue"/>
          </w:tcPr>
          <w:p>
            <w:pPr>
              <w:spacing w:after="0"/>
              <w:rPr>
                <w:sz w:val="4"/>
                <w:szCs w:val="4"/>
                <w:color w:val="auto"/>
              </w:rPr>
            </w:pPr>
          </w:p>
        </w:tc>
        <w:tc>
          <w:tcPr>
            <w:tcW w:w="31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980" w:type="dxa"/>
            <w:vAlign w:val="bottom"/>
            <w:shd w:val="clear" w:color="auto" w:fill="CCEEFF"/>
          </w:tcPr>
          <w:p>
            <w:pPr>
              <w:spacing w:after="0"/>
              <w:rPr>
                <w:sz w:val="16"/>
                <w:szCs w:val="16"/>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Relative TSR</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Fabian Gomez</w:t>
            </w: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Strategic Objectives: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shd w:val="clear" w:color="auto" w:fill="CCEEFF"/>
          </w:tcPr>
          <w:p>
            <w:pPr>
              <w:spacing w:after="0"/>
              <w:rPr>
                <w:sz w:val="8"/>
                <w:szCs w:val="8"/>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Operationalize MIS</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shd w:val="clear" w:color="auto" w:fill="CCEEFF"/>
          </w:tcPr>
          <w:p>
            <w:pPr>
              <w:spacing w:after="0"/>
              <w:rPr>
                <w:sz w:val="8"/>
                <w:szCs w:val="8"/>
                <w:color w:val="auto"/>
              </w:rPr>
            </w:pPr>
          </w:p>
        </w:tc>
        <w:tc>
          <w:tcPr>
            <w:tcW w:w="380" w:type="dxa"/>
            <w:vAlign w:val="bottom"/>
            <w:vMerge w:val="continue"/>
          </w:tcPr>
          <w:p>
            <w:pPr>
              <w:spacing w:after="0"/>
              <w:rPr>
                <w:sz w:val="8"/>
                <w:szCs w:val="8"/>
                <w:color w:val="auto"/>
              </w:rPr>
            </w:pPr>
          </w:p>
        </w:tc>
        <w:tc>
          <w:tcPr>
            <w:tcW w:w="31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rPr>
                <w:sz w:val="12"/>
                <w:szCs w:val="12"/>
                <w:color w:val="auto"/>
              </w:rPr>
            </w:pPr>
          </w:p>
        </w:tc>
        <w:tc>
          <w:tcPr>
            <w:tcW w:w="3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ETF Platform</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80" w:type="dxa"/>
            <w:vAlign w:val="bottom"/>
            <w:shd w:val="clear" w:color="auto" w:fill="CCEEFF"/>
          </w:tcPr>
          <w:p>
            <w:pPr>
              <w:spacing w:after="0"/>
              <w:rPr>
                <w:sz w:val="12"/>
                <w:szCs w:val="12"/>
                <w:color w:val="auto"/>
              </w:rPr>
            </w:pPr>
          </w:p>
        </w:tc>
        <w:tc>
          <w:tcPr>
            <w:tcW w:w="3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Westwood Wealth Restructure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$210,000</w:t>
            </w:r>
          </w:p>
        </w:tc>
        <w:tc>
          <w:tcPr>
            <w:tcW w:w="15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Far exceeded</w:t>
            </w:r>
          </w:p>
        </w:tc>
        <w:tc>
          <w:tcPr>
            <w:tcW w:w="13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150%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$313,950</w:t>
            </w:r>
          </w:p>
        </w:tc>
        <w:tc>
          <w:tcPr>
            <w:tcW w:w="0" w:type="dxa"/>
            <w:vAlign w:val="bottom"/>
          </w:tcPr>
          <w:p>
            <w:pPr>
              <w:spacing w:after="0"/>
              <w:rPr>
                <w:sz w:val="1"/>
                <w:szCs w:val="1"/>
                <w:color w:val="auto"/>
              </w:rPr>
            </w:pPr>
          </w:p>
        </w:tc>
      </w:tr>
      <w:tr>
        <w:trPr>
          <w:trHeight w:val="148"/>
        </w:trPr>
        <w:tc>
          <w:tcPr>
            <w:tcW w:w="980" w:type="dxa"/>
            <w:vAlign w:val="bottom"/>
            <w:shd w:val="clear" w:color="auto" w:fill="CCEEFF"/>
          </w:tcPr>
          <w:p>
            <w:pPr>
              <w:spacing w:after="0"/>
              <w:rPr>
                <w:sz w:val="12"/>
                <w:szCs w:val="12"/>
                <w:color w:val="auto"/>
              </w:rPr>
            </w:pPr>
          </w:p>
        </w:tc>
        <w:tc>
          <w:tcPr>
            <w:tcW w:w="35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Promote a client-first culture</w:t>
            </w: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rPr>
                <w:sz w:val="12"/>
                <w:szCs w:val="12"/>
                <w:color w:val="auto"/>
              </w:rPr>
            </w:pPr>
          </w:p>
        </w:tc>
        <w:tc>
          <w:tcPr>
            <w:tcW w:w="3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Branding &amp; Web</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shd w:val="clear" w:color="auto" w:fill="CCEEFF"/>
          </w:tcPr>
          <w:p>
            <w:pPr>
              <w:spacing w:after="0"/>
              <w:rPr>
                <w:sz w:val="16"/>
                <w:szCs w:val="16"/>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Investor Relations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980" w:type="dxa"/>
            <w:vAlign w:val="bottom"/>
            <w:tcBorders>
              <w:bottom w:val="single" w:sz="8" w:color="CCEEFF"/>
            </w:tcBorders>
            <w:shd w:val="clear" w:color="auto" w:fill="CCEEFF"/>
          </w:tcPr>
          <w:p>
            <w:pPr>
              <w:spacing w:after="0"/>
              <w:rPr>
                <w:sz w:val="5"/>
                <w:szCs w:val="5"/>
                <w:color w:val="auto"/>
              </w:rPr>
            </w:pPr>
          </w:p>
        </w:tc>
        <w:tc>
          <w:tcPr>
            <w:tcW w:w="3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$525,000</w:t>
            </w: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$626,737</w:t>
            </w:r>
          </w:p>
        </w:tc>
        <w:tc>
          <w:tcPr>
            <w:tcW w:w="0" w:type="dxa"/>
            <w:vAlign w:val="bottom"/>
          </w:tcPr>
          <w:p>
            <w:pPr>
              <w:spacing w:after="0"/>
              <w:rPr>
                <w:sz w:val="1"/>
                <w:szCs w:val="1"/>
                <w:color w:val="auto"/>
              </w:rPr>
            </w:pPr>
          </w:p>
        </w:tc>
      </w:tr>
      <w:tr>
        <w:trPr>
          <w:trHeight w:val="94"/>
        </w:trPr>
        <w:tc>
          <w:tcPr>
            <w:tcW w:w="98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980" w:type="dxa"/>
            <w:vAlign w:val="bottom"/>
          </w:tcPr>
          <w:p>
            <w:pPr>
              <w:spacing w:after="0"/>
              <w:rPr>
                <w:sz w:val="6"/>
                <w:szCs w:val="6"/>
                <w:color w:val="auto"/>
              </w:rPr>
            </w:pPr>
          </w:p>
        </w:tc>
        <w:tc>
          <w:tcPr>
            <w:tcW w:w="3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5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Slightly below</w:t>
            </w:r>
          </w:p>
        </w:tc>
        <w:tc>
          <w:tcPr>
            <w:tcW w:w="1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980" w:type="dxa"/>
            <w:vAlign w:val="bottom"/>
            <w:shd w:val="clear" w:color="auto" w:fill="CCEEFF"/>
          </w:tcPr>
          <w:p>
            <w:pPr>
              <w:spacing w:after="0"/>
              <w:rPr>
                <w:sz w:val="24"/>
                <w:szCs w:val="24"/>
                <w:color w:val="auto"/>
              </w:rPr>
            </w:pPr>
          </w:p>
        </w:tc>
        <w:tc>
          <w:tcPr>
            <w:tcW w:w="35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David O. Linton</w:t>
            </w:r>
          </w:p>
        </w:tc>
        <w:tc>
          <w:tcPr>
            <w:tcW w:w="3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1"/>
                <w:szCs w:val="11"/>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520" w:type="dxa"/>
            <w:vAlign w:val="bottom"/>
            <w:vMerge w:val="continue"/>
          </w:tcPr>
          <w:p>
            <w:pPr>
              <w:spacing w:after="0"/>
              <w:rPr>
                <w:sz w:val="11"/>
                <w:szCs w:val="11"/>
                <w:color w:val="auto"/>
              </w:rPr>
            </w:pPr>
          </w:p>
        </w:tc>
        <w:tc>
          <w:tcPr>
            <w:tcW w:w="13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92%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$457,712</w:t>
            </w:r>
          </w:p>
        </w:tc>
        <w:tc>
          <w:tcPr>
            <w:tcW w:w="0" w:type="dxa"/>
            <w:vAlign w:val="bottom"/>
          </w:tcPr>
          <w:p>
            <w:pPr>
              <w:spacing w:after="0"/>
              <w:rPr>
                <w:sz w:val="1"/>
                <w:szCs w:val="1"/>
                <w:color w:val="auto"/>
              </w:rPr>
            </w:pPr>
          </w:p>
        </w:tc>
      </w:tr>
      <w:tr>
        <w:trPr>
          <w:trHeight w:val="107"/>
        </w:trPr>
        <w:tc>
          <w:tcPr>
            <w:tcW w:w="980" w:type="dxa"/>
            <w:vAlign w:val="bottom"/>
            <w:vMerge w:val="continue"/>
            <w:shd w:val="clear" w:color="auto" w:fill="CCEEFF"/>
          </w:tcPr>
          <w:p>
            <w:pPr>
              <w:spacing w:after="0"/>
              <w:rPr>
                <w:sz w:val="9"/>
                <w:szCs w:val="9"/>
                <w:color w:val="auto"/>
              </w:rPr>
            </w:pPr>
          </w:p>
        </w:tc>
        <w:tc>
          <w:tcPr>
            <w:tcW w:w="3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5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target</w:t>
            </w:r>
          </w:p>
        </w:tc>
        <w:tc>
          <w:tcPr>
            <w:tcW w:w="13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80" w:type="dxa"/>
            <w:vAlign w:val="bottom"/>
            <w:shd w:val="clear" w:color="auto" w:fill="CCEEFF"/>
          </w:tcPr>
          <w:p>
            <w:pPr>
              <w:spacing w:after="0"/>
              <w:rPr>
                <w:sz w:val="7"/>
                <w:szCs w:val="7"/>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Sales execution</w:t>
            </w: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380" w:type="dxa"/>
            <w:vAlign w:val="bottom"/>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98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-3060065</wp:posOffset>
            </wp:positionV>
            <wp:extent cx="137160" cy="5740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-2305685</wp:posOffset>
            </wp:positionV>
            <wp:extent cx="137160" cy="574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-1388110</wp:posOffset>
            </wp:positionV>
            <wp:extent cx="137160" cy="574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5746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-633730</wp:posOffset>
            </wp:positionV>
            <wp:extent cx="137160" cy="574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060" w:space="120"/>
            <w:col w:w="10060"/>
          </w:cols>
          <w:pgMar w:left="320" w:top="479"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believe that long-term equity awards are a valuable compensation tool that aligns the long-term financial interests of our executives with the financial interests of our stockholders. We also believe that long-term equity awards help attract, retain and motivate our NEO and encourages them to devote their best efforts to our business and financial success. Vesting of long-term equity awards is generally tied to continuous service and helping to promote our retention objectives. Each year, the CHC Committee determines long-term equity awards for our NEOs under the Westwood Holdings Group, Inc. Stock Incentive Plan (the "Stock Incentive Plan").</w:t>
      </w:r>
    </w:p>
    <w:p>
      <w:pPr>
        <w:spacing w:after="0" w:line="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Similar to the process used to determine annual cash incentive awards, the CHC Committee uses, in its full and complete discretion, a target incentive and scorecard-based measurement system to evaluate performance and determine each executive’s long-term equity award. The scorecard-based measures and weightings used to assess performance for purposes of determining long-term equity awards differ somewhat from the criteria used to determine annual cash incentives, with the long-term program typically focusing more on overall company performance.</w:t>
      </w:r>
    </w:p>
    <w:p>
      <w:pPr>
        <w:spacing w:after="0" w:line="7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With respect to long-term equity awards, the CHC Committee: (A) monitors performance throughout the year; (B) completes periodic performance assessments using the pre-defined scorecards; and (C) makes final award determinations based on a balanced consideration of the need to (1) retain the executives with industry-competitive total compensation; and (2) provide attractive long-term financial returns to stockholders. In addition, in determining the individual executive’s target and actual long-term equity awards levels, the CHC Committee also considers, in the interests of stockholders, the Company’s overall equity plan share dilution and utilization and its recent stock price performance.</w:t>
      </w:r>
    </w:p>
    <w:p>
      <w:pPr>
        <w:spacing w:after="0" w:line="7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Using the following scorecards, the CHC Committee approved fiscal 2025 long-term equity awards for the CEO and the other NEOs on February 2, 2026 and issued these awards on 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902970</wp:posOffset>
            </wp:positionV>
            <wp:extent cx="556895" cy="3891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89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Fiscal 2025</w:t>
      </w:r>
    </w:p>
    <w:p>
      <w:pPr>
        <w:ind w:left="520"/>
        <w:spacing w:after="0" w:line="209" w:lineRule="auto"/>
        <w:rPr>
          <w:sz w:val="20"/>
          <w:szCs w:val="20"/>
          <w:color w:val="auto"/>
        </w:rPr>
      </w:pPr>
      <w:r>
        <w:rPr>
          <w:rFonts w:ascii="Times New Roman" w:cs="Times New Roman" w:eastAsia="Times New Roman" w:hAnsi="Times New Roman"/>
          <w:sz w:val="14"/>
          <w:szCs w:val="14"/>
          <w:b w:val="1"/>
          <w:bCs w:val="1"/>
          <w:color w:val="auto"/>
        </w:rPr>
        <w:t>Long-term</w:t>
      </w:r>
    </w:p>
    <w:p>
      <w:pPr>
        <w:ind w:left="640"/>
        <w:spacing w:after="0" w:line="221" w:lineRule="auto"/>
        <w:rPr>
          <w:sz w:val="20"/>
          <w:szCs w:val="20"/>
          <w:color w:val="auto"/>
        </w:rPr>
      </w:pPr>
      <w:r>
        <w:rPr>
          <w:rFonts w:ascii="Times New Roman" w:cs="Times New Roman" w:eastAsia="Times New Roman" w:hAnsi="Times New Roman"/>
          <w:sz w:val="14"/>
          <w:szCs w:val="14"/>
          <w:b w:val="1"/>
          <w:bCs w:val="1"/>
          <w:color w:val="auto"/>
        </w:rPr>
        <w:t>Equity</w:t>
      </w:r>
    </w:p>
    <w:p>
      <w:pPr>
        <w:ind w:left="560"/>
        <w:spacing w:after="0" w:line="222" w:lineRule="auto"/>
        <w:rPr>
          <w:sz w:val="20"/>
          <w:szCs w:val="20"/>
          <w:color w:val="auto"/>
        </w:rPr>
      </w:pPr>
      <w:r>
        <w:rPr>
          <w:rFonts w:ascii="Times New Roman" w:cs="Times New Roman" w:eastAsia="Times New Roman" w:hAnsi="Times New Roman"/>
          <w:sz w:val="14"/>
          <w:szCs w:val="14"/>
          <w:b w:val="1"/>
          <w:bCs w:val="1"/>
          <w:color w:val="auto"/>
        </w:rPr>
        <w:t>Incentive</w:t>
      </w:r>
    </w:p>
    <w:p>
      <w:pPr>
        <w:ind w:left="520"/>
        <w:spacing w:after="0" w:line="201" w:lineRule="auto"/>
        <w:rPr>
          <w:sz w:val="20"/>
          <w:szCs w:val="20"/>
          <w:color w:val="auto"/>
        </w:rPr>
      </w:pPr>
      <w:r>
        <w:rPr>
          <w:rFonts w:ascii="Times New Roman" w:cs="Times New Roman" w:eastAsia="Times New Roman" w:hAnsi="Times New Roman"/>
          <w:sz w:val="14"/>
          <w:szCs w:val="14"/>
          <w:b w:val="1"/>
          <w:bCs w:val="1"/>
          <w:color w:val="auto"/>
        </w:rPr>
        <w:t>(granted in</w:t>
      </w:r>
    </w:p>
    <w:p>
      <w:pPr>
        <w:jc w:val="center"/>
        <w:ind w:left="520"/>
        <w:spacing w:after="0" w:line="221" w:lineRule="auto"/>
        <w:rPr>
          <w:sz w:val="20"/>
          <w:szCs w:val="20"/>
          <w:color w:val="auto"/>
        </w:rPr>
      </w:pPr>
      <w:r>
        <w:rPr>
          <w:rFonts w:ascii="Times New Roman" w:cs="Times New Roman" w:eastAsia="Times New Roman" w:hAnsi="Times New Roman"/>
          <w:sz w:val="14"/>
          <w:szCs w:val="14"/>
          <w:b w:val="1"/>
          <w:bCs w:val="1"/>
          <w:color w:val="auto"/>
        </w:rPr>
        <w:t>calendar</w:t>
      </w:r>
    </w:p>
    <w:p>
      <w:pPr>
        <w:spacing w:after="0" w:line="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spacing w:after="0"/>
              <w:rPr>
                <w:sz w:val="17"/>
                <w:szCs w:val="17"/>
                <w:color w:val="auto"/>
              </w:rPr>
            </w:pPr>
          </w:p>
        </w:tc>
        <w:tc>
          <w:tcPr>
            <w:tcW w:w="4260" w:type="dxa"/>
            <w:vAlign w:val="bottom"/>
            <w:tcBorders>
              <w:bottom w:val="single" w:sz="8" w:color="auto"/>
            </w:tcBorders>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2025 Long-term Equity Incentive (granted in calendar 2026)</w:t>
            </w:r>
          </w:p>
        </w:tc>
        <w:tc>
          <w:tcPr>
            <w:tcW w:w="1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 Results</w:t>
            </w:r>
          </w:p>
        </w:tc>
        <w:tc>
          <w:tcPr>
            <w:tcW w:w="1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vs. High</w:t>
            </w:r>
          </w:p>
        </w:tc>
        <w:tc>
          <w:tcPr>
            <w:tcW w:w="1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Expectations</w:t>
            </w:r>
          </w:p>
        </w:tc>
        <w:tc>
          <w:tcPr>
            <w:tcW w:w="12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(0-150% target)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213"/>
        </w:trPr>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7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90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Middle Office Upgrade</w:t>
            </w:r>
          </w:p>
        </w:tc>
        <w:tc>
          <w:tcPr>
            <w:tcW w:w="1560" w:type="dxa"/>
            <w:vAlign w:val="bottom"/>
            <w:gridSpan w:val="2"/>
          </w:tcPr>
          <w:p>
            <w:pPr>
              <w:jc w:val="center"/>
              <w:ind w:left="648"/>
              <w:spacing w:after="0"/>
              <w:rPr>
                <w:sz w:val="20"/>
                <w:szCs w:val="20"/>
                <w:color w:val="auto"/>
              </w:rPr>
            </w:pPr>
            <w:r>
              <w:rPr>
                <w:rFonts w:ascii="Times New Roman" w:cs="Times New Roman" w:eastAsia="Times New Roman" w:hAnsi="Times New Roman"/>
                <w:sz w:val="14"/>
                <w:szCs w:val="14"/>
                <w:color w:val="auto"/>
                <w:w w:val="99"/>
              </w:rPr>
              <w:t>25.0%</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$155,000</w:t>
            </w:r>
          </w:p>
        </w:tc>
        <w:tc>
          <w:tcPr>
            <w:tcW w:w="8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Far exceeded</w:t>
            </w:r>
          </w:p>
        </w:tc>
        <w:tc>
          <w:tcPr>
            <w:tcW w:w="11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$232,550</w:t>
            </w:r>
          </w:p>
        </w:tc>
        <w:tc>
          <w:tcPr>
            <w:tcW w:w="0" w:type="dxa"/>
            <w:vAlign w:val="bottom"/>
          </w:tcPr>
          <w:p>
            <w:pPr>
              <w:spacing w:after="0"/>
              <w:rPr>
                <w:sz w:val="1"/>
                <w:szCs w:val="1"/>
                <w:color w:val="auto"/>
              </w:rPr>
            </w:pPr>
          </w:p>
        </w:tc>
      </w:tr>
      <w:tr>
        <w:trPr>
          <w:trHeight w:val="144"/>
        </w:trPr>
        <w:tc>
          <w:tcPr>
            <w:tcW w:w="9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Client Retention</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WEBs Launch</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Brian O.</w:t>
            </w:r>
          </w:p>
        </w:tc>
        <w:tc>
          <w:tcPr>
            <w:tcW w:w="100" w:type="dxa"/>
            <w:vAlign w:val="bottom"/>
          </w:tcPr>
          <w:p>
            <w:pPr>
              <w:spacing w:after="0"/>
              <w:rPr>
                <w:sz w:val="23"/>
                <w:szCs w:val="23"/>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Strategic Objectives:</w:t>
            </w: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Casey</w:t>
            </w:r>
          </w:p>
        </w:tc>
        <w:tc>
          <w:tcPr>
            <w:tcW w:w="100" w:type="dxa"/>
            <w:vAlign w:val="bottom"/>
          </w:tcPr>
          <w:p>
            <w:pPr>
              <w:spacing w:after="0"/>
              <w:rPr>
                <w:sz w:val="16"/>
                <w:szCs w:val="16"/>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Operationalize MIS</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900" w:type="dxa"/>
            <w:vAlign w:val="bottom"/>
            <w:shd w:val="clear" w:color="auto" w:fill="CCEEFF"/>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9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ETF Platform</w:t>
            </w:r>
          </w:p>
        </w:tc>
        <w:tc>
          <w:tcPr>
            <w:tcW w:w="1560" w:type="dxa"/>
            <w:vAlign w:val="bottom"/>
            <w:gridSpan w:val="2"/>
            <w:vMerge w:val="restart"/>
          </w:tcPr>
          <w:p>
            <w:pPr>
              <w:jc w:val="center"/>
              <w:ind w:left="648"/>
              <w:spacing w:after="0"/>
              <w:rPr>
                <w:sz w:val="20"/>
                <w:szCs w:val="20"/>
                <w:color w:val="auto"/>
              </w:rPr>
            </w:pPr>
            <w:r>
              <w:rPr>
                <w:rFonts w:ascii="Times New Roman" w:cs="Times New Roman" w:eastAsia="Times New Roman" w:hAnsi="Times New Roman"/>
                <w:sz w:val="14"/>
                <w:szCs w:val="14"/>
                <w:color w:val="auto"/>
                <w:w w:val="99"/>
              </w:rPr>
              <w:t>75.0%</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$465,000</w:t>
            </w:r>
          </w:p>
        </w:tc>
        <w:tc>
          <w:tcPr>
            <w:tcW w:w="80" w:type="dxa"/>
            <w:vAlign w:val="bottom"/>
          </w:tcPr>
          <w:p>
            <w:pPr>
              <w:spacing w:after="0"/>
              <w:rPr>
                <w:sz w:val="12"/>
                <w:szCs w:val="12"/>
                <w:color w:val="auto"/>
              </w:rPr>
            </w:pPr>
          </w:p>
        </w:tc>
        <w:tc>
          <w:tcPr>
            <w:tcW w:w="14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Far exceeded</w:t>
            </w:r>
          </w:p>
        </w:tc>
        <w:tc>
          <w:tcPr>
            <w:tcW w:w="11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$695,175</w:t>
            </w:r>
          </w:p>
        </w:tc>
        <w:tc>
          <w:tcPr>
            <w:tcW w:w="0" w:type="dxa"/>
            <w:vAlign w:val="bottom"/>
          </w:tcPr>
          <w:p>
            <w:pPr>
              <w:spacing w:after="0"/>
              <w:rPr>
                <w:sz w:val="1"/>
                <w:szCs w:val="1"/>
                <w:color w:val="auto"/>
              </w:rPr>
            </w:pPr>
          </w:p>
        </w:tc>
      </w:tr>
      <w:tr>
        <w:trPr>
          <w:trHeight w:val="149"/>
        </w:trPr>
        <w:tc>
          <w:tcPr>
            <w:tcW w:w="9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Westwood Wealth Restructure</w:t>
            </w: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  Promote a client-first culture</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Branding &amp; Web</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0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Investor Relations</w:t>
            </w:r>
          </w:p>
        </w:tc>
        <w:tc>
          <w:tcPr>
            <w:tcW w:w="7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1560" w:type="dxa"/>
            <w:vAlign w:val="bottom"/>
            <w:gridSpan w:val="2"/>
            <w:vMerge w:val="restart"/>
          </w:tcPr>
          <w:p>
            <w:pPr>
              <w:jc w:val="center"/>
              <w:ind w:left="64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$620,000</w:t>
            </w: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$927,725</w:t>
            </w:r>
          </w:p>
        </w:tc>
        <w:tc>
          <w:tcPr>
            <w:tcW w:w="0" w:type="dxa"/>
            <w:vAlign w:val="bottom"/>
          </w:tcPr>
          <w:p>
            <w:pPr>
              <w:spacing w:after="0"/>
              <w:rPr>
                <w:sz w:val="1"/>
                <w:szCs w:val="1"/>
                <w:color w:val="auto"/>
              </w:rPr>
            </w:pPr>
          </w:p>
        </w:tc>
      </w:tr>
      <w:tr>
        <w:trPr>
          <w:trHeight w:val="129"/>
        </w:trPr>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Middle Office Upgrade</w:t>
            </w:r>
          </w:p>
        </w:tc>
        <w:tc>
          <w:tcPr>
            <w:tcW w:w="1560" w:type="dxa"/>
            <w:vAlign w:val="bottom"/>
            <w:gridSpan w:val="2"/>
          </w:tcPr>
          <w:p>
            <w:pPr>
              <w:jc w:val="center"/>
              <w:ind w:left="648"/>
              <w:spacing w:after="0"/>
              <w:rPr>
                <w:sz w:val="20"/>
                <w:szCs w:val="20"/>
                <w:color w:val="auto"/>
              </w:rPr>
            </w:pPr>
            <w:r>
              <w:rPr>
                <w:rFonts w:ascii="Times New Roman" w:cs="Times New Roman" w:eastAsia="Times New Roman" w:hAnsi="Times New Roman"/>
                <w:sz w:val="14"/>
                <w:szCs w:val="14"/>
                <w:color w:val="auto"/>
                <w:w w:val="99"/>
              </w:rPr>
              <w:t>25.0%</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$87,500</w:t>
            </w:r>
          </w:p>
        </w:tc>
        <w:tc>
          <w:tcPr>
            <w:tcW w:w="8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Far exceeded</w:t>
            </w:r>
          </w:p>
        </w:tc>
        <w:tc>
          <w:tcPr>
            <w:tcW w:w="11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565785" cy="1551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 cy="155130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-1949450</wp:posOffset>
            </wp:positionV>
            <wp:extent cx="137160" cy="5740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-1118235</wp:posOffset>
            </wp:positionV>
            <wp:extent cx="137160" cy="5740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-363855</wp:posOffset>
            </wp:positionV>
            <wp:extent cx="137160" cy="5740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ind w:left="1320" w:hanging="150"/>
        <w:spacing w:after="0" w:line="201" w:lineRule="auto"/>
        <w:tabs>
          <w:tab w:leader="none" w:pos="1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Retention</w:t>
      </w:r>
    </w:p>
    <w:p>
      <w:pPr>
        <w:ind w:left="1320" w:hanging="150"/>
        <w:spacing w:after="0"/>
        <w:tabs>
          <w:tab w:leader="none" w:pos="1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WEBs Launch</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Fabian Gomez</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Strategic Objectives: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3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Operationalize MIS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3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ETF Platform</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3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Westwood Wealth Restructure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75.0%</w:t>
            </w:r>
          </w:p>
        </w:tc>
        <w:tc>
          <w:tcPr>
            <w:tcW w:w="100" w:type="dxa"/>
            <w:vAlign w:val="bottom"/>
          </w:tcPr>
          <w:p>
            <w:pPr>
              <w:spacing w:after="0"/>
              <w:rPr>
                <w:sz w:val="12"/>
                <w:szCs w:val="12"/>
                <w:color w:val="auto"/>
              </w:rPr>
            </w:pPr>
          </w:p>
        </w:tc>
        <w:tc>
          <w:tcPr>
            <w:tcW w:w="10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$262,500</w:t>
            </w:r>
          </w:p>
        </w:tc>
        <w:tc>
          <w:tcPr>
            <w:tcW w:w="14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Far exceeded</w:t>
            </w:r>
          </w:p>
        </w:tc>
        <w:tc>
          <w:tcPr>
            <w:tcW w:w="13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150%</w:t>
            </w: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$392,438</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0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Promote a client-first culture</w:t>
            </w: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3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Branding &amp; Web</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Investor Relations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$350,000</w:t>
            </w: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$523,688</w:t>
            </w:r>
          </w:p>
        </w:tc>
        <w:tc>
          <w:tcPr>
            <w:tcW w:w="0" w:type="dxa"/>
            <w:vAlign w:val="bottom"/>
          </w:tcPr>
          <w:p>
            <w:pPr>
              <w:spacing w:after="0"/>
              <w:rPr>
                <w:sz w:val="1"/>
                <w:szCs w:val="1"/>
                <w:color w:val="auto"/>
              </w:rPr>
            </w:pPr>
          </w:p>
        </w:tc>
      </w:tr>
      <w:tr>
        <w:trPr>
          <w:trHeight w:val="107"/>
        </w:trPr>
        <w:tc>
          <w:tcPr>
            <w:tcW w:w="9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2"/>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900" w:type="dxa"/>
            <w:vAlign w:val="bottom"/>
          </w:tcPr>
          <w:p>
            <w:pPr>
              <w:spacing w:after="0"/>
              <w:rPr>
                <w:sz w:val="6"/>
                <w:szCs w:val="6"/>
                <w:color w:val="auto"/>
              </w:rPr>
            </w:pPr>
          </w:p>
        </w:tc>
        <w:tc>
          <w:tcPr>
            <w:tcW w:w="3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6"/>
                <w:szCs w:val="6"/>
                <w:color w:val="auto"/>
              </w:rPr>
            </w:pPr>
          </w:p>
        </w:tc>
        <w:tc>
          <w:tcPr>
            <w:tcW w:w="10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$200,000</w:t>
            </w:r>
          </w:p>
        </w:tc>
        <w:tc>
          <w:tcPr>
            <w:tcW w:w="14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Exceeded</w:t>
            </w:r>
          </w:p>
        </w:tc>
        <w:tc>
          <w:tcPr>
            <w:tcW w:w="13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125%</w:t>
            </w: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0" w:type="dxa"/>
            <w:vAlign w:val="bottom"/>
          </w:tcPr>
          <w:p>
            <w:pPr>
              <w:spacing w:after="0"/>
              <w:rPr>
                <w:sz w:val="1"/>
                <w:szCs w:val="1"/>
                <w:color w:val="auto"/>
              </w:rPr>
            </w:pPr>
          </w:p>
        </w:tc>
      </w:tr>
      <w:tr>
        <w:trPr>
          <w:trHeight w:val="233"/>
        </w:trPr>
        <w:tc>
          <w:tcPr>
            <w:tcW w:w="900" w:type="dxa"/>
            <w:vAlign w:val="bottom"/>
            <w:shd w:val="clear" w:color="auto" w:fill="CCEEFF"/>
          </w:tcPr>
          <w:p>
            <w:pPr>
              <w:spacing w:after="0"/>
              <w:rPr>
                <w:sz w:val="20"/>
                <w:szCs w:val="20"/>
                <w:color w:val="auto"/>
              </w:rPr>
            </w:pPr>
          </w:p>
        </w:tc>
        <w:tc>
          <w:tcPr>
            <w:tcW w:w="30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David O.</w:t>
            </w:r>
          </w:p>
        </w:tc>
        <w:tc>
          <w:tcPr>
            <w:tcW w:w="3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900" w:type="dxa"/>
            <w:vAlign w:val="bottom"/>
            <w:vMerge w:val="continue"/>
            <w:shd w:val="clear" w:color="auto" w:fill="CCEEFF"/>
          </w:tcPr>
          <w:p>
            <w:pPr>
              <w:spacing w:after="0"/>
              <w:rPr>
                <w:sz w:val="4"/>
                <w:szCs w:val="4"/>
                <w:color w:val="auto"/>
              </w:rPr>
            </w:pPr>
          </w:p>
        </w:tc>
        <w:tc>
          <w:tcPr>
            <w:tcW w:w="3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Linton</w:t>
            </w:r>
          </w:p>
        </w:tc>
        <w:tc>
          <w:tcPr>
            <w:tcW w:w="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execution</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0" w:type="dxa"/>
            <w:vAlign w:val="bottom"/>
            <w:shd w:val="clear" w:color="auto" w:fill="CCEEFF"/>
          </w:tcPr>
          <w:p>
            <w:pPr>
              <w:spacing w:after="0"/>
              <w:rPr>
                <w:sz w:val="16"/>
                <w:szCs w:val="16"/>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WEBs Launch</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00" w:type="dxa"/>
            <w:vAlign w:val="bottom"/>
            <w:shd w:val="clear" w:color="auto" w:fill="CCEEFF"/>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-1388110</wp:posOffset>
            </wp:positionV>
            <wp:extent cx="137160" cy="574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-633730</wp:posOffset>
            </wp:positionV>
            <wp:extent cx="137160" cy="574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00" w:space="180"/>
            <w:col w:w="9760"/>
          </w:cols>
          <w:pgMar w:left="320" w:top="598" w:right="439" w:bottom="1440" w:gutter="0" w:footer="0" w:header="0"/>
        </w:sectPr>
      </w:pPr>
    </w:p>
    <w:p>
      <w:pPr>
        <w:spacing w:after="0" w:line="33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CHC Committee used a similar process to assess performance and determine long-term equity awards for fiscal 2024. In particular, using the following scorecard, the CHC Committee determined and approved fiscal 2024 long-term equity awards for the CEO and the other NEOs on February 4, 2025, and issued these awards on February 21, 2025.</w:t>
      </w: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8" w:right="4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902970</wp:posOffset>
            </wp:positionV>
            <wp:extent cx="556895" cy="42691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895"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Fiscal 2024</w:t>
      </w:r>
    </w:p>
    <w:p>
      <w:pPr>
        <w:ind w:left="520"/>
        <w:spacing w:after="0" w:line="209" w:lineRule="auto"/>
        <w:rPr>
          <w:sz w:val="20"/>
          <w:szCs w:val="20"/>
          <w:color w:val="auto"/>
        </w:rPr>
      </w:pPr>
      <w:r>
        <w:rPr>
          <w:rFonts w:ascii="Times New Roman" w:cs="Times New Roman" w:eastAsia="Times New Roman" w:hAnsi="Times New Roman"/>
          <w:sz w:val="14"/>
          <w:szCs w:val="14"/>
          <w:b w:val="1"/>
          <w:bCs w:val="1"/>
          <w:color w:val="auto"/>
        </w:rPr>
        <w:t>Long-term</w:t>
      </w:r>
    </w:p>
    <w:p>
      <w:pPr>
        <w:ind w:left="640"/>
        <w:spacing w:after="0" w:line="221" w:lineRule="auto"/>
        <w:rPr>
          <w:sz w:val="20"/>
          <w:szCs w:val="20"/>
          <w:color w:val="auto"/>
        </w:rPr>
      </w:pPr>
      <w:r>
        <w:rPr>
          <w:rFonts w:ascii="Times New Roman" w:cs="Times New Roman" w:eastAsia="Times New Roman" w:hAnsi="Times New Roman"/>
          <w:sz w:val="14"/>
          <w:szCs w:val="14"/>
          <w:b w:val="1"/>
          <w:bCs w:val="1"/>
          <w:color w:val="auto"/>
        </w:rPr>
        <w:t>Equity</w:t>
      </w:r>
    </w:p>
    <w:p>
      <w:pPr>
        <w:ind w:left="560"/>
        <w:spacing w:after="0" w:line="222" w:lineRule="auto"/>
        <w:rPr>
          <w:sz w:val="20"/>
          <w:szCs w:val="20"/>
          <w:color w:val="auto"/>
        </w:rPr>
      </w:pPr>
      <w:r>
        <w:rPr>
          <w:rFonts w:ascii="Times New Roman" w:cs="Times New Roman" w:eastAsia="Times New Roman" w:hAnsi="Times New Roman"/>
          <w:sz w:val="14"/>
          <w:szCs w:val="14"/>
          <w:b w:val="1"/>
          <w:bCs w:val="1"/>
          <w:color w:val="auto"/>
        </w:rPr>
        <w:t>Incentive</w:t>
      </w:r>
    </w:p>
    <w:p>
      <w:pPr>
        <w:ind w:left="520"/>
        <w:spacing w:after="0" w:line="201" w:lineRule="auto"/>
        <w:rPr>
          <w:sz w:val="20"/>
          <w:szCs w:val="20"/>
          <w:color w:val="auto"/>
        </w:rPr>
      </w:pPr>
      <w:r>
        <w:rPr>
          <w:rFonts w:ascii="Times New Roman" w:cs="Times New Roman" w:eastAsia="Times New Roman" w:hAnsi="Times New Roman"/>
          <w:sz w:val="14"/>
          <w:szCs w:val="14"/>
          <w:b w:val="1"/>
          <w:bCs w:val="1"/>
          <w:color w:val="auto"/>
        </w:rPr>
        <w:t>(granted in</w:t>
      </w:r>
    </w:p>
    <w:p>
      <w:pPr>
        <w:jc w:val="center"/>
        <w:ind w:left="520"/>
        <w:spacing w:after="0" w:line="221" w:lineRule="auto"/>
        <w:rPr>
          <w:sz w:val="20"/>
          <w:szCs w:val="20"/>
          <w:color w:val="auto"/>
        </w:rPr>
      </w:pPr>
      <w:r>
        <w:rPr>
          <w:rFonts w:ascii="Times New Roman" w:cs="Times New Roman" w:eastAsia="Times New Roman" w:hAnsi="Times New Roman"/>
          <w:sz w:val="14"/>
          <w:szCs w:val="14"/>
          <w:b w:val="1"/>
          <w:bCs w:val="1"/>
          <w:color w:val="auto"/>
        </w:rPr>
        <w:t>calendar</w:t>
      </w:r>
    </w:p>
    <w:p>
      <w:pPr>
        <w:spacing w:after="0" w:line="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ind w:left="3320"/>
        <w:spacing w:after="0"/>
        <w:rPr>
          <w:sz w:val="20"/>
          <w:szCs w:val="20"/>
          <w:color w:val="auto"/>
        </w:rPr>
      </w:pPr>
      <w:r>
        <w:rPr>
          <w:rFonts w:ascii="Times New Roman" w:cs="Times New Roman" w:eastAsia="Times New Roman" w:hAnsi="Times New Roman"/>
          <w:sz w:val="14"/>
          <w:szCs w:val="14"/>
          <w:b w:val="1"/>
          <w:bCs w:val="1"/>
          <w:color w:val="auto"/>
        </w:rPr>
        <w:t>Fiscal 2024 Long-term Equity Incentive (granted in calendar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-94615</wp:posOffset>
            </wp:positionV>
            <wp:extent cx="5572125"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2125" cy="265430"/>
                    </a:xfrm>
                    <a:prstGeom prst="rect">
                      <a:avLst/>
                    </a:prstGeom>
                    <a:noFill/>
                  </pic:spPr>
                </pic:pic>
              </a:graphicData>
            </a:graphic>
          </wp:anchor>
        </w:drawing>
      </w:r>
    </w:p>
    <w:p>
      <w:pPr>
        <w:spacing w:after="0" w:line="1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780" w:type="dxa"/>
            <w:vAlign w:val="bottom"/>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 Results</w:t>
            </w:r>
          </w:p>
        </w:tc>
        <w:tc>
          <w:tcPr>
            <w:tcW w:w="13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vs. High</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Expectations</w:t>
            </w:r>
          </w:p>
        </w:tc>
        <w:tc>
          <w:tcPr>
            <w:tcW w:w="13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(0-150% target)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78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Communications</w:t>
            </w:r>
          </w:p>
        </w:tc>
        <w:tc>
          <w:tcPr>
            <w:tcW w:w="1240" w:type="dxa"/>
            <w:vAlign w:val="bottom"/>
            <w:gridSpan w:val="2"/>
            <w:vMerge w:val="restart"/>
          </w:tcPr>
          <w:p>
            <w:pPr>
              <w:jc w:val="center"/>
              <w:ind w:left="328"/>
              <w:spacing w:after="0"/>
              <w:rPr>
                <w:sz w:val="20"/>
                <w:szCs w:val="20"/>
                <w:color w:val="auto"/>
              </w:rPr>
            </w:pPr>
            <w:r>
              <w:rPr>
                <w:rFonts w:ascii="Times New Roman" w:cs="Times New Roman" w:eastAsia="Times New Roman" w:hAnsi="Times New Roman"/>
                <w:sz w:val="14"/>
                <w:szCs w:val="14"/>
                <w:color w:val="auto"/>
                <w:w w:val="99"/>
              </w:rPr>
              <w:t>25.0%</w:t>
            </w:r>
          </w:p>
        </w:tc>
        <w:tc>
          <w:tcPr>
            <w:tcW w:w="10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Pr>
          <w:p>
            <w:pPr>
              <w:spacing w:after="0"/>
              <w:rPr>
                <w:sz w:val="24"/>
                <w:szCs w:val="24"/>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Far exceeded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24"/>
                <w:szCs w:val="2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$187,500</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Investment Compensation Plans</w:t>
            </w: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Investment Products</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Private Equity/M&amp;A</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8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color w:val="auto"/>
              </w:rPr>
              <w:t>Brian O.</w:t>
            </w:r>
          </w:p>
        </w:tc>
        <w:tc>
          <w:tcPr>
            <w:tcW w:w="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Client Retention</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8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Casey</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Strategic Objectives: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-953135</wp:posOffset>
            </wp:positionV>
            <wp:extent cx="556895" cy="1654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895" cy="16541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-859155</wp:posOffset>
            </wp:positionV>
            <wp:extent cx="137160" cy="574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spacing w:after="0" w:line="21" w:lineRule="exact"/>
        <w:rPr>
          <w:sz w:val="20"/>
          <w:szCs w:val="20"/>
          <w:color w:val="auto"/>
        </w:rPr>
      </w:pPr>
    </w:p>
    <w:p>
      <w:pPr>
        <w:ind w:left="1320" w:hanging="163"/>
        <w:spacing w:after="0"/>
        <w:tabs>
          <w:tab w:leader="none" w:pos="1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Operationalize MIS</w:t>
      </w:r>
    </w:p>
    <w:p>
      <w:pPr>
        <w:spacing w:after="0" w:line="3" w:lineRule="exact"/>
        <w:rPr>
          <w:rFonts w:ascii="Times New Roman" w:cs="Times New Roman" w:eastAsia="Times New Roman" w:hAnsi="Times New Roman"/>
          <w:sz w:val="14"/>
          <w:szCs w:val="14"/>
          <w:color w:val="auto"/>
        </w:rPr>
      </w:pPr>
    </w:p>
    <w:p>
      <w:pPr>
        <w:ind w:left="1320" w:hanging="163"/>
        <w:spacing w:after="0" w:line="201" w:lineRule="auto"/>
        <w:tabs>
          <w:tab w:leader="none" w:pos="1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 ETFs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-149225</wp:posOffset>
            </wp:positionV>
            <wp:extent cx="137160" cy="574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260" w:type="dxa"/>
            <w:vAlign w:val="bottom"/>
          </w:tcPr>
          <w:p>
            <w:pPr>
              <w:ind w:left="1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Westwood Wealth Transition</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75.0%</w:t>
            </w:r>
          </w:p>
        </w:tc>
        <w:tc>
          <w:tcPr>
            <w:tcW w:w="1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$375,000</w:t>
            </w:r>
          </w:p>
        </w:tc>
        <w:tc>
          <w:tcPr>
            <w:tcW w:w="148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Far exceeded</w:t>
            </w:r>
          </w:p>
        </w:tc>
        <w:tc>
          <w:tcPr>
            <w:tcW w:w="1300" w:type="dxa"/>
            <w:vAlign w:val="bottom"/>
          </w:tcPr>
          <w:p>
            <w:pPr>
              <w:jc w:val="right"/>
              <w:ind w:right="488"/>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10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$562,500</w:t>
            </w:r>
          </w:p>
        </w:tc>
        <w:tc>
          <w:tcPr>
            <w:tcW w:w="0" w:type="dxa"/>
            <w:vAlign w:val="bottom"/>
          </w:tcPr>
          <w:p>
            <w:pPr>
              <w:spacing w:after="0"/>
              <w:rPr>
                <w:sz w:val="1"/>
                <w:szCs w:val="1"/>
                <w:color w:val="auto"/>
              </w:rPr>
            </w:pPr>
          </w:p>
        </w:tc>
      </w:tr>
      <w:tr>
        <w:trPr>
          <w:trHeight w:val="139"/>
        </w:trPr>
        <w:tc>
          <w:tcPr>
            <w:tcW w:w="3920" w:type="dxa"/>
            <w:vAlign w:val="bottom"/>
            <w:gridSpan w:val="2"/>
          </w:tcPr>
          <w:p>
            <w:pPr>
              <w:ind w:left="1160"/>
              <w:spacing w:after="0" w:line="139" w:lineRule="exact"/>
              <w:rPr>
                <w:sz w:val="20"/>
                <w:szCs w:val="20"/>
                <w:color w:val="auto"/>
              </w:rPr>
            </w:pPr>
            <w:r>
              <w:rPr>
                <w:rFonts w:ascii="Times New Roman" w:cs="Times New Roman" w:eastAsia="Times New Roman" w:hAnsi="Times New Roman"/>
                <w:sz w:val="14"/>
                <w:szCs w:val="14"/>
                <w:color w:val="auto"/>
              </w:rPr>
              <w:t>•  Promote a client-first culture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Branding &amp; Web</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Investor Relations</w:t>
            </w: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6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4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$750,000</w:t>
            </w:r>
          </w:p>
        </w:tc>
        <w:tc>
          <w:tcPr>
            <w:tcW w:w="0" w:type="dxa"/>
            <w:vAlign w:val="bottom"/>
          </w:tcPr>
          <w:p>
            <w:pPr>
              <w:spacing w:after="0"/>
              <w:rPr>
                <w:sz w:val="1"/>
                <w:szCs w:val="1"/>
                <w:color w:val="auto"/>
              </w:rPr>
            </w:pPr>
          </w:p>
        </w:tc>
      </w:tr>
      <w:tr>
        <w:trPr>
          <w:trHeight w:val="99"/>
        </w:trPr>
        <w:tc>
          <w:tcPr>
            <w:tcW w:w="12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92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92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2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Communications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10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$67,500</w:t>
            </w:r>
          </w:p>
        </w:tc>
        <w:tc>
          <w:tcPr>
            <w:tcW w:w="14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Far exceeded</w:t>
            </w:r>
          </w:p>
        </w:tc>
        <w:tc>
          <w:tcPr>
            <w:tcW w:w="13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150%</w:t>
            </w: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$101,250</w:t>
            </w:r>
          </w:p>
        </w:tc>
        <w:tc>
          <w:tcPr>
            <w:tcW w:w="0" w:type="dxa"/>
            <w:vAlign w:val="bottom"/>
          </w:tcPr>
          <w:p>
            <w:pPr>
              <w:spacing w:after="0"/>
              <w:rPr>
                <w:sz w:val="1"/>
                <w:szCs w:val="1"/>
                <w:color w:val="auto"/>
              </w:rPr>
            </w:pPr>
          </w:p>
        </w:tc>
      </w:tr>
      <w:tr>
        <w:trPr>
          <w:trHeight w:val="151"/>
        </w:trPr>
        <w:tc>
          <w:tcPr>
            <w:tcW w:w="1260" w:type="dxa"/>
            <w:vAlign w:val="bottom"/>
          </w:tcPr>
          <w:p>
            <w:pPr>
              <w:ind w:left="11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Investment Compensation Plans</w:t>
            </w: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556895" cy="1739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6895" cy="173990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-354965</wp:posOffset>
            </wp:positionV>
            <wp:extent cx="137160" cy="574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1320" w:hanging="163"/>
        <w:spacing w:after="0" w:line="221" w:lineRule="auto"/>
        <w:tabs>
          <w:tab w:leader="none" w:pos="1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Products</w:t>
      </w:r>
    </w:p>
    <w:p>
      <w:pPr>
        <w:ind w:left="1320" w:hanging="163"/>
        <w:spacing w:after="0" w:line="221" w:lineRule="auto"/>
        <w:tabs>
          <w:tab w:leader="none" w:pos="1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Equity/M&amp;A</w:t>
      </w:r>
    </w:p>
    <w:p>
      <w:pPr>
        <w:ind w:left="1320" w:hanging="163"/>
        <w:spacing w:after="0"/>
        <w:tabs>
          <w:tab w:leader="none" w:pos="1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Retention</w:t>
      </w:r>
    </w:p>
    <w:p>
      <w:pPr>
        <w:spacing w:after="0" w:line="1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Fabian</w:t>
            </w:r>
          </w:p>
        </w:tc>
        <w:tc>
          <w:tcPr>
            <w:tcW w:w="2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Strategic Objectives:</w:t>
            </w: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Gomez</w:t>
            </w:r>
          </w:p>
        </w:tc>
        <w:tc>
          <w:tcPr>
            <w:tcW w:w="274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Operationalize MIS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Launch ETFs</w:t>
            </w: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0" w:type="dxa"/>
            <w:vAlign w:val="bottom"/>
          </w:tcPr>
          <w:p>
            <w:pPr>
              <w:spacing w:after="0"/>
              <w:rPr>
                <w:sz w:val="12"/>
                <w:szCs w:val="12"/>
                <w:color w:val="auto"/>
              </w:rPr>
            </w:pPr>
          </w:p>
        </w:tc>
        <w:tc>
          <w:tcPr>
            <w:tcW w:w="440" w:type="dxa"/>
            <w:vAlign w:val="bottom"/>
          </w:tcPr>
          <w:p>
            <w:pPr>
              <w:ind w:left="3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Westwood Wealth Transition</w:t>
            </w:r>
          </w:p>
        </w:tc>
        <w:tc>
          <w:tcPr>
            <w:tcW w:w="12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75.0%</w:t>
            </w:r>
          </w:p>
        </w:tc>
        <w:tc>
          <w:tcPr>
            <w:tcW w:w="11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$202,500</w:t>
            </w: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Far exceeded</w:t>
            </w:r>
          </w:p>
        </w:tc>
        <w:tc>
          <w:tcPr>
            <w:tcW w:w="11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150%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$303,750</w:t>
            </w: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27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Promote a client-first culture</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580" w:type="dxa"/>
            <w:vAlign w:val="bottom"/>
          </w:tcPr>
          <w:p>
            <w:pPr>
              <w:spacing w:after="0"/>
              <w:rPr>
                <w:sz w:val="2"/>
                <w:szCs w:val="2"/>
                <w:color w:val="auto"/>
              </w:rPr>
            </w:pPr>
          </w:p>
        </w:tc>
        <w:tc>
          <w:tcPr>
            <w:tcW w:w="2740" w:type="dxa"/>
            <w:vAlign w:val="bottom"/>
            <w:gridSpan w:val="2"/>
            <w:vMerge w:val="continue"/>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-252095</wp:posOffset>
            </wp:positionV>
            <wp:extent cx="137160" cy="574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ind w:left="1320" w:hanging="163"/>
        <w:spacing w:after="0" w:line="201" w:lineRule="auto"/>
        <w:tabs>
          <w:tab w:leader="none" w:pos="1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Branding &amp; Web</w:t>
      </w:r>
    </w:p>
    <w:p>
      <w:pPr>
        <w:ind w:left="1320" w:hanging="163"/>
        <w:spacing w:after="0"/>
        <w:tabs>
          <w:tab w:leader="none" w:pos="1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Relations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$270,000</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$405,000</w:t>
            </w:r>
          </w:p>
        </w:tc>
        <w:tc>
          <w:tcPr>
            <w:tcW w:w="0" w:type="dxa"/>
            <w:vAlign w:val="bottom"/>
          </w:tcPr>
          <w:p>
            <w:pPr>
              <w:spacing w:after="0"/>
              <w:rPr>
                <w:sz w:val="1"/>
                <w:szCs w:val="1"/>
                <w:color w:val="auto"/>
              </w:rPr>
            </w:pPr>
          </w:p>
        </w:tc>
      </w:tr>
      <w:tr>
        <w:trPr>
          <w:trHeight w:val="107"/>
        </w:trPr>
        <w:tc>
          <w:tcPr>
            <w:tcW w:w="88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gridSpan w:val="2"/>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 Objectives:</w:t>
            </w: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880" w:type="dxa"/>
            <w:vAlign w:val="bottom"/>
            <w:shd w:val="clear" w:color="auto" w:fill="CCEEFF"/>
          </w:tcPr>
          <w:p>
            <w:pPr>
              <w:spacing w:after="0"/>
              <w:rPr>
                <w:sz w:val="20"/>
                <w:szCs w:val="20"/>
                <w:color w:val="auto"/>
              </w:rPr>
            </w:pPr>
          </w:p>
        </w:tc>
        <w:tc>
          <w:tcPr>
            <w:tcW w:w="304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David O.</w:t>
            </w:r>
          </w:p>
        </w:tc>
        <w:tc>
          <w:tcPr>
            <w:tcW w:w="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0"/>
                <w:szCs w:val="20"/>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$90,000</w:t>
            </w:r>
          </w:p>
        </w:tc>
        <w:tc>
          <w:tcPr>
            <w:tcW w:w="14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Exceeded</w:t>
            </w:r>
          </w:p>
        </w:tc>
        <w:tc>
          <w:tcPr>
            <w:tcW w:w="13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111%</w:t>
            </w: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0" w:type="dxa"/>
            <w:vAlign w:val="bottom"/>
          </w:tcPr>
          <w:p>
            <w:pPr>
              <w:spacing w:after="0"/>
              <w:rPr>
                <w:sz w:val="1"/>
                <w:szCs w:val="1"/>
                <w:color w:val="auto"/>
              </w:rPr>
            </w:pPr>
          </w:p>
        </w:tc>
      </w:tr>
      <w:tr>
        <w:trPr>
          <w:trHeight w:val="107"/>
        </w:trPr>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Linton</w:t>
            </w: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Intermediary Sales</w:t>
            </w: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880" w:type="dxa"/>
            <w:vAlign w:val="bottom"/>
            <w:vMerge w:val="continue"/>
            <w:shd w:val="clear" w:color="auto" w:fill="CCEEFF"/>
          </w:tcPr>
          <w:p>
            <w:pPr>
              <w:spacing w:after="0"/>
              <w:rPr>
                <w:sz w:val="4"/>
                <w:szCs w:val="4"/>
                <w:color w:val="auto"/>
              </w:rPr>
            </w:pPr>
          </w:p>
        </w:tc>
        <w:tc>
          <w:tcPr>
            <w:tcW w:w="380" w:type="dxa"/>
            <w:vAlign w:val="bottom"/>
            <w:vMerge w:val="continue"/>
          </w:tcPr>
          <w:p>
            <w:pPr>
              <w:spacing w:after="0"/>
              <w:rPr>
                <w:sz w:val="4"/>
                <w:szCs w:val="4"/>
                <w:color w:val="auto"/>
              </w:rPr>
            </w:pPr>
          </w:p>
        </w:tc>
        <w:tc>
          <w:tcPr>
            <w:tcW w:w="2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Institutional Sales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80" w:type="dxa"/>
            <w:vAlign w:val="bottom"/>
            <w:shd w:val="clear" w:color="auto" w:fill="CCEEFF"/>
          </w:tcPr>
          <w:p>
            <w:pPr>
              <w:spacing w:after="0"/>
              <w:rPr>
                <w:sz w:val="16"/>
                <w:szCs w:val="16"/>
                <w:color w:val="auto"/>
              </w:rPr>
            </w:pPr>
          </w:p>
        </w:tc>
        <w:tc>
          <w:tcPr>
            <w:tcW w:w="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-633730</wp:posOffset>
            </wp:positionV>
            <wp:extent cx="137160" cy="5740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00" w:space="180"/>
            <w:col w:w="9760"/>
          </w:cols>
          <w:pgMar w:left="320" w:top="587" w:right="439" w:bottom="1440" w:gutter="0" w:footer="0" w:header="0"/>
        </w:sect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Stock Incentive Plan authorizes grants of several different types of equity awards, with the CHC Committee determining in both 2026 (for fiscal</w:t>
      </w:r>
    </w:p>
    <w:p>
      <w:pPr>
        <w:spacing w:after="0" w:line="39"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2025 performance) and 2025 (for fiscal 2024 performance) that long-term equity awards would take the form of restricted stock awards that vest as follows:</w:t>
      </w:r>
    </w:p>
    <w:p>
      <w:pPr>
        <w:spacing w:after="0" w:line="7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awards vest upon the first anniversary of the grant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second anniversary of the grant date;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third anniversary of the grant date.</w:t>
      </w:r>
    </w:p>
    <w:p>
      <w:pPr>
        <w:spacing w:after="0" w:line="11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For awards made in both 2026 and 2025: dividends on restricted stock awards are accrued and paid when underlying restricted shares vest; accrued dividends on forfeited shares are not paid; and restricted shares may not be sold, transferred, or pledged prior to vesting.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Benefits and Perquisites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offer employee and post-retirement benefits to all full-time employees, including NEOs, to provide them with financial support in the event of injury, illness, or disability and to help them accumulate retirement savings on a tax-favored basis. Our employees are generally eligible to participate in benefit programs including medical, dental, vision, disability, life insurance, and health savings or flexible spending accounts. The cost of health insurance and savings plans is partially borne by the Company, including costs for NEOs. We pay for disability insurance and a set amount of term life insurance for all employees.</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Savings Plan and Matching Contributions</w:t>
      </w:r>
    </w:p>
    <w:p>
      <w:pPr>
        <w:spacing w:after="0" w:line="11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Under Westwood Holdings Group, Inc.’s Savings Plan (the "Savings Plan"), all U.S. employees, including NEOs, are eligible to make 401(k) contributions, subject to annual IRS limits. We fully match employee contributions up to 6% of their</w:t>
      </w:r>
    </w:p>
    <w:p>
      <w:pPr>
        <w:sectPr>
          <w:pgSz w:w="11900" w:h="16838" w:orient="portrait"/>
          <w:cols w:equalWidth="0" w:num="1">
            <w:col w:w="11140"/>
          </w:cols>
          <w:pgMar w:left="320" w:top="587" w:right="439" w:bottom="1440" w:gutter="0" w:footer="0" w:header="0"/>
          <w:type w:val="continuous"/>
        </w:sect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7" w:right="439" w:bottom="1440" w:gutter="0" w:footer="0" w:header="0"/>
          <w:type w:val="continuous"/>
        </w:sectPr>
      </w:pPr>
    </w:p>
    <w:bookmarkStart w:id="26" w:name="page27"/>
    <w:bookmarkEnd w:id="26"/>
    <w:p>
      <w:pPr>
        <w:ind w:right="120"/>
        <w:spacing w:after="0" w:line="312" w:lineRule="auto"/>
        <w:rPr>
          <w:sz w:val="20"/>
          <w:szCs w:val="20"/>
          <w:color w:val="auto"/>
        </w:rPr>
      </w:pPr>
      <w:r>
        <w:rPr>
          <w:rFonts w:ascii="Times New Roman" w:cs="Times New Roman" w:eastAsia="Times New Roman" w:hAnsi="Times New Roman"/>
          <w:sz w:val="17"/>
          <w:szCs w:val="17"/>
          <w:color w:val="auto"/>
        </w:rPr>
        <w:t>eligible compensation (subject to IRS limits). An additional 1% contribution is matched for employees earning less than the highly compensated threshold ($155,000), as set annually by the IRS. Employees are vested immediately in their 401(k) contributions, as well as in the Company matching portion.</w:t>
      </w:r>
    </w:p>
    <w:p>
      <w:pPr>
        <w:spacing w:after="0" w:line="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Profit Sharing Contributions</w:t>
      </w:r>
    </w:p>
    <w:p>
      <w:pPr>
        <w:spacing w:after="0" w:line="119" w:lineRule="exact"/>
        <w:rPr>
          <w:sz w:val="20"/>
          <w:szCs w:val="20"/>
          <w:color w:val="auto"/>
        </w:rPr>
      </w:pPr>
    </w:p>
    <w:p>
      <w:pPr>
        <w:ind w:right="120" w:firstLine="405"/>
        <w:spacing w:after="0" w:line="289" w:lineRule="auto"/>
        <w:rPr>
          <w:sz w:val="20"/>
          <w:szCs w:val="20"/>
          <w:color w:val="auto"/>
        </w:rPr>
      </w:pPr>
      <w:r>
        <w:rPr>
          <w:rFonts w:ascii="Times New Roman" w:cs="Times New Roman" w:eastAsia="Times New Roman" w:hAnsi="Times New Roman"/>
          <w:sz w:val="17"/>
          <w:szCs w:val="17"/>
          <w:color w:val="auto"/>
        </w:rPr>
        <w:t>The Company’s Savings Plan authorizes us to make discretionary annual contributions to U.S. employees’ Savings Plan accounts based on our profitability and performance. The profit-sharing component of the Savings Plan is broad-based and all employees, including the NEO, are eligible for discretionary profit-sharing contributions. Profit sharing contributions are subject to a four-year vesting schedule, based on an employee's years of service.</w:t>
      </w:r>
    </w:p>
    <w:p>
      <w:pPr>
        <w:spacing w:after="0" w:line="50"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For 2025, the Company made 401(k) matching contributions and Company profit-sharing contributions totaling $24,500 for each of Messrs. Casey, Gomez, and Linton.</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provide perquisites to our NEO during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Board has established stock ownership guidelines for the Chief Executive Officer (“CEO”), NEOs, and certain other executives because we believe that equity ownership encourages employees to share a long-term view of our success and a healthy concern for the entire Company. Executives subject to stock ownership guidelines are required to hold net shares acquired through vesting of equity-based compensation programs until the minimum guideline level is met. If a decline in the price of our common stock causes an executive’s holdings to fall below the applicable threshold, the executive will not be required to purchase additional shares but is required to hold 100% of net shares acquired through vesting of equity-based compensation programs until the threshold is regained. Compliance with stock ownership guidelines is evaluated periodically by our Board of Directors. With the decline in the price of our stock over time and increased thresholds in the stock ownership guidelines, the value of shares held by certain executives fell below the applicable thresholds. As of December 31, 2025, Mr. Casey was in compliance with the stock ownership holding requirement.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Related Agreements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Brian O. Casey</w:t>
      </w:r>
    </w:p>
    <w:p>
      <w:pPr>
        <w:spacing w:after="0" w:line="119"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The CHC Committee believes that our Chief Executive Officer of Westwood Holdings Group, President and Chief Executive Officer of Westwood Wealth Management, and President of Westwood Trust,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Accordingly, in December 2015, the CHC Committee entered into a new employment agreement with Mr. Casey, which auto-renewed for an additional one-year period on January 1, 2026, and is subject to automatic renewals for subsequent one-year periods.</w:t>
      </w:r>
    </w:p>
    <w:p>
      <w:pPr>
        <w:spacing w:after="0" w:line="7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Fabian Gomez</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There is no written employment agreement with Mr. Gomez; however, in connection with his appointment as President on May 26, 2022, the Company and Mr. Gomez entered into a letter agreement (the “Gomez Letter Agreement”) and an Employee Confidentiality and Non-Compete Agreement (the “Gomez CNCA”). The Gomez Letter Agreement, which supersedes and replaces the severance agreement between the Company and Mr. Gomez dated February 9, 2018, provides for continued vesting of Mr. Gomez’s outstanding unvested restricted stock awards (time-based and performance-based) upon his involuntary termination of employment by the Company without “cause” (as defined in the Gomez Letter Agreement), or his voluntary termination of employment with the Company for “good reason” (as defined in the Gomez Letter Agreement), provided he (a) complies fully with all obligations under the Gomez Letter Agreement and the Gomez CNCA, and (b) executes and does not revoke a general release of all claims arising out of or related to his employment with the Company. The Gomez CNCA contains (a) customary confidentiality provisions, (b) a non-compete covenant that applies during Mr. Gomez’s employment and for 12 months thereafter and that restricts him from performing services for any person or entity in the United States that is or was a client of Westwood with respect to whom Mr. Gomez did business and/or had personal contact during his employment with Westwood, and (c) customary employee and client non-solicitation restrictive covenants that apply during Mr. Gomez’s employment and for 24 months thereafter. In addition, under the Gomez CNCA, Westwood can elect to restrict Mr. Gomez from competing against Westwood in any capacity for up to six months following his termination of employment, in exchange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for monthly salary continuation payments and monthly prorated bonus payments (based on the most recent annual cash bonus paid to Mr. Gomez before his termination).</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David O. Linton</w:t>
      </w:r>
    </w:p>
    <w:p>
      <w:pPr>
        <w:spacing w:after="0" w:line="11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There is no written employment agreement with Mr. Linton; however, in connection with his hiring on November 21, 2022 with the Salient Partners, L.P. acquisition, the Company and Mr. Linton entered into an Employee Confidentiality and Non-Compete Agreement (the “Linton CNCA”). The Linton CNCA contains (a) customary confidentiality provisions, (b) a non-compete covenant that applies during Mr. Linton’s employment and for 12 months thereafter and that restricts him from performing services for any person or entity in the United States that is or was a client of Westwood with respect to whom Mr. Linton did business and/or had personal contact during his employment with Westwood, and (c) customary employee and client non-solicitation restrictive covenants that apply during Mr. Linton’s employment and for 24 months thereafter. In addition, under the Linton CNCA, Westwood can elect to restrict Mr. Linton from competing against Westwood in any capacity for up to six months following his termination of employment in exchange for monthly salary continuation payments and monthly prorated bonus payments (based on the most recent annual cash bonus paid to Mr. Linton before his termination).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compensation and benefits payable to Messrs. Casey, Gomez, and Linton in the event their employment is terminated.</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our Stock Incentive Plan, in the event of their death or a "change in control" of the Company, unvested time-vested restricted stock awards would vest. Other than the terms of Mr. Gomez's severance benefit agreement discussed in "Employment and Related Agreements" above and the acceleration of restricted stock awards for Messrs. Gomez and Linton upon death or a "change in control," they are not contractually entitled to any other severance payments upon their termination or a "change in control" of the Company.</w:t>
      </w:r>
    </w:p>
    <w:p>
      <w:pPr>
        <w:spacing w:after="0" w:line="72"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Under the employment agreement in place, payments to Mr. Casey could vary depending on the cause of termination and whether or not the Board elects to enforce a non-compete agreement. Mr. Casey's agreement contains a "double-trigger" change in control related to cash severance, requiring a qualifying termination of employment within 24 months, following a qualifying change in control event, which is consistent with external market practice.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various payment scenarios for Mr. Casey are:</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without cause, by the executive for good reason or non-renewal by the Company (the non-compete agreement is automatically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has not been already paid:</w:t>
      </w:r>
    </w:p>
    <w:p>
      <w:pPr>
        <w:spacing w:after="0" w:line="117" w:lineRule="exact"/>
        <w:rPr>
          <w:sz w:val="20"/>
          <w:szCs w:val="20"/>
          <w:color w:val="auto"/>
        </w:rPr>
      </w:pPr>
    </w:p>
    <w:p>
      <w:pPr>
        <w:ind w:left="660" w:right="1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 times the sum of one year's salary, plus the annual bonus paid for the most recently completed year, to be paid in monthly installments over 18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18 months following termination; and</w:t>
      </w:r>
    </w:p>
    <w:p>
      <w:pPr>
        <w:spacing w:after="0" w:line="117"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unvested restricted shares shall be fully vested; provided, however, that to the extent that any such awards are subject to performance-based vesting conditions,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year's salary paid in monthly installments, less the amount of medical insurance premiums that would have paid, had he remained employed;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12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not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he has not been already paid:</w:t>
      </w:r>
    </w:p>
    <w:p>
      <w:pPr>
        <w:spacing w:after="0" w:line="117"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12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a change in control (the non-compete agreement is automatically enforced)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not been already paid:</w:t>
      </w:r>
    </w:p>
    <w:p>
      <w:pPr>
        <w:spacing w:after="0" w:line="117" w:lineRule="exact"/>
        <w:rPr>
          <w:sz w:val="20"/>
          <w:szCs w:val="20"/>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the sum of one year's salary, plus the annual bonus paid for the most recently completed year, to be paid in monthly installments over 24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18 months, following termination; and</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death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18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disability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benefits, if any, at least equal to those then provided by the Company to disabled executives and their families;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12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all outstanding equity awards held by our NEO as of December 31, 2025:</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Name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51510" cy="420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1510" cy="420370"/>
                    </a:xfrm>
                    <a:prstGeom prst="rect">
                      <a:avLst/>
                    </a:prstGeom>
                    <a:noFill/>
                  </pic:spPr>
                </pic:pic>
              </a:graphicData>
            </a:graphic>
          </wp:anchor>
        </w:drawing>
      </w:r>
    </w:p>
    <w:p>
      <w:pPr>
        <w:spacing w:after="0" w:line="1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Brian O.</w:t>
      </w:r>
    </w:p>
    <w:p>
      <w:pPr>
        <w:ind w:left="80"/>
        <w:spacing w:after="0"/>
        <w:rPr>
          <w:sz w:val="20"/>
          <w:szCs w:val="20"/>
          <w:color w:val="auto"/>
        </w:rPr>
      </w:pPr>
      <w:r>
        <w:rPr>
          <w:rFonts w:ascii="Times New Roman" w:cs="Times New Roman" w:eastAsia="Times New Roman" w:hAnsi="Times New Roman"/>
          <w:sz w:val="16"/>
          <w:szCs w:val="16"/>
          <w:color w:val="auto"/>
        </w:rPr>
        <w:t>Casey</w:t>
      </w:r>
    </w:p>
    <w:p>
      <w:pPr>
        <w:spacing w:after="0" w:line="2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Fabian</w:t>
      </w:r>
    </w:p>
    <w:p>
      <w:pPr>
        <w:ind w:left="80"/>
        <w:spacing w:after="0"/>
        <w:rPr>
          <w:sz w:val="20"/>
          <w:szCs w:val="20"/>
          <w:color w:val="auto"/>
        </w:rPr>
      </w:pPr>
      <w:r>
        <w:rPr>
          <w:rFonts w:ascii="Times New Roman" w:cs="Times New Roman" w:eastAsia="Times New Roman" w:hAnsi="Times New Roman"/>
          <w:sz w:val="16"/>
          <w:szCs w:val="16"/>
          <w:color w:val="auto"/>
        </w:rPr>
        <w:t>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65151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510" cy="274320"/>
                    </a:xfrm>
                    <a:prstGeom prst="rect">
                      <a:avLst/>
                    </a:prstGeom>
                    <a:noFill/>
                  </pic:spPr>
                </pic:pic>
              </a:graphicData>
            </a:graphic>
          </wp:anchor>
        </w:drawing>
      </w:r>
    </w:p>
    <w:p>
      <w:pPr>
        <w:spacing w:after="0" w:line="1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David O.</w:t>
      </w:r>
    </w:p>
    <w:p>
      <w:pPr>
        <w:ind w:left="80"/>
        <w:spacing w:after="0"/>
        <w:rPr>
          <w:sz w:val="20"/>
          <w:szCs w:val="20"/>
          <w:color w:val="auto"/>
        </w:rPr>
      </w:pPr>
      <w:r>
        <w:rPr>
          <w:rFonts w:ascii="Times New Roman" w:cs="Times New Roman" w:eastAsia="Times New Roman" w:hAnsi="Times New Roman"/>
          <w:sz w:val="16"/>
          <w:szCs w:val="16"/>
          <w:color w:val="auto"/>
        </w:rPr>
        <w:t>Linton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39"/>
        </w:trPr>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8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of Shares of</w:t>
            </w:r>
          </w:p>
        </w:tc>
        <w:tc>
          <w:tcPr>
            <w:tcW w:w="14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Award Grant</w:t>
            </w:r>
          </w:p>
        </w:tc>
        <w:tc>
          <w:tcPr>
            <w:tcW w:w="13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of Stock</w:t>
            </w:r>
          </w:p>
        </w:tc>
        <w:tc>
          <w:tcPr>
            <w:tcW w:w="128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4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28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4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Unearned</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2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Year (e)</w:t>
            </w:r>
          </w:p>
        </w:tc>
        <w:tc>
          <w:tcPr>
            <w:tcW w:w="13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Vested (#) (f)</w:t>
            </w:r>
          </w:p>
        </w:tc>
        <w:tc>
          <w:tcPr>
            <w:tcW w:w="128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Vested ($) (g)</w:t>
            </w:r>
          </w:p>
        </w:tc>
        <w:tc>
          <w:tcPr>
            <w:tcW w:w="14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Have</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 (b)</w:t>
            </w:r>
          </w:p>
        </w:tc>
        <w:tc>
          <w:tcPr>
            <w:tcW w:w="1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 xml:space="preserve">Price </w:t>
            </w: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 (c)</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 (d)</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Vested (#) (h)</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 (i)</w:t>
            </w:r>
          </w:p>
        </w:tc>
        <w:tc>
          <w:tcPr>
            <w:tcW w:w="0" w:type="dxa"/>
            <w:vAlign w:val="bottom"/>
          </w:tcPr>
          <w:p>
            <w:pPr>
              <w:spacing w:after="0"/>
              <w:rPr>
                <w:sz w:val="1"/>
                <w:szCs w:val="1"/>
                <w:color w:val="auto"/>
              </w:rPr>
            </w:pPr>
          </w:p>
        </w:tc>
      </w:tr>
      <w:tr>
        <w:trPr>
          <w:trHeight w:val="211"/>
        </w:trPr>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45,621</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785,137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31,831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547,812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16,714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287,648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24,636</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423,986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21,719</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373,784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5,348</w:t>
            </w:r>
          </w:p>
        </w:tc>
        <w:tc>
          <w:tcPr>
            <w:tcW w:w="1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92,039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6,083</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104,688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6,998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120,436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0" w:space="120"/>
            <w:col w:w="10360"/>
          </w:cols>
          <w:pgMar w:left="320" w:top="596" w:right="339" w:bottom="1440" w:gutter="0" w:footer="0" w:header="0"/>
        </w:sectPr>
      </w:pPr>
    </w:p>
    <w:p>
      <w:pPr>
        <w:spacing w:after="0" w:line="223" w:lineRule="exact"/>
        <w:rPr>
          <w:sz w:val="20"/>
          <w:szCs w:val="20"/>
          <w:color w:val="auto"/>
        </w:rPr>
      </w:pPr>
    </w:p>
    <w:p>
      <w:pPr>
        <w:ind w:left="660" w:right="260" w:hanging="652"/>
        <w:spacing w:after="0" w:line="261" w:lineRule="auto"/>
        <w:tabs>
          <w:tab w:leader="none" w:pos="32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years in column (e) reflect the year in which the award was granted. The 2023 grant was for 2022 performance year, the 2024 grant was for the 2023 performance year, and the 2025 grant was for the 2024 performance year.</w:t>
      </w:r>
    </w:p>
    <w:p>
      <w:pPr>
        <w:ind w:left="660" w:right="120" w:hanging="652"/>
        <w:spacing w:after="0" w:line="261" w:lineRule="auto"/>
        <w:tabs>
          <w:tab w:leader="none" w:pos="32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column (f) will vest in late February of each year according to the following schedule provided that the individual is still employed on the vesting date. The grants vest over a 3-year period with 34% vesting Year 1, 33% vesting Year 2, and 33% vesting Year 3.</w:t>
      </w:r>
    </w:p>
    <w:p>
      <w:pPr>
        <w:ind w:left="660" w:right="360" w:hanging="652"/>
        <w:spacing w:after="0" w:line="283" w:lineRule="auto"/>
        <w:tabs>
          <w:tab w:leader="none" w:pos="32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columns (g) reflect the value of the shares shown in columns (f), multiplied by $17.21, the closing market price of our common stock as of December 31, 2025, the last business day in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equity-based incentive awards are governed by the Stock Incentive Plan (the “Plan”).</w:t>
      </w:r>
    </w:p>
    <w:p>
      <w:pPr>
        <w:spacing w:after="0" w:line="11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2025, equity awards under the Plan consisted of issuance of our authorized restricted common stock. Awards under the Plan may be made to employees, including officers and directors who may be employees, non-employee directors, and consultants. Any shares issued under the Plan may consist of authorized but unissued shares or forfeited shares, or a combination thereof.</w:t>
      </w:r>
    </w:p>
    <w:p>
      <w:pPr>
        <w:spacing w:after="0" w:line="6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Plan authorizes the grant of several types of equity-based awards, including incentive stock options ("ISOs"), non-statutory stock options ("NSOs") restricted stock, mutual fund awards, stock purchase rights, stock appreciation rights ("SARs"), restricted stock units ("RSUs"), and performance shares (in the form of deferred stock awards). The Plan also authorizes cash awards in the form of annual incentive awards, performance-based awards, and discretionary bonus awards. The various types of awards authorized under the Plan may be utilized in the future if determined to be appropriate by the CHC Committee. The CHC Committee limits its equity-based awards under the Plan to restricted stock and mutual fund awards. The CHC Committee believes that restricted stock awards are the most effective vehicle to align the interests of employees with stockholders and clients. Unless the CHC Committee determines otherwise, the recipient of restricted shares will generally have the right to vote the restricted shares. No dividends are payable with respect to unvested restricted stock. The CHC Committee has determined that dividends payable on unvested restricted stock will be accrued and, therefore, dividends are subject to forfeiture conditions and payable to the recipient only when the underlying shares of restricted stock vest. The CHC Committee believes that these terms and conditions for restricted stock awards offer the best balance of providing value to the employee as we succeed as a company, as well as providing a mechanism to retain key employees over the long-term as they build a meaningful portion of their wealth in the form of Company equity.</w:t>
      </w:r>
    </w:p>
    <w:p>
      <w:pPr>
        <w:spacing w:after="0" w:line="8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Board or the CHC Committee administers the Plan with respect to all eligible individuals. Cash incentive awards are typically communicated to employees and paid in the first quarter of the following year to coincide with year-end performance reviews. Annual time-vested restricted stock awards are generally awarded in the first quarter of the year and reflect performance in the prior year.</w:t>
      </w:r>
    </w:p>
    <w:p>
      <w:pPr>
        <w:spacing w:after="0" w:line="6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Determinations of the CHC Committee are final, conclusive, and binding upon all persons having an interest in the Plan. Any action or determination by the CHC Committee regarding an award to a non-employee director must be approved by the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right="600" w:firstLine="405"/>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and/or other disposition of Company securities by directors, officers, and employees that are reasonably designed to promote compliance with insider trading laws, rules and regulations, and the NYSE listing standards. A copy of the Company’s Insider Trading Policy is attached to the Company’s Annual Report on Form 10-K as Exhibit 19.</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Pay-Versus-Performance Disclosure</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pay versus performance disclosure below is presented in accordance with SEC requirements and reflects “compensation actually paid” as defined under Item 402(v) of Regulation S-K. While the CHC Committee considers a range of performance factors in establishing executive compensation, including Company financial performance and shareholder return, the methodology used to calculate compensation actually paid for purposes of this disclosure differs from the manner in which the CHC Committee evaluates compensation outcomes when making compensation decisions.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for Brian O.</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to Brian O.</w:t>
            </w: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for Non-PEO</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 Non-</w:t>
            </w:r>
          </w:p>
        </w:tc>
        <w:tc>
          <w:tcPr>
            <w:tcW w:w="176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760" w:type="dxa"/>
            <w:vAlign w:val="bottom"/>
            <w:gridSpan w:val="2"/>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Casey</w:t>
            </w:r>
            <w:r>
              <w:rPr>
                <w:rFonts w:ascii="Times New Roman" w:cs="Times New Roman" w:eastAsia="Times New Roman" w:hAnsi="Times New Roman"/>
                <w:sz w:val="9"/>
                <w:szCs w:val="9"/>
                <w:b w:val="1"/>
                <w:bCs w:val="1"/>
                <w:color w:val="auto"/>
              </w:rPr>
              <w:t>(1)</w:t>
            </w:r>
          </w:p>
        </w:tc>
        <w:tc>
          <w:tcPr>
            <w:tcW w:w="1700" w:type="dxa"/>
            <w:vAlign w:val="bottom"/>
            <w:gridSpan w:val="2"/>
            <w:vMerge w:val="restart"/>
          </w:tcPr>
          <w:p>
            <w:pPr>
              <w:jc w:val="center"/>
              <w:ind w:right="1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Casey</w:t>
            </w:r>
            <w:r>
              <w:rPr>
                <w:rFonts w:ascii="Times New Roman" w:cs="Times New Roman" w:eastAsia="Times New Roman" w:hAnsi="Times New Roman"/>
                <w:sz w:val="8"/>
                <w:szCs w:val="8"/>
                <w:b w:val="1"/>
                <w:bCs w:val="1"/>
                <w:color w:val="auto"/>
              </w:rPr>
              <w:t>(1),(2),(3)</w:t>
            </w: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9"/>
                <w:szCs w:val="9"/>
                <w:b w:val="1"/>
                <w:bCs w:val="1"/>
                <w:color w:val="auto"/>
              </w:rPr>
              <w:t>(1)</w:t>
            </w:r>
          </w:p>
        </w:tc>
        <w:tc>
          <w:tcPr>
            <w:tcW w:w="1700" w:type="dxa"/>
            <w:vAlign w:val="bottom"/>
            <w:gridSpan w:val="2"/>
            <w:vMerge w:val="restart"/>
          </w:tcPr>
          <w:p>
            <w:pPr>
              <w:jc w:val="center"/>
              <w:ind w:right="120"/>
              <w:spacing w:after="0" w:line="200" w:lineRule="exact"/>
              <w:rPr>
                <w:sz w:val="20"/>
                <w:szCs w:val="20"/>
                <w:color w:val="auto"/>
              </w:rPr>
            </w:pPr>
            <w:r>
              <w:rPr>
                <w:rFonts w:ascii="Times New Roman" w:cs="Times New Roman" w:eastAsia="Times New Roman" w:hAnsi="Times New Roman"/>
                <w:sz w:val="23"/>
                <w:szCs w:val="23"/>
                <w:b w:val="1"/>
                <w:bCs w:val="1"/>
                <w:color w:val="auto"/>
                <w:w w:val="99"/>
                <w:vertAlign w:val="subscript"/>
              </w:rPr>
              <w:t>PEO NEOs</w:t>
            </w:r>
            <w:r>
              <w:rPr>
                <w:rFonts w:ascii="Times New Roman" w:cs="Times New Roman" w:eastAsia="Times New Roman" w:hAnsi="Times New Roman"/>
                <w:sz w:val="8"/>
                <w:szCs w:val="8"/>
                <w:b w:val="1"/>
                <w:bCs w:val="1"/>
                <w:color w:val="auto"/>
                <w:w w:val="99"/>
              </w:rPr>
              <w:t>(1),(2),(3)</w:t>
            </w:r>
          </w:p>
        </w:tc>
        <w:tc>
          <w:tcPr>
            <w:tcW w:w="1760" w:type="dxa"/>
            <w:vAlign w:val="bottom"/>
            <w:gridSpan w:val="2"/>
            <w:vMerge w:val="continue"/>
          </w:tcPr>
          <w:p>
            <w:pPr>
              <w:spacing w:after="0"/>
              <w:rPr>
                <w:sz w:val="4"/>
                <w:szCs w:val="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TSR</w:t>
            </w:r>
            <w:r>
              <w:rPr>
                <w:rFonts w:ascii="Times New Roman" w:cs="Times New Roman" w:eastAsia="Times New Roman" w:hAnsi="Times New Roman"/>
                <w:sz w:val="9"/>
                <w:szCs w:val="9"/>
                <w:b w:val="1"/>
                <w:bCs w:val="1"/>
                <w:color w:val="auto"/>
              </w:rPr>
              <w:t>(4)</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00" w:type="dxa"/>
            <w:vAlign w:val="bottom"/>
            <w:gridSpan w:val="2"/>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01"/>
        </w:trPr>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0" w:type="dxa"/>
            <w:vAlign w:val="bottom"/>
          </w:tcPr>
          <w:p>
            <w:pPr>
              <w:spacing w:after="0"/>
              <w:rPr>
                <w:sz w:val="1"/>
                <w:szCs w:val="1"/>
                <w:color w:val="auto"/>
              </w:rPr>
            </w:pPr>
          </w:p>
        </w:tc>
      </w:tr>
      <w:tr>
        <w:trPr>
          <w:trHeight w:val="196"/>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2,634,720</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2,932,264</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1,237,975</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1,342,691</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176.78</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9"/>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2,101,369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2,334,865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959,548</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790,415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143.55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2,067,532</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2,135,660</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866,067</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924,267</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118.84</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80" w:hanging="348"/>
        <w:spacing w:after="0"/>
        <w:tabs>
          <w:tab w:leader="none" w:pos="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Brian O. Casey was our PEO for each year presented. The individuals comprising the Non-PEO NEO for each year presented are listed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2"/>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r>
      <w:tr>
        <w:trPr>
          <w:trHeight w:val="21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Leah Bennett</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Leah Bennett</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David O. Linton</w:t>
            </w:r>
          </w:p>
        </w:tc>
      </w:tr>
    </w:tbl>
    <w:p>
      <w:pPr>
        <w:spacing w:after="0" w:line="185" w:lineRule="exact"/>
        <w:rPr>
          <w:sz w:val="20"/>
          <w:szCs w:val="20"/>
          <w:color w:val="auto"/>
        </w:rPr>
      </w:pPr>
    </w:p>
    <w:p>
      <w:pPr>
        <w:ind w:left="660" w:hanging="328"/>
        <w:spacing w:after="0" w:line="302" w:lineRule="auto"/>
        <w:tabs>
          <w:tab w:leader="none" w:pos="6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Compensation Actually Paid have been calculated in accordance with Item 402(v) of Regulation S-K and do not reflect compensation actually earned, realized, or received by the Company’s NEO. These amounts reflect the Summary Compensation Table Total, with certain adjustments as described in footnote 3 below.</w:t>
      </w:r>
    </w:p>
    <w:p>
      <w:pPr>
        <w:spacing w:after="0" w:line="53" w:lineRule="exact"/>
        <w:rPr>
          <w:rFonts w:ascii="Times New Roman" w:cs="Times New Roman" w:eastAsia="Times New Roman" w:hAnsi="Times New Roman"/>
          <w:sz w:val="14"/>
          <w:szCs w:val="14"/>
          <w:color w:val="auto"/>
        </w:rPr>
      </w:pPr>
    </w:p>
    <w:p>
      <w:pPr>
        <w:ind w:left="660" w:right="360" w:hanging="328"/>
        <w:spacing w:after="0" w:line="271" w:lineRule="auto"/>
        <w:tabs>
          <w:tab w:leader="none" w:pos="6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exclusions and inclusions of certain amounts for the PEO and the Non-PEO NEO as set forth below. Equity values are calculated in accordance with FASB ASC Topic 718. Amounts in the Exclusion of Stock Awards column are the totals from the Stock Awards column set forth in the Summary Compensation Table.</w:t>
      </w:r>
    </w:p>
    <w:p>
      <w:pPr>
        <w:spacing w:after="0" w:line="75" w:lineRule="exact"/>
        <w:rPr>
          <w:rFonts w:ascii="Times New Roman" w:cs="Times New Roman" w:eastAsia="Times New Roman" w:hAnsi="Times New Roman"/>
          <w:sz w:val="14"/>
          <w:szCs w:val="14"/>
          <w:color w:val="auto"/>
        </w:rPr>
      </w:pPr>
    </w:p>
    <w:p>
      <w:pPr>
        <w:ind w:left="660" w:right="60" w:hanging="328"/>
        <w:spacing w:after="0" w:line="302"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$100 was invested in the Company for the period starting December 31, 2022, through the end of the listed year. Historical stock performance is not necessarily indicative of future stock performance.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Exclusion of Stock Awards for</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Inclusion of Equity Values for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Actually Paid to</w:t>
            </w:r>
          </w:p>
        </w:tc>
        <w:tc>
          <w:tcPr>
            <w:tcW w:w="0" w:type="dxa"/>
            <w:vAlign w:val="bottom"/>
          </w:tcPr>
          <w:p>
            <w:pPr>
              <w:spacing w:after="0"/>
              <w:rPr>
                <w:sz w:val="1"/>
                <w:szCs w:val="1"/>
                <w:color w:val="auto"/>
              </w:rPr>
            </w:pPr>
          </w:p>
        </w:tc>
      </w:tr>
      <w:tr>
        <w:trPr>
          <w:trHeight w:val="162"/>
        </w:trPr>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Total for Brian O. Casey</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2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0" w:type="dxa"/>
            <w:vAlign w:val="bottom"/>
          </w:tcPr>
          <w:p>
            <w:pPr>
              <w:spacing w:after="0"/>
              <w:rPr>
                <w:sz w:val="1"/>
                <w:szCs w:val="1"/>
                <w:color w:val="auto"/>
              </w:rPr>
            </w:pPr>
          </w:p>
        </w:tc>
      </w:tr>
      <w:tr>
        <w:trPr>
          <w:trHeight w:val="214"/>
        </w:trPr>
        <w:tc>
          <w:tcPr>
            <w:tcW w:w="1380" w:type="dxa"/>
            <w:vAlign w:val="bottom"/>
            <w:gridSpan w:val="2"/>
            <w:vMerge w:val="continue"/>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11"/>
        </w:trPr>
        <w:tc>
          <w:tcPr>
            <w:tcW w:w="12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2,634,720</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(750,000)</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1,047,544</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2,932,264</w:t>
            </w:r>
          </w:p>
        </w:tc>
        <w:tc>
          <w:tcPr>
            <w:tcW w:w="0" w:type="dxa"/>
            <w:vAlign w:val="bottom"/>
          </w:tcPr>
          <w:p>
            <w:pPr>
              <w:spacing w:after="0"/>
              <w:rPr>
                <w:sz w:val="1"/>
                <w:szCs w:val="1"/>
                <w:color w:val="auto"/>
              </w:rPr>
            </w:pPr>
          </w:p>
        </w:tc>
      </w:tr>
      <w:tr>
        <w:trPr>
          <w:trHeight w:val="729"/>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Summary Compensation</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Exclusion of Stock</w:t>
            </w:r>
          </w:p>
        </w:tc>
        <w:tc>
          <w:tcPr>
            <w:tcW w:w="2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Inclusion of Equity</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Compensation Actually</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Awards and Option Awards for</w:t>
            </w:r>
          </w:p>
        </w:tc>
        <w:tc>
          <w:tcPr>
            <w:tcW w:w="2480" w:type="dxa"/>
            <w:vAlign w:val="bottom"/>
            <w:gridSpan w:val="2"/>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Table Total for Non-PEO NEO</w:t>
            </w:r>
          </w:p>
        </w:tc>
        <w:tc>
          <w:tcPr>
            <w:tcW w:w="2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Non-PEO NEO</w:t>
            </w:r>
          </w:p>
        </w:tc>
        <w:tc>
          <w:tcPr>
            <w:tcW w:w="2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Values for Non-PEO NEO</w:t>
            </w:r>
          </w:p>
        </w:tc>
        <w:tc>
          <w:tcPr>
            <w:tcW w:w="2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Paid to Non-PEO NEO</w:t>
            </w:r>
          </w:p>
        </w:tc>
        <w:tc>
          <w:tcPr>
            <w:tcW w:w="0" w:type="dxa"/>
            <w:vAlign w:val="bottom"/>
          </w:tcPr>
          <w:p>
            <w:pPr>
              <w:spacing w:after="0"/>
              <w:rPr>
                <w:sz w:val="1"/>
                <w:szCs w:val="1"/>
                <w:color w:val="auto"/>
              </w:rPr>
            </w:pPr>
          </w:p>
        </w:tc>
      </w:tr>
      <w:tr>
        <w:trPr>
          <w:trHeight w:val="214"/>
        </w:trPr>
        <w:tc>
          <w:tcPr>
            <w:tcW w:w="1380" w:type="dxa"/>
            <w:vAlign w:val="bottom"/>
            <w:gridSpan w:val="2"/>
            <w:vMerge w:val="continue"/>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11"/>
        </w:trPr>
        <w:tc>
          <w:tcPr>
            <w:tcW w:w="12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1,237,975</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(252,500)</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357,216</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1,342,691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Year-End Fair Value of</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Fair Value</w:t>
            </w: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Vesting-Date Fair</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Fair Value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from Last Day of</w:t>
            </w:r>
          </w:p>
        </w:tc>
        <w:tc>
          <w:tcPr>
            <w:tcW w:w="1700" w:type="dxa"/>
            <w:vAlign w:val="bottom"/>
            <w:gridSpan w:val="2"/>
            <w:vMerge w:val="continue"/>
          </w:tcPr>
          <w:p>
            <w:pPr>
              <w:spacing w:after="0"/>
              <w:rPr>
                <w:sz w:val="14"/>
                <w:szCs w:val="14"/>
                <w:color w:val="auto"/>
              </w:rPr>
            </w:pP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from Last Day of</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Fair Value at Last Day</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 Granted</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Prior Year to Last</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Value of Equity</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Prior Year to Vesting</w:t>
            </w:r>
          </w:p>
        </w:tc>
        <w:tc>
          <w:tcPr>
            <w:tcW w:w="170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During Year That</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Day of Year of</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Awards Granted</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Date of Unvested</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Prior Year of</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 Inclusion of</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Remained Unvested as of</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Unvested Equity</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 Year that</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 that</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Last Day of Year for Brian</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Awards for Brian O.</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Vested During Year</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Vested During Year</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Forfeited During Year</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Values for</w:t>
            </w:r>
          </w:p>
        </w:tc>
        <w:tc>
          <w:tcPr>
            <w:tcW w:w="0" w:type="dxa"/>
            <w:vAlign w:val="bottom"/>
          </w:tcPr>
          <w:p>
            <w:pPr>
              <w:spacing w:after="0"/>
              <w:rPr>
                <w:sz w:val="1"/>
                <w:szCs w:val="1"/>
                <w:color w:val="auto"/>
              </w:rPr>
            </w:pPr>
          </w:p>
        </w:tc>
      </w:tr>
      <w:tr>
        <w:trPr>
          <w:trHeight w:val="162"/>
        </w:trPr>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 Casey</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Casey</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for Brian O. Casey</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for Brian O. Casey</w:t>
            </w:r>
          </w:p>
        </w:tc>
        <w:tc>
          <w:tcPr>
            <w:tcW w:w="17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for Brian O. Casey</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0" w:type="dxa"/>
            <w:vAlign w:val="bottom"/>
          </w:tcPr>
          <w:p>
            <w:pPr>
              <w:spacing w:after="0"/>
              <w:rPr>
                <w:sz w:val="1"/>
                <w:szCs w:val="1"/>
                <w:color w:val="auto"/>
              </w:rPr>
            </w:pPr>
          </w:p>
        </w:tc>
      </w:tr>
      <w:tr>
        <w:trPr>
          <w:trHeight w:val="214"/>
        </w:trPr>
        <w:tc>
          <w:tcPr>
            <w:tcW w:w="1040" w:type="dxa"/>
            <w:vAlign w:val="bottom"/>
            <w:gridSpan w:val="2"/>
            <w:vMerge w:val="continue"/>
          </w:tcPr>
          <w:p>
            <w:pPr>
              <w:spacing w:after="0"/>
              <w:rPr>
                <w:sz w:val="18"/>
                <w:szCs w:val="18"/>
                <w:color w:val="auto"/>
              </w:rPr>
            </w:pPr>
          </w:p>
        </w:tc>
        <w:tc>
          <w:tcPr>
            <w:tcW w:w="190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805,667</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160,198</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81,679</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1,047,544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Average Year-End Fair</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Change in</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Change in</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Vesting-Date</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Fair Value from Last</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of Equity</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Fair Value from Last</w:t>
            </w:r>
          </w:p>
        </w:tc>
        <w:tc>
          <w:tcPr>
            <w:tcW w:w="1740" w:type="dxa"/>
            <w:vAlign w:val="bottom"/>
            <w:gridSpan w:val="2"/>
            <w:vMerge w:val="continue"/>
          </w:tcPr>
          <w:p>
            <w:pPr>
              <w:spacing w:after="0"/>
              <w:rPr>
                <w:sz w:val="14"/>
                <w:szCs w:val="14"/>
                <w:color w:val="auto"/>
              </w:rPr>
            </w:pPr>
          </w:p>
        </w:tc>
        <w:tc>
          <w:tcPr>
            <w:tcW w:w="17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Day of Prior Year to</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 Fair Value at</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Awards Granted</w:t>
            </w:r>
          </w:p>
        </w:tc>
        <w:tc>
          <w:tcPr>
            <w:tcW w:w="17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Day of Prior Year to</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Fair Value of Equity</w:t>
            </w:r>
          </w:p>
        </w:tc>
        <w:tc>
          <w:tcPr>
            <w:tcW w:w="17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Vesting Date of</w:t>
            </w:r>
          </w:p>
        </w:tc>
        <w:tc>
          <w:tcPr>
            <w:tcW w:w="174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Total - Average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During Year That</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Last Day of Year of</w:t>
            </w:r>
          </w:p>
        </w:tc>
        <w:tc>
          <w:tcPr>
            <w:tcW w:w="17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Awards Granted</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Unvested Equity</w:t>
            </w:r>
          </w:p>
        </w:tc>
        <w:tc>
          <w:tcPr>
            <w:tcW w:w="17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Last Day of Prior Year</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Remained Unvested as</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Unvested Equity</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 Year that</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Awards that Vested</w:t>
            </w:r>
          </w:p>
        </w:tc>
        <w:tc>
          <w:tcPr>
            <w:tcW w:w="17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Equity Awards</w:t>
            </w:r>
          </w:p>
        </w:tc>
        <w:tc>
          <w:tcPr>
            <w:tcW w:w="14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Inclusion of</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Last Day of Year for</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Awards for Non-PEO</w:t>
            </w:r>
          </w:p>
        </w:tc>
        <w:tc>
          <w:tcPr>
            <w:tcW w:w="17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Vested During Year for</w:t>
            </w:r>
          </w:p>
        </w:tc>
        <w:tc>
          <w:tcPr>
            <w:tcW w:w="17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 Year for Non-</w:t>
            </w:r>
          </w:p>
        </w:tc>
        <w:tc>
          <w:tcPr>
            <w:tcW w:w="17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Forfeited During Year</w:t>
            </w:r>
          </w:p>
        </w:tc>
        <w:tc>
          <w:tcPr>
            <w:tcW w:w="14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 Values for</w:t>
            </w:r>
          </w:p>
        </w:tc>
        <w:tc>
          <w:tcPr>
            <w:tcW w:w="0" w:type="dxa"/>
            <w:vAlign w:val="bottom"/>
          </w:tcPr>
          <w:p>
            <w:pPr>
              <w:spacing w:after="0"/>
              <w:rPr>
                <w:sz w:val="1"/>
                <w:szCs w:val="1"/>
                <w:color w:val="auto"/>
              </w:rPr>
            </w:pPr>
          </w:p>
        </w:tc>
      </w:tr>
      <w:tr>
        <w:trPr>
          <w:trHeight w:val="162"/>
        </w:trPr>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17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NEOs</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17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PEO NEOs</w:t>
            </w:r>
          </w:p>
        </w:tc>
        <w:tc>
          <w:tcPr>
            <w:tcW w:w="17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for Non-PEO NEOs</w:t>
            </w:r>
          </w:p>
        </w:tc>
        <w:tc>
          <w:tcPr>
            <w:tcW w:w="14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0" w:type="dxa"/>
            <w:vAlign w:val="bottom"/>
          </w:tcPr>
          <w:p>
            <w:pPr>
              <w:spacing w:after="0"/>
              <w:rPr>
                <w:sz w:val="1"/>
                <w:szCs w:val="1"/>
                <w:color w:val="auto"/>
              </w:rPr>
            </w:pPr>
          </w:p>
        </w:tc>
      </w:tr>
      <w:tr>
        <w:trPr>
          <w:trHeight w:val="214"/>
        </w:trPr>
        <w:tc>
          <w:tcPr>
            <w:tcW w:w="1040" w:type="dxa"/>
            <w:vAlign w:val="bottom"/>
            <w:gridSpan w:val="2"/>
            <w:vMerge w:val="continue"/>
          </w:tcPr>
          <w:p>
            <w:pPr>
              <w:spacing w:after="0"/>
              <w:rPr>
                <w:sz w:val="18"/>
                <w:szCs w:val="18"/>
                <w:color w:val="auto"/>
              </w:rPr>
            </w:pPr>
          </w:p>
        </w:tc>
        <w:tc>
          <w:tcPr>
            <w:tcW w:w="1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4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4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271,249</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56,207</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29,760</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357,216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6"/>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NEOs Compensation Actually Paid and Total Shareholder Return (“TSR”)</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cumulative TSR over the three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5854700" cy="3326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5470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Net Income</w:t>
      </w:r>
    </w:p>
    <w:p>
      <w:pPr>
        <w:spacing w:after="0" w:line="12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chart presents Compensation Actually Paid to our PEO and the average of Compensation Actually Paid to our Non-PEO NEOs, together with our Net Income, for each of the fiscal years presented.</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54700" cy="31375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85470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SEC rules, the information in this “Pay-Versus-Performance Disclosure” section shall not be deemed to be incorporated by reference into any Company filing under the Securities Act or Exchange Act, unless expressly incorporated by specific reference in such filing.</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Appointment of BDO USA, P.C. as Independent Auditors</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BDO USA, P.C. (“BDO”) as our independent auditors for 2026. Representatives of BDO will attend the virtual annual meeting to answer questions and may make a statement, if they so desire.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by BDO</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BDO was appointed to serve as independent auditor for the Company in 2022. The following table presents aggregate fees billed to the Company and the common trust funds in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r>
      <w:tr>
        <w:trPr>
          <w:trHeight w:val="211"/>
        </w:trPr>
        <w:tc>
          <w:tcPr>
            <w:tcW w:w="8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690,965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751,350</w:t>
            </w:r>
          </w:p>
        </w:tc>
      </w:tr>
      <w:tr>
        <w:trPr>
          <w:trHeight w:val="277"/>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690,965</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751,350</w:t>
            </w:r>
          </w:p>
        </w:tc>
      </w:tr>
      <w:tr>
        <w:trPr>
          <w:trHeight w:val="27"/>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380" w:hanging="562"/>
        <w:spacing w:after="0" w:line="261" w:lineRule="auto"/>
        <w:tabs>
          <w:tab w:leader="none" w:pos="112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spacing w:after="0" w:line="30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Pre-approval policies and procedures for audit and non-audit services. </w:t>
      </w:r>
      <w:r>
        <w:rPr>
          <w:rFonts w:ascii="Times New Roman" w:cs="Times New Roman" w:eastAsia="Times New Roman" w:hAnsi="Times New Roman"/>
          <w:sz w:val="18"/>
          <w:szCs w:val="18"/>
          <w:color w:val="auto"/>
        </w:rPr>
        <w:t>The Audit Committee has established a policy regarding pre-approval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Audit Committee in reviewing and approving audit and non-audit services, however, the Audit Committee must ratify any such actions by the chairperson.</w:t>
      </w:r>
    </w:p>
    <w:p>
      <w:pPr>
        <w:spacing w:after="0" w:line="77" w:lineRule="exact"/>
        <w:rPr>
          <w:sz w:val="20"/>
          <w:szCs w:val="20"/>
          <w:color w:val="auto"/>
        </w:rPr>
      </w:pPr>
    </w:p>
    <w:p>
      <w:pPr>
        <w:ind w:right="440" w:firstLine="405"/>
        <w:spacing w:after="0" w:line="375" w:lineRule="auto"/>
        <w:rPr>
          <w:sz w:val="20"/>
          <w:szCs w:val="20"/>
          <w:color w:val="auto"/>
        </w:rPr>
      </w:pPr>
      <w:r>
        <w:rPr>
          <w:rFonts w:ascii="Times New Roman" w:cs="Times New Roman" w:eastAsia="Times New Roman" w:hAnsi="Times New Roman"/>
          <w:sz w:val="18"/>
          <w:szCs w:val="18"/>
          <w:color w:val="auto"/>
        </w:rPr>
        <w:t xml:space="preserve">The Audit Committee or the chairperson acting on its behalf pre-approved all services provided by BDO for the year ended December 31, 2025. </w:t>
      </w:r>
      <w:r>
        <w:rPr>
          <w:rFonts w:ascii="Times New Roman" w:cs="Times New Roman" w:eastAsia="Times New Roman" w:hAnsi="Times New Roman"/>
          <w:sz w:val="18"/>
          <w:szCs w:val="18"/>
          <w:b w:val="1"/>
          <w:bCs w:val="1"/>
          <w:color w:val="auto"/>
        </w:rPr>
        <w:t>Vote Sought and Recommendation</w:t>
      </w:r>
    </w:p>
    <w:p>
      <w:pPr>
        <w:spacing w:after="0" w:line="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Although stockholder action on this matter is not required, the appointment of BDO is being recommended to the stockholders for ratification. The affirmative "FOR" vote of a majority of the votes cast at the annual meeting will serve to ratify the appointment of BDO as independent auditors for 2026. Abstentions will not affect the outcome of a vote on this proposal.</w:t>
      </w:r>
    </w:p>
    <w:p>
      <w:pPr>
        <w:spacing w:after="0" w:line="200" w:lineRule="exact"/>
        <w:rPr>
          <w:sz w:val="20"/>
          <w:szCs w:val="20"/>
          <w:color w:val="auto"/>
        </w:rPr>
      </w:pPr>
    </w:p>
    <w:p>
      <w:pPr>
        <w:spacing w:after="0" w:line="228" w:lineRule="exact"/>
        <w:rPr>
          <w:sz w:val="20"/>
          <w:szCs w:val="20"/>
          <w:color w:val="auto"/>
        </w:rPr>
      </w:pPr>
    </w:p>
    <w:p>
      <w:pPr>
        <w:jc w:val="center"/>
        <w:ind w:left="340" w:right="80"/>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BDO AS OUR INDEPENDENT AUDITORS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Twelfth Amended and Restated Westwood Holdings Group, Inc. Stock Incentive Plan</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CHC Committee and the Board of Directors have approved and have proposed that our stockholders approve the Twelfth Amended and Restated Westwood Holdings Group, Inc. Stock Incentive Plan (the "Plan") at the annual meeting. The Westwood Holdings Group, Inc. Stock Incentive Plan was originally adopted on February 1, 2002. The Plan has been amended or restated several times since it was adopted. On May 1, 2025, our stockholders approved the Eleventh Amended and Restated Westwood Holdings Group, Inc. Stock Incentive Plan with a reserve of 6,948,100 shares of common stock. If the Plan is approved by our stockholders, an additional 200,000 shares will be available for issuance under the Plan, such that the maximum number of shares available for issuance under the Plan will increase from 6,948,100 shares to 7,148,100 shares.</w:t>
      </w:r>
    </w:p>
    <w:p>
      <w:pPr>
        <w:spacing w:after="0" w:line="7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Westwood is seeking stockholder approval for the Plan. Stockholder approval is required under the requirements of the NYSE Corporate Governance Listing Standards, which are applicable to Westwood.</w:t>
      </w:r>
    </w:p>
    <w:p>
      <w:pPr>
        <w:spacing w:after="0" w:line="5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CHC Committee believes it is important to authorize an additional 200,000 shares for granting under the Plan. As of March 3, 2026, approximately 6,347,653 shares had been issued under the Plan, leaving 600,447 shares available under the Plan for issuance. The CHC Committee does not believe that this amount is sufficient to meet the Company's anticipated grants of awards through the date of our 2026 Annual Meeting of Stockholders. If stockholders do not approve the Plan, the Eleventh Amended and Restated Westwood Holdings Group, Inc. Stock Incentive Plan will remain in effect, however, shares available for equity-based compensation may be quickly depleted and we will lose the ability to use equity as a compensation tool, requiring a greater cash allocation to support our incentive programs. The CHC Committee plans to request additional shares on an annual basis to accommodate anticipated grants related to the hiring, retention, and promotion of employees. In 2025, 2024, and 2023, the number of shares of common stock underlying equity awards granted was approximately 250,000, 330,000, and 500,000,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Stockholders Should Vote to Approve the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in a Competitive Labor Market</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the asset management industry, there is significant competition for experienced individuals with the skills necessary to execute our strategy and advance our business. Our success depends on such key employees. To compete in a competitive market for talent, we believe that it is important to offer competitive compensation packages that include equity and cash components. Equity compensation is an important part of our employment value proposition.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Are a Key Part of Our Compensation Program</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Equity compensation is a key element of the total compensation we provide because equity grants align our employees’ and directors’ interests with those of our other stockholders, effectuate a culture of ownership among our employees and other recipients, and preserve our cash resources. Equity incentives link long-term performance and payouts through the value of our shares. We believe that employees and other recipients with a personal stake in the future success of the Company are motivated to achieve our objectives and increase stockholder value. These unique and valuable aspects of equity compensation have made it a key element of our compensation strategy, and thus we grant equity compensation to provide opportunities to participate in ownership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to Talent Acquisition and Retention</w:t>
      </w:r>
    </w:p>
    <w:p>
      <w:pPr>
        <w:spacing w:after="0" w:line="12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Equity compensation is important to our ability to attract, motivate, and retain employees and officers and, as noted above, to be successful in the competitive market for highly skilled individuals. We use equity incentives as a key tool to motivate and reward recipients to execute our long-term strategy and, through their equity, share in the stockholder value they create. Long-term equity grants also promote retention because recipients usually must remain in service in order for their equity to vest.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Share Reserve Request Is Reasonable</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our request to approve the Plan and its share reserve is approved, we will have 7,148,100 shares available for grant after April 30, 2026, which we believe represents a reasonable amount to cover our needs for a limited period of time. The CHC Committee currently anticipates that we will likely need to request additional Shares at our 2027 Annual Meeting of Stockholders, based on our current share price, recent burn rate history, and historical new hire and annual grant practices. In determining the share reserve, the CHC Committee took into account the potential impact of any expected future changes in employee population on projected share use. We cannot predict our future equity grant practices, the future price of our shares, or future hiring activity with any degree of certainty at this time, and the share reserve under the Plan could last for a shorter or longer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Monitoring of Dilution</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contemplating the number of shares to authorize for issuance under the Plan, the CHC Committee considered the potential dilution to current stockholders and projected future share usage, among other things. The CHC</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36" w:name="page37"/>
    <w:bookmarkEnd w:id="36"/>
    <w:p>
      <w:pPr>
        <w:ind w:right="180"/>
        <w:spacing w:after="0" w:line="282" w:lineRule="auto"/>
        <w:rPr>
          <w:sz w:val="20"/>
          <w:szCs w:val="20"/>
          <w:color w:val="auto"/>
        </w:rPr>
      </w:pPr>
      <w:r>
        <w:rPr>
          <w:rFonts w:ascii="Times New Roman" w:cs="Times New Roman" w:eastAsia="Times New Roman" w:hAnsi="Times New Roman"/>
          <w:sz w:val="18"/>
          <w:szCs w:val="18"/>
          <w:color w:val="auto"/>
        </w:rPr>
        <w:t>Committee is cognizant that the Company’s equity compensation programs have a dilutive effect on our stockholders, and continuously strives to balance this concern with our need to compete for talent using practices that are prevalent in the market, including equity grants.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Equity Metrics</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provide additional information regarding our overhang, or potential stockholder dilution. Our overhang is equal to the number of shares subject to our outstanding equity awards under the Plan at December 31, 2025, plus the number of shares available to be granted under the Plan, divided by the total shares of common stock outstanding.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8"/>
                <w:szCs w:val="18"/>
                <w:b w:val="1"/>
                <w:bCs w:val="1"/>
                <w:color w:val="auto"/>
              </w:rPr>
              <w:t>Outstanding Award Type</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243"/>
        </w:trPr>
        <w:tc>
          <w:tcPr>
            <w:tcW w:w="5660" w:type="dxa"/>
            <w:vAlign w:val="bottom"/>
            <w:gridSpan w:val="2"/>
            <w:vMerge w:val="continue"/>
          </w:tcPr>
          <w:p>
            <w:pPr>
              <w:spacing w:after="0"/>
              <w:rPr>
                <w:sz w:val="21"/>
                <w:szCs w:val="21"/>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Restricted Stock</w:t>
            </w:r>
          </w:p>
        </w:tc>
        <w:tc>
          <w:tcPr>
            <w:tcW w:w="10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975,891</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outstanding</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9,394,066</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available for grant</w:t>
            </w:r>
          </w:p>
        </w:tc>
        <w:tc>
          <w:tcPr>
            <w:tcW w:w="5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773,780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grant of equity awards over the past three completed fiscal years and which we considered in setting the number of shares available for issuance under the Plan: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Time-Based Restricted Stock</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 Number of</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Burn Rate</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43"/>
        </w:trPr>
        <w:tc>
          <w:tcPr>
            <w:tcW w:w="3320" w:type="dxa"/>
            <w:vAlign w:val="bottom"/>
            <w:gridSpan w:val="2"/>
            <w:vMerge w:val="continue"/>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507,244</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8,112,140</w:t>
            </w:r>
          </w:p>
        </w:tc>
        <w:tc>
          <w:tcPr>
            <w:tcW w:w="8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328,489</w:t>
            </w: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8,515,779</w:t>
            </w:r>
          </w:p>
        </w:tc>
        <w:tc>
          <w:tcPr>
            <w:tcW w:w="8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254,737</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8,885,580</w:t>
            </w:r>
          </w:p>
        </w:tc>
        <w:tc>
          <w:tcPr>
            <w:tcW w:w="80" w:type="dxa"/>
            <w:vAlign w:val="bottom"/>
            <w:shd w:val="clear" w:color="auto" w:fill="CCEEFF"/>
          </w:tcPr>
          <w:p>
            <w:pPr>
              <w:spacing w:after="0"/>
              <w:rPr>
                <w:sz w:val="19"/>
                <w:szCs w:val="19"/>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Three-Year Average Burn Rate:</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60" w:firstLine="8"/>
        <w:spacing w:after="0" w:line="302" w:lineRule="auto"/>
        <w:tabs>
          <w:tab w:leader="none" w:pos="145"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“Burn Rate” measures how quickly we use shares and is calculated by dividing (a) the number of shares subject to equity awards granted during the applicable fiscal year by (b) the weighted average number of common shares outstanding during the applicable fiscal year.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Plan Is Intended to Protect Stockholder Interests and Is Consistent with Good Corporate Governance</w:t>
      </w:r>
    </w:p>
    <w:p>
      <w:pPr>
        <w:spacing w:after="0" w:line="119" w:lineRule="exact"/>
        <w:rPr>
          <w:sz w:val="20"/>
          <w:szCs w:val="20"/>
          <w:color w:val="auto"/>
        </w:rPr>
      </w:pPr>
    </w:p>
    <w:p>
      <w:pPr>
        <w:ind w:right="1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Award Vesting Limitations</w:t>
      </w:r>
      <w:r>
        <w:rPr>
          <w:rFonts w:ascii="Times New Roman" w:cs="Times New Roman" w:eastAsia="Times New Roman" w:hAnsi="Times New Roman"/>
          <w:sz w:val="18"/>
          <w:szCs w:val="18"/>
          <w:color w:val="auto"/>
        </w:rPr>
        <w:t>. Awards granted under the Plan will vest no earlier than the first anniversary of the date an award is granted, with a carve-out exception for up to 5% of the aggregate shares available for issuance under the Plan.</w:t>
      </w:r>
    </w:p>
    <w:p>
      <w:pPr>
        <w:spacing w:after="0" w:line="50" w:lineRule="exact"/>
        <w:rPr>
          <w:sz w:val="20"/>
          <w:szCs w:val="20"/>
          <w:color w:val="auto"/>
        </w:rPr>
      </w:pPr>
    </w:p>
    <w:p>
      <w:pPr>
        <w:ind w:right="1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No Discount Stock Options</w:t>
      </w:r>
      <w:r>
        <w:rPr>
          <w:rFonts w:ascii="Times New Roman" w:cs="Times New Roman" w:eastAsia="Times New Roman" w:hAnsi="Times New Roman"/>
          <w:sz w:val="18"/>
          <w:szCs w:val="18"/>
          <w:color w:val="auto"/>
        </w:rPr>
        <w:t>. The Plan prohibits the grant of a stock option with an exercise price less than the fair market value of Westwood’s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grant.</w:t>
      </w:r>
    </w:p>
    <w:p>
      <w:pPr>
        <w:spacing w:after="0" w:line="5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Share Recycling</w:t>
      </w:r>
      <w:r>
        <w:rPr>
          <w:rFonts w:ascii="Times New Roman" w:cs="Times New Roman" w:eastAsia="Times New Roman" w:hAnsi="Times New Roman"/>
          <w:sz w:val="18"/>
          <w:szCs w:val="18"/>
          <w:color w:val="auto"/>
        </w:rPr>
        <w:t>. Any shares subject to an award under the Plan that are forfeited, settled for cash, expire, or otherwise are terminated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such shares, become available for awards under the Plan. In addition, cash awards do not reduce the shares available under the Plan or to a participant in any calendar year. Shares delivered to the Company to pay the exercise price or base price of an award, or to satisfy tax withholding obligations, or shares purchased on the open market using option proceeds, or shares not issued in connection with a SAR share settlement, will not become available again for issuance under the Plan.</w:t>
      </w:r>
    </w:p>
    <w:p>
      <w:pPr>
        <w:spacing w:after="0" w:line="75" w:lineRule="exact"/>
        <w:rPr>
          <w:sz w:val="20"/>
          <w:szCs w:val="20"/>
          <w:color w:val="auto"/>
        </w:rPr>
      </w:pPr>
    </w:p>
    <w:p>
      <w:pPr>
        <w:ind w:right="2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each outstanding award under the Plan shall become 100% vested and exercisable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ten (10) days prior to the date of the change in control.</w:t>
      </w:r>
    </w:p>
    <w:p>
      <w:pPr>
        <w:spacing w:after="0" w:line="50"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 of dividends only if underlying awards vest. </w:t>
      </w:r>
      <w:r>
        <w:rPr>
          <w:rFonts w:ascii="Times New Roman" w:cs="Times New Roman" w:eastAsia="Times New Roman" w:hAnsi="Times New Roman"/>
          <w:sz w:val="18"/>
          <w:szCs w:val="18"/>
          <w:color w:val="auto"/>
        </w:rPr>
        <w:t>Under the Plan, dividends and dividend equivalents, if permitted to be earned on any award,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only to the extent that the underlying award vests.</w:t>
      </w:r>
    </w:p>
    <w:p>
      <w:pPr>
        <w:spacing w:after="0" w:line="50"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single trigger “change-in control” vesting. </w:t>
      </w:r>
      <w:r>
        <w:rPr>
          <w:rFonts w:ascii="Times New Roman" w:cs="Times New Roman" w:eastAsia="Times New Roman" w:hAnsi="Times New Roman"/>
          <w:sz w:val="18"/>
          <w:szCs w:val="18"/>
          <w:color w:val="auto"/>
        </w:rPr>
        <w:t>Grants under the Plan will vest only on the occurrence of a change in control that is accompanied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qualifying terminations of an individual’s employment.</w:t>
      </w:r>
    </w:p>
    <w:p>
      <w:pPr>
        <w:spacing w:after="0" w:line="50" w:lineRule="exact"/>
        <w:rPr>
          <w:sz w:val="20"/>
          <w:szCs w:val="20"/>
          <w:color w:val="auto"/>
        </w:rPr>
      </w:pPr>
    </w:p>
    <w:p>
      <w:pPr>
        <w:ind w:right="3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repricing. </w:t>
      </w:r>
      <w:r>
        <w:rPr>
          <w:rFonts w:ascii="Times New Roman" w:cs="Times New Roman" w:eastAsia="Times New Roman" w:hAnsi="Times New Roman"/>
          <w:sz w:val="18"/>
          <w:szCs w:val="18"/>
          <w:color w:val="auto"/>
        </w:rPr>
        <w:t>The Plan prohibits the repricing of awards or the repurchase and/or cancellation of underwater awards in exchange for cash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without stockholder approval.</w:t>
      </w:r>
    </w:p>
    <w:p>
      <w:pPr>
        <w:spacing w:after="0" w:line="50"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automatic share replenishment or “evergreen” provision. </w:t>
      </w:r>
      <w:r>
        <w:rPr>
          <w:rFonts w:ascii="Times New Roman" w:cs="Times New Roman" w:eastAsia="Times New Roman" w:hAnsi="Times New Roman"/>
          <w:sz w:val="18"/>
          <w:szCs w:val="18"/>
          <w:color w:val="auto"/>
        </w:rPr>
        <w:t>There is no evergreen feature pursuant to which the shares authorized for issuance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will be automatically replenished.</w:t>
      </w:r>
    </w:p>
    <w:p>
      <w:pPr>
        <w:spacing w:after="0" w:line="50" w:lineRule="exact"/>
        <w:rPr>
          <w:sz w:val="20"/>
          <w:szCs w:val="20"/>
          <w:color w:val="auto"/>
        </w:rPr>
      </w:pPr>
    </w:p>
    <w:p>
      <w:pPr>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increase in shares available without stockholder approval. </w:t>
      </w:r>
      <w:r>
        <w:rPr>
          <w:rFonts w:ascii="Times New Roman" w:cs="Times New Roman" w:eastAsia="Times New Roman" w:hAnsi="Times New Roman"/>
          <w:sz w:val="18"/>
          <w:szCs w:val="18"/>
          <w:color w:val="auto"/>
        </w:rPr>
        <w:t>The Plan prohibits any amendment that operates to increase the total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under the Plan (other than customary adjustments in connection with certain corporate reorganizations or other events).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ind w:right="7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discounted options or SARs. </w:t>
      </w:r>
      <w:r>
        <w:rPr>
          <w:rFonts w:ascii="Times New Roman" w:cs="Times New Roman" w:eastAsia="Times New Roman" w:hAnsi="Times New Roman"/>
          <w:sz w:val="18"/>
          <w:szCs w:val="18"/>
          <w:color w:val="auto"/>
        </w:rPr>
        <w:t>Options and SARs may not be granted with an exercise or base price lower than the fair market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on the date of grant (except in connection with substitute awards).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Awards granted under the Plan are subject to the Company’s clawback and/or recoupment policies.</w:t>
      </w:r>
    </w:p>
    <w:p>
      <w:pPr>
        <w:spacing w:after="0" w:line="117"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Limitation on amendments. </w:t>
      </w:r>
      <w:r>
        <w:rPr>
          <w:rFonts w:ascii="Times New Roman" w:cs="Times New Roman" w:eastAsia="Times New Roman" w:hAnsi="Times New Roman"/>
          <w:sz w:val="18"/>
          <w:szCs w:val="18"/>
          <w:color w:val="auto"/>
        </w:rPr>
        <w:t>No amendments to the Plan can be made without stockholder approval if any such amendment would require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pursuant to applicable law or the applicable rules of the national securities exchange on which the Company’s shares are principally listed.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Twelfth Amended and Restated Plan, as Amended</w:t>
      </w:r>
    </w:p>
    <w:p>
      <w:pPr>
        <w:spacing w:after="0" w:line="11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material features of the Plan, as it would be amended, is set forth below. This description and summary are qualified in their entirety by the full text of the Plan included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52" w:lineRule="exact"/>
        <w:rPr>
          <w:sz w:val="20"/>
          <w:szCs w:val="20"/>
          <w:color w:val="auto"/>
        </w:rPr>
      </w:pPr>
    </w:p>
    <w:p>
      <w:pPr>
        <w:ind w:right="100" w:firstLine="405"/>
        <w:spacing w:after="0" w:line="270" w:lineRule="auto"/>
        <w:rPr>
          <w:sz w:val="20"/>
          <w:szCs w:val="20"/>
          <w:color w:val="auto"/>
        </w:rPr>
      </w:pPr>
      <w:r>
        <w:rPr>
          <w:rFonts w:ascii="Times New Roman" w:cs="Times New Roman" w:eastAsia="Times New Roman" w:hAnsi="Times New Roman"/>
          <w:sz w:val="17"/>
          <w:szCs w:val="17"/>
          <w:i w:val="1"/>
          <w:iCs w:val="1"/>
          <w:color w:val="auto"/>
        </w:rPr>
        <w:t>Key Features of the Plan</w:t>
      </w:r>
      <w:r>
        <w:rPr>
          <w:rFonts w:ascii="Times New Roman" w:cs="Times New Roman" w:eastAsia="Times New Roman" w:hAnsi="Times New Roman"/>
          <w:sz w:val="17"/>
          <w:szCs w:val="17"/>
          <w:color w:val="auto"/>
        </w:rPr>
        <w:t>. Awards under the Plan will consist of cash or Westwood's authorized common stock. The fair market value of Westwood's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as of March 3, 2026 was $16.85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to non-employee directors or advisors. There are currently 151 Westwood employees and five non-employee directors who may be eligible to receive awards under the Plan. The total number of shares of common stock available pursuant to awards under the Plan over its entire term is 6,948,100, plus any shares of common stock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be available for issuance under the Plan. Subject to adjustment, no more than 316,033 shares of common stock may be covered by stock-based awards granted to any participant under the Plan in a calendar year.</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Term of the Plan. </w:t>
      </w:r>
      <w:r>
        <w:rPr>
          <w:rFonts w:ascii="Times New Roman" w:cs="Times New Roman" w:eastAsia="Times New Roman" w:hAnsi="Times New Roman"/>
          <w:sz w:val="18"/>
          <w:szCs w:val="18"/>
          <w:color w:val="auto"/>
        </w:rPr>
        <w:t>All awards made under the Plan must be made within 10 years from the date the Plan is adopted.</w:t>
      </w:r>
    </w:p>
    <w:p>
      <w:pPr>
        <w:spacing w:after="0" w:line="117"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Unless our Board of Directors determines otherwise, the Plan will be administered by the CHC Committee whose determinations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final and binding on any interested person. Such determinations include selecting participants, determining awards made under the Plan, interpreting plan provisions, and deciding the terms and conditions of any award.</w:t>
      </w:r>
    </w:p>
    <w:p>
      <w:pPr>
        <w:spacing w:after="0" w:line="65" w:lineRule="exact"/>
        <w:rPr>
          <w:sz w:val="20"/>
          <w:szCs w:val="20"/>
          <w:color w:val="auto"/>
        </w:rPr>
      </w:pPr>
    </w:p>
    <w:p>
      <w:pPr>
        <w:jc w:val="both"/>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Plan may be amended by the Board of Directors or by the CHC Committee. Amendments will be subject to stockholder approval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the extent required by applicable law, regulations, or rules. Any amendment that would increase the aggregate number of shares of stock that may be issued under the Plan must be approved by our stockholders.</w:t>
      </w:r>
    </w:p>
    <w:p>
      <w:pPr>
        <w:spacing w:after="0" w:line="6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In the event of any stock dividend, stock split, reverse stock split, recapitalization, combination, reclassification, or similar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CHC Committee or the Board of Directors determines fair and equitable.</w:t>
      </w:r>
    </w:p>
    <w:p>
      <w:pPr>
        <w:spacing w:after="0" w:line="72" w:lineRule="exact"/>
        <w:rPr>
          <w:sz w:val="20"/>
          <w:szCs w:val="20"/>
          <w:color w:val="auto"/>
        </w:rPr>
      </w:pPr>
    </w:p>
    <w:p>
      <w:pPr>
        <w:jc w:val="both"/>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Persons Eligible for Grants</w:t>
      </w:r>
      <w:r>
        <w:rPr>
          <w:rFonts w:ascii="Times New Roman" w:cs="Times New Roman" w:eastAsia="Times New Roman" w:hAnsi="Times New Roman"/>
          <w:sz w:val="18"/>
          <w:szCs w:val="18"/>
          <w:color w:val="auto"/>
        </w:rPr>
        <w:t>. Any employee or non-employee director of Westwood, or any of its parents or subsidiaries, is eligible to be selected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receive an award under the Plan determined by the CHC Committee, acting in its discretion. ISOs will be granted only to participants who are employees of Westwood or a subsidiary thereof.</w:t>
      </w:r>
    </w:p>
    <w:p>
      <w:pPr>
        <w:spacing w:after="0" w:line="6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Plan authorizes the grant of several types of stock-based awards, including, without limitation, incentive stock options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CHC Committee. To date, the CHC Committee has only granted stock-based awards under the Plan in the form of restricted stock and NSOs.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Types of Awards</w:t>
      </w:r>
    </w:p>
    <w:p>
      <w:pPr>
        <w:spacing w:after="0" w:line="117"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ISOs and NSOs are stock options that allow the recipient to purchase a fixed number of shares of common stock at a fixed price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less than the fair market value on the option grant date, as determined under the Plan). Options will be exercisable at such time or times, or upon such event or events, and subject to such terms, conditions, performance criteria, and restrictions as shall be determined by the CHC Committee and set forth in the option agreement evidencing such option; provided, however, that (i) no option shall be exercisable after the expiration of 10 years after the effective date of grant of such option, (ii) no ISO granted to a stockholder who owns more than 10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CHC</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8" w:name="page39"/>
    <w:bookmarkEnd w:id="38"/>
    <w:p>
      <w:pPr>
        <w:ind w:right="380"/>
        <w:spacing w:after="0" w:line="282" w:lineRule="auto"/>
        <w:rPr>
          <w:sz w:val="20"/>
          <w:szCs w:val="20"/>
          <w:color w:val="auto"/>
        </w:rPr>
      </w:pPr>
      <w:r>
        <w:rPr>
          <w:rFonts w:ascii="Times New Roman" w:cs="Times New Roman" w:eastAsia="Times New Roman" w:hAnsi="Times New Roman"/>
          <w:sz w:val="18"/>
          <w:szCs w:val="18"/>
          <w:color w:val="auto"/>
        </w:rPr>
        <w:t>Committee in the grant of an option, any option granted hereunder shall terminate 10 years after the effective date of grant of the option, unless earlier terminated in accordance with its provisions.</w:t>
      </w:r>
    </w:p>
    <w:p>
      <w:pPr>
        <w:spacing w:after="0" w:line="5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considerations approved by the CHC Committee to the extent permitted by applicable law, or (v) by any combination thereof.</w:t>
      </w:r>
    </w:p>
    <w:p>
      <w:pPr>
        <w:spacing w:after="0" w:line="7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The CHC Committee may also make awards of restricted shares of our stock. The vesting of restricted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conditioned upon the lapse of time and/or the satisfaction of other factors determined by the CHC Committee. Unless the CHC Committee determines otherwise, the recipient of restricted shares will generally have the right to vote the shares. Dividends and dividend equivalents will not be payable with respect to restricted stock; however, the CHC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CHC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80" w:lineRule="exact"/>
        <w:rPr>
          <w:sz w:val="20"/>
          <w:szCs w:val="20"/>
          <w:color w:val="auto"/>
        </w:rPr>
      </w:pPr>
    </w:p>
    <w:p>
      <w:pPr>
        <w:ind w:right="22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 CHC Committee may also make awards of SARs, which allow the recipient to exercise all or a specified portion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SAR for an amount equal to the product of (i) the excess of (A) the fair market value of the shares of our stock on the date the SAR is exercised over</w:t>
      </w:r>
    </w:p>
    <w:p>
      <w:pPr>
        <w:spacing w:after="0" w:line="1" w:lineRule="exact"/>
        <w:rPr>
          <w:sz w:val="20"/>
          <w:szCs w:val="20"/>
          <w:color w:val="auto"/>
        </w:rPr>
      </w:pPr>
    </w:p>
    <w:p>
      <w:pPr>
        <w:jc w:val="both"/>
        <w:ind w:right="120" w:firstLine="8"/>
        <w:spacing w:after="0" w:line="290" w:lineRule="auto"/>
        <w:tabs>
          <w:tab w:leader="none" w:pos="28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price of the SAR and (ii) the number of shares of our stock with respect to which the SAR was exercised. Payment will be in cash, shares of our stock, or a combination thereof, as determined by the CHC Committee. Dividends and dividend equivalents will not be payable with respect to SARs.</w:t>
      </w:r>
    </w:p>
    <w:p>
      <w:pPr>
        <w:spacing w:after="0" w:line="4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CHC Committee may also make awards of RSUs. The settlement of RSUs may be satisfied by delivery of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cash in an amount equal to the fair market value of the specified number of shares of our stock, or a combination thereof, as determined by the CHC Committee. Dividends and dividend equivalents will not be payable with respect to RSUs; however, the CHC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CHC Committee may also make awards denominated or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shares of our stock, including, without limitation purchase rights for shares of our stock, awards with value and payment contingent upon performance of the Company or any other factors designated by the CHC Committee, and awards valued by reference to the book value of a share of our stock.</w:t>
      </w:r>
    </w:p>
    <w:p>
      <w:pPr>
        <w:spacing w:after="0" w:line="72"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to Non-Employee Directors. </w:t>
      </w:r>
      <w:r>
        <w:rPr>
          <w:rFonts w:ascii="Times New Roman" w:cs="Times New Roman" w:eastAsia="Times New Roman" w:hAnsi="Times New Roman"/>
          <w:sz w:val="18"/>
          <w:szCs w:val="18"/>
          <w:color w:val="auto"/>
        </w:rPr>
        <w:t>Non-employee directors are eligible to receive any type of award under the Plan other than ISOs. The grant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a non-employee director, acting in his or her capacity as director, taken together with fees paid in cash to the non-employee director, cannot exceed $350,000, or $500,000 for the Chairman of the Board.</w:t>
      </w:r>
    </w:p>
    <w:p>
      <w:pPr>
        <w:spacing w:after="0" w:line="65"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Annual Incentive Awards</w:t>
      </w:r>
      <w:r>
        <w:rPr>
          <w:rFonts w:ascii="Times New Roman" w:cs="Times New Roman" w:eastAsia="Times New Roman" w:hAnsi="Times New Roman"/>
          <w:sz w:val="18"/>
          <w:szCs w:val="18"/>
          <w:color w:val="auto"/>
        </w:rPr>
        <w:t>. The CHC Committee may also grant annual incentive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other eligible persons, in such amounts and subject to such terms and conditions as the CHC Committee may determine. The CHC Committee shall establish the maximum level of annual incentive awards that may be granted for each year. The CHC Committee may, in its sole discretion, reduce, but not increase, the proposed annual incentive award payable to any participating employee during a year.</w:t>
      </w:r>
    </w:p>
    <w:p>
      <w:pPr>
        <w:spacing w:after="0" w:line="72"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Performance-Based Awards</w:t>
      </w:r>
      <w:r>
        <w:rPr>
          <w:rFonts w:ascii="Times New Roman" w:cs="Times New Roman" w:eastAsia="Times New Roman" w:hAnsi="Times New Roman"/>
          <w:sz w:val="17"/>
          <w:szCs w:val="17"/>
          <w:color w:val="auto"/>
        </w:rPr>
        <w:t>. The Plan allows the CHC Committee to grant awards, the vesting, exercise, or settlement of which is contingent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satisfaction of one or more performance conditions. The list of performance measures upon which performance goals may be based currently, includes:</w:t>
      </w:r>
    </w:p>
    <w:p>
      <w:pPr>
        <w:spacing w:after="0" w:line="1" w:lineRule="exact"/>
        <w:rPr>
          <w:sz w:val="20"/>
          <w:szCs w:val="20"/>
          <w:color w:val="auto"/>
        </w:rPr>
      </w:pPr>
    </w:p>
    <w:p>
      <w:pPr>
        <w:ind w:right="220" w:firstLine="8"/>
        <w:spacing w:after="0" w:line="265" w:lineRule="auto"/>
        <w:tabs>
          <w:tab w:leader="none" w:pos="2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w:t>
      </w:r>
    </w:p>
    <w:p>
      <w:pPr>
        <w:ind w:right="20" w:firstLine="8"/>
        <w:spacing w:after="0" w:line="251" w:lineRule="auto"/>
        <w:tabs>
          <w:tab w:leader="none" w:pos="3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or professional objectives, consisting of one or more objectives based on the implementation of</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9" w:name="page40"/>
    <w:bookmarkEnd w:id="39"/>
    <w:p>
      <w:pPr>
        <w:ind w:right="40"/>
        <w:spacing w:after="0" w:line="254" w:lineRule="auto"/>
        <w:rPr>
          <w:sz w:val="20"/>
          <w:szCs w:val="20"/>
          <w:color w:val="auto"/>
        </w:rPr>
      </w:pPr>
      <w:r>
        <w:rPr>
          <w:rFonts w:ascii="Times New Roman" w:cs="Times New Roman" w:eastAsia="Times New Roman" w:hAnsi="Times New Roman"/>
          <w:sz w:val="18"/>
          <w:szCs w:val="18"/>
          <w:color w:val="auto"/>
        </w:rPr>
        <w:t>plans and policies, the negotiation of transactions, the development of long-term business goals, formation of joint ventures, research or development collaborations, and the completion of other corporation transactions; (xix) any other criteria selected by the CHC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may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Cuts and Jobs Act of 2017).</w:t>
      </w:r>
    </w:p>
    <w:p>
      <w:pPr>
        <w:spacing w:after="0" w:line="82"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Discretionary Bonus Awards</w:t>
      </w:r>
      <w:r>
        <w:rPr>
          <w:rFonts w:ascii="Times New Roman" w:cs="Times New Roman" w:eastAsia="Times New Roman" w:hAnsi="Times New Roman"/>
          <w:sz w:val="18"/>
          <w:szCs w:val="18"/>
          <w:color w:val="auto"/>
        </w:rPr>
        <w:t>. The CHC Committee may also grant discretionary bonus awards of stock, cash, or any combination of stock and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officers and key employees in such amounts, and subject to such terms and conditions, as the CHC Committee may determine.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Material Federal Income Tax Consequences of the Plan</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following is a summary of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7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will generally not recognize any taxable income upon either the grant or exercise of an ISO. However,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w:t>
      </w:r>
    </w:p>
    <w:p>
      <w:pPr>
        <w:spacing w:after="0" w:line="2" w:lineRule="exact"/>
        <w:rPr>
          <w:sz w:val="20"/>
          <w:szCs w:val="20"/>
          <w:color w:val="auto"/>
        </w:rPr>
      </w:pPr>
    </w:p>
    <w:p>
      <w:pPr>
        <w:ind w:right="140" w:firstLine="8"/>
        <w:spacing w:after="0" w:line="253" w:lineRule="auto"/>
        <w:tabs>
          <w:tab w:leader="none" w:pos="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treated as a capital gain and will either be a short-term (taxable at ordinary income tax rates) or long-term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77"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A participant will not recognize any taxable income upon the grant of an NSO. In general,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65"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Incentive Awards, Performance-Based Awards and Discretionary Bonus Awards. </w:t>
      </w:r>
      <w:r>
        <w:rPr>
          <w:rFonts w:ascii="Times New Roman" w:cs="Times New Roman" w:eastAsia="Times New Roman" w:hAnsi="Times New Roman"/>
          <w:sz w:val="18"/>
          <w:szCs w:val="18"/>
          <w:color w:val="auto"/>
        </w:rPr>
        <w:t>In general, a participant who receives cash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 made under the Plan will recognize ordinary income equal to the amount of cash that is received. Except as discussed below in the section entitled </w:t>
      </w: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a participant who receives shares of common stock pursuant to an award under the Plan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ordinary income at the time the shares are received in an amount equal to the fair market value of the shares.</w:t>
      </w:r>
    </w:p>
    <w:p>
      <w:pPr>
        <w:spacing w:after="0" w:line="7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In general, if a participant receives common stock pursuant to an award made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7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Availability of Tax Deduction for Westwood. </w:t>
      </w:r>
      <w:r>
        <w:rPr>
          <w:rFonts w:ascii="Times New Roman" w:cs="Times New Roman" w:eastAsia="Times New Roman" w:hAnsi="Times New Roman"/>
          <w:sz w:val="18"/>
          <w:szCs w:val="18"/>
          <w:color w:val="auto"/>
        </w:rPr>
        <w:t>When ordinary income is recognized by a participant in connection with the receipt or exercise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right="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Our obligation to make payments or issue shares in connection with any award will be subject to and conditioned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applicable tax withholding obligations. The CHC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Plan Benefits</w:t>
      </w:r>
    </w:p>
    <w:p>
      <w:pPr>
        <w:spacing w:after="0" w:line="11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Future awards that may be made to eligible participants under the Plan are subject to the discretion of the CHC Committee and, therefore, cannot be determined with certainty at this time. During 2025 and 2024, (a) restricted stock awards covering 76,340 and 102,805 shares, respectively, were granted under the Plan to our NEOs, and (b) restricted stock awards covering 28,450 and 30,188 shares, respectively, were granted under the Plan to our non-employee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approval of the Plan requires the affirmative vote of a majority of the votes cast with respect to this Proposal. All proxies submitted will be voted "FOR" this Proposal, unless stockholders specify a contrary vote in their proxies. Neither broker non-votes nor abstentions will be counted as votes cast with respect to this Proposal.</w:t>
      </w:r>
    </w:p>
    <w:p>
      <w:pPr>
        <w:spacing w:after="0" w:line="64" w:lineRule="exact"/>
        <w:rPr>
          <w:sz w:val="20"/>
          <w:szCs w:val="20"/>
          <w:color w:val="auto"/>
        </w:rPr>
      </w:pPr>
    </w:p>
    <w:p>
      <w:pPr>
        <w:jc w:val="center"/>
        <w:ind w:left="38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 TWELFTH AMENDED AND RESTATED WESTWOOD HOLDINGS GROUP, INC. STOCK INCENTIVE PLAN.</w:t>
      </w: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1"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In conjunction with our stockholder outreach efforts on executive compensation, we are also seeking a non-binding, advisory vote from our stockholders to approve the compensation paid to our NEOs, as disclosed in this proxy statement, pursuant to Item 402 of Regulation S-K.</w:t>
      </w:r>
    </w:p>
    <w:p>
      <w:pPr>
        <w:spacing w:after="0" w:line="54"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CHC Committee has structured our executive compensation program to reflect our "pay-for-performance" philosophy. The compensation opportunities provided to the NEOs are dependent on the Company’s financial performance and the NEOs’ individual performances and are intended to drive creation of sustainable stockholder value. The CHC Committee will continue to emphasize responsible compensation arrangements that attract, retain, and motivate high caliber executive officers to achieve the Company’s business strategies and objectives.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can vote "FOR" or "AGAINST" or to "ABSTAIN" from voting on the following non-binding resolution relating to executive compensation:</w:t>
      </w:r>
    </w:p>
    <w:p>
      <w:pPr>
        <w:spacing w:after="0" w:line="11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 non-binding, advisory basis, the compensation paid to the Company’s NEOs, as disclosed in the Company’s proxy statement for the 2026 Annual Meeting of Stockholders, pursuant to Item 402 of Regulation S-K, including the executive compensation section, the compensation tables, and the narrative discussion."</w:t>
      </w:r>
    </w:p>
    <w:p>
      <w:pPr>
        <w:spacing w:after="0" w:line="6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consider the Company’s executive compensation philosophy and objectives and the components of the Company’s executive compensation program as set forth in the Executive Compensation section above, as well as the following key aspects of our executive compensation program:</w:t>
      </w:r>
    </w:p>
    <w:p>
      <w:pPr>
        <w:spacing w:after="0" w:line="68" w:lineRule="exact"/>
        <w:rPr>
          <w:sz w:val="20"/>
          <w:szCs w:val="20"/>
          <w:color w:val="auto"/>
        </w:rPr>
      </w:pPr>
    </w:p>
    <w:p>
      <w:pPr>
        <w:ind w:right="40" w:firstLine="413"/>
        <w:spacing w:after="0" w:line="266" w:lineRule="auto"/>
        <w:tabs>
          <w:tab w:leader="none" w:pos="6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each named executive officer's total direct compensation — an average of 68% excluding Mr. Casey as discussed above in "Executive Compensation" — was "at risk" compensation in 2025 delivered in the form of an annual cash incentive award and an annual equity incentive award.</w:t>
      </w:r>
    </w:p>
    <w:p>
      <w:pPr>
        <w:spacing w:after="0" w:line="6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three years, our NEOs have not received any perquisites.</w:t>
      </w:r>
    </w:p>
    <w:p>
      <w:pPr>
        <w:spacing w:after="0" w:line="117" w:lineRule="exact"/>
        <w:rPr>
          <w:rFonts w:ascii="Times New Roman" w:cs="Times New Roman" w:eastAsia="Times New Roman" w:hAnsi="Times New Roman"/>
          <w:sz w:val="18"/>
          <w:szCs w:val="18"/>
          <w:color w:val="auto"/>
        </w:rPr>
      </w:pPr>
    </w:p>
    <w:p>
      <w:pPr>
        <w:ind w:right="620" w:firstLine="413"/>
        <w:spacing w:after="0" w:line="282" w:lineRule="auto"/>
        <w:tabs>
          <w:tab w:leader="none" w:pos="6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endeavors to structure our executive compensation program to motivate and reward our executive officers for taking appropriate business risks, while avoiding pay practices that incentivize excessive risk-taking.</w:t>
      </w:r>
    </w:p>
    <w:p>
      <w:pPr>
        <w:spacing w:after="0" w:line="54"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While your vote on this proposal is advisory and is not binding on the CHC Committee, our Board of Directors and the CHC Committee value the opinions of our stockholders on executive compensation matters and will take the results of this advisory vote into consideration for future decisions regarding our executive compensation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50"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ON A NON-BINDING, ADVISORY BASIS, OF THE COMPENSATION PAID TO OUR NEOs, AS DISCLOSED IN THIS PROXY STATEMENT PURSUANT TO ITEM 402 OF REGULATION S-K.</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right="2980" w:firstLine="3050"/>
        <w:spacing w:after="0" w:line="377"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Other Relationships and Related Transactions</w:t>
      </w:r>
    </w:p>
    <w:p>
      <w:pPr>
        <w:spacing w:after="0" w:line="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earned revenues from an affiliate of a beneficial owner, GAMCO Investors, Inc., in the amount of $228,000 during fiscal year 2025 in connection with sub-advisory services provided by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Accounts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other select clients who are not members of our Board of Directors or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All future material transactions involving affiliated parties will be subject to approval by a majority of our unaffiliated directors. We have a written policy, entitled the “Conflict of Interest Policy,” that addresses the review and approval of related-party transactions. The Policy provides that, except with the Board’s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taken as a whole and specifically includes all related-party transactions and relationships that we are required to disclose in our proxy statement.</w:t>
      </w:r>
    </w:p>
    <w:p>
      <w:pPr>
        <w:spacing w:after="0" w:line="7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event that the Board’s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unaffiliated members of the Board of Directors. A majority of the members of the Audit Committee (or a majority of the unaffiliated members of the Board of Directors, where applicable) must approve any request. The terms of any such transaction must be as favorable to us as the terms would be if the transaction were entered into with an unrelated third party.</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March 3, 2026, there were 9,487,973 shares of common stock issued and entitled to vote at the Annual Meeting. Except where otherwise indicated, the following table sets forth certain information as of March 3, 2026 regarding beneficial ownership of the common stock and the percentage of total voting power held by:</w:t>
      </w:r>
    </w:p>
    <w:p>
      <w:pPr>
        <w:spacing w:after="0" w:line="68"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more than five percent (5%) of outstanding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director nominee;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noted, the persons named below have sole voting and investment power with respect to such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8440" w:type="dxa"/>
            <w:vAlign w:val="bottom"/>
            <w:gridSpan w:val="2"/>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Beneficial Owners</w:t>
            </w:r>
          </w:p>
        </w:tc>
        <w:tc>
          <w:tcPr>
            <w:tcW w:w="16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gridSpan w:val="2"/>
            <w:vMerge w:val="continue"/>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0" w:type="dxa"/>
            <w:vAlign w:val="bottom"/>
          </w:tcPr>
          <w:p>
            <w:pPr>
              <w:spacing w:after="0"/>
              <w:rPr>
                <w:sz w:val="1"/>
                <w:szCs w:val="1"/>
                <w:color w:val="auto"/>
              </w:rPr>
            </w:pPr>
          </w:p>
        </w:tc>
      </w:tr>
      <w:tr>
        <w:trPr>
          <w:trHeight w:val="223"/>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Beneficial Owners</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Hoak Public Equities, L.P. </w:t>
            </w:r>
            <w:r>
              <w:rPr>
                <w:rFonts w:ascii="Times New Roman" w:cs="Times New Roman" w:eastAsia="Times New Roman" w:hAnsi="Times New Roman"/>
                <w:sz w:val="23"/>
                <w:szCs w:val="23"/>
                <w:color w:val="auto"/>
                <w:vertAlign w:val="superscript"/>
              </w:rPr>
              <w:t>(2),(3),(7)</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Allspring Global Investments Holdings LLC </w:t>
            </w:r>
            <w:r>
              <w:rPr>
                <w:rFonts w:ascii="Times New Roman" w:cs="Times New Roman" w:eastAsia="Times New Roman" w:hAnsi="Times New Roman"/>
                <w:sz w:val="23"/>
                <w:szCs w:val="23"/>
                <w:color w:val="auto"/>
                <w:vertAlign w:val="superscript"/>
              </w:rPr>
              <w:t>(2),(4)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BlackRock Fund Advisors </w:t>
            </w:r>
            <w:r>
              <w:rPr>
                <w:rFonts w:ascii="Times New Roman" w:cs="Times New Roman" w:eastAsia="Times New Roman" w:hAnsi="Times New Roman"/>
                <w:sz w:val="23"/>
                <w:szCs w:val="23"/>
                <w:color w:val="auto"/>
                <w:vertAlign w:val="superscript"/>
              </w:rPr>
              <w:t>(2),(5)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512,735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Settian Capital LP </w:t>
            </w:r>
            <w:r>
              <w:rPr>
                <w:rFonts w:ascii="Times New Roman" w:cs="Times New Roman" w:eastAsia="Times New Roman" w:hAnsi="Times New Roman"/>
                <w:sz w:val="23"/>
                <w:szCs w:val="23"/>
                <w:color w:val="auto"/>
                <w:vertAlign w:val="superscript"/>
              </w:rPr>
              <w:t>(2),(6)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Directors and NEOs </w:t>
            </w:r>
            <w:r>
              <w:rPr>
                <w:rFonts w:ascii="Times New Roman" w:cs="Times New Roman" w:eastAsia="Times New Roman" w:hAnsi="Times New Roman"/>
                <w:sz w:val="23"/>
                <w:szCs w:val="23"/>
                <w:b w:val="1"/>
                <w:bCs w:val="1"/>
                <w:color w:val="auto"/>
                <w:vertAlign w:val="superscript"/>
              </w:rPr>
              <w:t>(1)</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Brian O. Casey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Fabian Gomez</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David O. Linton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J. Hale Hoak </w:t>
            </w:r>
            <w:r>
              <w:rPr>
                <w:rFonts w:ascii="Times New Roman" w:cs="Times New Roman" w:eastAsia="Times New Roman" w:hAnsi="Times New Roman"/>
                <w:sz w:val="23"/>
                <w:szCs w:val="23"/>
                <w:color w:val="auto"/>
                <w:vertAlign w:val="superscript"/>
              </w:rPr>
              <w:t>(7)</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829,990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Geoffrey R. Norman </w:t>
            </w:r>
            <w:r>
              <w:rPr>
                <w:rFonts w:ascii="Times New Roman" w:cs="Times New Roman" w:eastAsia="Times New Roman" w:hAnsi="Times New Roman"/>
                <w:sz w:val="23"/>
                <w:szCs w:val="23"/>
                <w:color w:val="auto"/>
                <w:vertAlign w:val="superscript"/>
              </w:rPr>
              <w:t>(8)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Ellen H. Masterson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Randy A. Bowman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Katherine A. Murray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Janice Ryan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All directors and NEO as a group (9 persons)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1,646,948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9"/>
          <w:szCs w:val="9"/>
          <w:color w:val="auto"/>
        </w:rPr>
        <w:t>___________________</w:t>
      </w:r>
    </w:p>
    <w:p>
      <w:pPr>
        <w:spacing w:after="0" w:line="4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55"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director and named executive officer is 200 Crescent Court, Suite 1200, Dallas, Texas, 75201.</w:t>
      </w:r>
    </w:p>
    <w:p>
      <w:pPr>
        <w:spacing w:after="0" w:line="68" w:lineRule="exact"/>
        <w:rPr>
          <w:rFonts w:ascii="Times New Roman" w:cs="Times New Roman" w:eastAsia="Times New Roman" w:hAnsi="Times New Roman"/>
          <w:sz w:val="14"/>
          <w:szCs w:val="14"/>
          <w:color w:val="auto"/>
        </w:rPr>
      </w:pPr>
    </w:p>
    <w:p>
      <w:pPr>
        <w:ind w:left="500" w:right="360" w:hanging="492"/>
        <w:spacing w:after="0" w:line="301" w:lineRule="auto"/>
        <w:tabs>
          <w:tab w:leader="none" w:pos="3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information reported for this stockholder is based upon the most recent Form 13F, Schedule 13G or Schedule 13D filed with the SEC by such stockholder, as supplemented by additional information provided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Hoak Public Equities, L.P. is 3963 Maple Avenue, Suite 450, Dallas, TX 75219. On April 23, 2025, J. Hale Hoak reported, on Schedule 3/A, his ownership of 750,000 shares.</w:t>
      </w:r>
    </w:p>
    <w:p>
      <w:pPr>
        <w:spacing w:after="0" w:line="68" w:lineRule="exact"/>
        <w:rPr>
          <w:rFonts w:ascii="Times New Roman" w:cs="Times New Roman" w:eastAsia="Times New Roman" w:hAnsi="Times New Roman"/>
          <w:sz w:val="14"/>
          <w:szCs w:val="14"/>
          <w:color w:val="auto"/>
        </w:rPr>
      </w:pPr>
    </w:p>
    <w:p>
      <w:pPr>
        <w:ind w:left="500" w:right="400" w:hanging="492"/>
        <w:spacing w:after="0" w:line="282" w:lineRule="auto"/>
        <w:tabs>
          <w:tab w:leader="none" w:pos="3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Allspring Global Investments Holdings, LLC is 525 Market St., 10th Fl, San Francisco, CA 94105. On January 15, 2026, Allspring Global Investments Holdings, LLC reported its beneficial ownership, indicating that it held sole voting power over 606,812 shares and sole dispositive power over 606,812 shares.</w:t>
      </w:r>
    </w:p>
    <w:p>
      <w:pPr>
        <w:spacing w:after="0" w:line="13" w:lineRule="exact"/>
        <w:rPr>
          <w:rFonts w:ascii="Times New Roman" w:cs="Times New Roman" w:eastAsia="Times New Roman" w:hAnsi="Times New Roman"/>
          <w:sz w:val="14"/>
          <w:szCs w:val="14"/>
          <w:color w:val="auto"/>
        </w:rPr>
      </w:pPr>
    </w:p>
    <w:p>
      <w:pPr>
        <w:ind w:left="500" w:right="160" w:hanging="492"/>
        <w:spacing w:after="0" w:line="301" w:lineRule="auto"/>
        <w:tabs>
          <w:tab w:leader="none" w:pos="3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BlackRockFund Advisors is 50 Hudson Yards, New York, NY 10001. On February 22, 2026, BlackRock Fund Advisors reported its beneficial ownership, indicating that it held sole voting power over 512,735 shares and sole dispositive power over 512,735 shares.</w:t>
      </w:r>
    </w:p>
    <w:p>
      <w:pPr>
        <w:spacing w:after="0" w:line="1" w:lineRule="exact"/>
        <w:rPr>
          <w:rFonts w:ascii="Times New Roman" w:cs="Times New Roman" w:eastAsia="Times New Roman" w:hAnsi="Times New Roman"/>
          <w:sz w:val="14"/>
          <w:szCs w:val="14"/>
          <w:color w:val="auto"/>
        </w:rPr>
      </w:pPr>
    </w:p>
    <w:p>
      <w:pPr>
        <w:ind w:left="500" w:right="160" w:hanging="492"/>
        <w:spacing w:after="0" w:line="291" w:lineRule="auto"/>
        <w:tabs>
          <w:tab w:leader="none" w:pos="3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Settian Capital LP is 767 Fifth Avenue, 18th Floor, New York, NY 10153. On February 4, 2026, Settian Capital LP reported its beneficial ownership, indicating that it held sole voting power over 470,515 shares and sole dispositive power over 470,515 shares.</w:t>
      </w:r>
    </w:p>
    <w:p>
      <w:pPr>
        <w:spacing w:after="0" w:line="1" w:lineRule="exact"/>
        <w:rPr>
          <w:rFonts w:ascii="Times New Roman" w:cs="Times New Roman" w:eastAsia="Times New Roman" w:hAnsi="Times New Roman"/>
          <w:sz w:val="14"/>
          <w:szCs w:val="14"/>
          <w:color w:val="auto"/>
        </w:rPr>
      </w:pPr>
    </w:p>
    <w:p>
      <w:pPr>
        <w:ind w:left="500" w:hanging="492"/>
        <w:spacing w:after="0" w:line="281" w:lineRule="auto"/>
        <w:tabs>
          <w:tab w:leader="none" w:pos="3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750,000 shares reported for Hoak Public Equities, L.P. are included in the 829,990 shares reported as beneficially owned by director J. Hale Hoak, as Mr. Hoak may be deemed to beneficially own the shares held by Hoak Public Equities, L.P. due to his relationship with that entity. Accordingly, these shares are reflected in both ownership totals and do not represent additional shares. Mr. Hoak also directly owns 54,990 shares and may be deemed to beneficially own 25,000 shares held by the Hale Hoak Child’s Trust, of which he serves as trustee.</w:t>
      </w:r>
    </w:p>
    <w:p>
      <w:pPr>
        <w:spacing w:after="0" w:line="1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Norman has served as a director since 2007 and is not seeking reelection to the Board of Directors in 2026.</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Times New Roman" w:cs="Times New Roman" w:eastAsia="Times New Roman" w:hAnsi="Times New Roman"/>
          <w:sz w:val="18"/>
          <w:szCs w:val="18"/>
          <w:i w:val="1"/>
          <w:iCs w:val="1"/>
          <w:u w:val="single" w:color="auto"/>
          <w:color w:val="auto"/>
        </w:rPr>
        <w:t>westwoodgroup.com</w:t>
      </w:r>
      <w:r>
        <w:rPr>
          <w:rFonts w:ascii="Times New Roman" w:cs="Times New Roman" w:eastAsia="Times New Roman" w:hAnsi="Times New Roman"/>
          <w:sz w:val="18"/>
          <w:szCs w:val="18"/>
          <w:color w:val="auto"/>
        </w:rPr>
        <w:t xml:space="preserve"> under the corporate governance section. The Audit Committee reviews the adequacy of and compliance with such charter annually.</w:t>
      </w:r>
    </w:p>
    <w:p>
      <w:pPr>
        <w:spacing w:after="0" w:line="72"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 discharging its oversight responsibilities, the Audit Committee reviewed and discussed the audited consolidated financial statements of Westwood Holdings Group, Inc. ("Westwood") as of and for the fiscal year ended December 31, 2025 with management and BDO USA, P.C. ("BDO"), our independent auditors, and the Audit Committee has discussed with BDO the matters required to be discussed by the applicable requirements of the Public Company Accounting Oversight Board and the SEC.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(“GAAP”). BDO is responsible for auditing those financial statements and expressing an opinion on the conformity of the financial statements with GAAP. The Audit Committee’s responsibility is to monitor and review these processes. The members of the Audit Committee are "independent," as defined by U.S. Securities and Exchange Commission (“SEC”) and New York Stock Exchange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8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work of BDO. In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BDO the overall scope and plan for its audits and met with the firm throughout the year, with and without management present, to monitor the firm's progress and results obtained from their audits.</w:t>
      </w:r>
    </w:p>
    <w:p>
      <w:pPr>
        <w:spacing w:after="0" w:line="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received from BDO a formal written statement describing all relationships between the firm and Westwood that might bear on the auditors’ independence, consistent with Independent Standards Board Standard No. 1, and discussed with BDO any relationships that might impact their objectivity and independence. Based on such information, the Audit Committee confirmed BDO’s independence. The Audit Committee also approved, in advance, all audit and permitted non-audit services to be provided and concluded that BDO's provision of other permitted non-audit services to Westwood and related entities is compatible with BDO's independence.</w:t>
      </w:r>
    </w:p>
    <w:p>
      <w:pPr>
        <w:spacing w:after="0" w:line="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management, Westwood’s internal auditors, and BDO the quality and adequacy of Westwood’s internal controls over financial reporting and the audit scope and plans for audits performed by the internal auditors and BDO.</w:t>
      </w:r>
    </w:p>
    <w:p>
      <w:pPr>
        <w:spacing w:after="0" w:line="5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BDO all communications required by GAAP standards used in the United States, including those described in Statement on Auditing Standards No. 16, as amended, as adopted by the Public Company Accounting Oversight Board in Rule 3200T.</w:t>
      </w:r>
    </w:p>
    <w:p>
      <w:pPr>
        <w:spacing w:after="0" w:line="54"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For the fiscal year 2025,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BDO. At the conclusion of the process, management provided the Audit Committee with a report on management’s assessment of the effectiveness of Westwood’s internal control over financial reporting as of December 31, 2025. The Audit Committee discussed with management and BDO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BDO prior to earnings announcements throughout the year.</w:t>
      </w:r>
    </w:p>
    <w:p>
      <w:pPr>
        <w:spacing w:after="0" w:line="8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Based upon the above-mentioned review and discussions with management and BDO, the Audit Committee recommended to the Board of Directors that Westwood’s audited consolidated financial statements be included in its Annual Report on Form 10-K for the fiscal year ended December 31, 2025, for filing with the SEC.</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 H. Masterson, Chairperson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R. Norman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 A. Bowman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Katherine A. Murray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Hale Hoak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Janice Ryan</w:t>
      </w:r>
    </w:p>
    <w:p>
      <w:pPr>
        <w:spacing w:after="0" w:line="200" w:lineRule="exact"/>
        <w:rPr>
          <w:sz w:val="20"/>
          <w:szCs w:val="20"/>
          <w:color w:val="auto"/>
        </w:rPr>
      </w:pPr>
    </w:p>
    <w:p>
      <w:pPr>
        <w:spacing w:after="0" w:line="31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230505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99"/>
          </w:cols>
          <w:pgMar w:left="860" w:top="648"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right="260" w:firstLine="405"/>
        <w:spacing w:after="0" w:line="289" w:lineRule="auto"/>
        <w:rPr>
          <w:sz w:val="20"/>
          <w:szCs w:val="20"/>
          <w:color w:val="auto"/>
        </w:rPr>
      </w:pPr>
      <w:r>
        <w:rPr>
          <w:rFonts w:ascii="Times New Roman" w:cs="Times New Roman" w:eastAsia="Times New Roman" w:hAnsi="Times New Roman"/>
          <w:sz w:val="17"/>
          <w:szCs w:val="17"/>
          <w:color w:val="auto"/>
        </w:rPr>
        <w:t>Section 16(a) of the Securities Exchange Act of 1934 requires our directors, executive officers, and persons who own more than 10 percent of our common stock to file with the SEC initial statements of beneficial ownership of securities and subsequent changes in beneficial ownership. Our officers, directors, and greater-than-10-percent stockholders are required by the SEC's regulations to furnish us with copies of all Section 16(a) forms they file.</w:t>
      </w:r>
    </w:p>
    <w:p>
      <w:pPr>
        <w:spacing w:after="0" w:line="50"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To Westwood's knowledge, based solely on a review of the copies of such reports furnished to us and written representations that no other reports were required, we believe that our officers, directors, and greater-than-10-percent beneficial owners complied in a timely fashion with all Section 16(a) filing requirements applicable to them.</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4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form of proxy for consideration at the 2027 annual meeting of stockholders, pursuant to Rule 14a-8 under the Exchange Act, by submitting their proposals to our Corporate Secretary in a timely manner. Such proposals must be received at our principal executive offices no later than the close of business on November 15, 2026. Proposals should be submitted in writing to 200 Crescent Court, Suite 1200, Dallas, Texas 75201, Attn: Corporate Secretary. Such stockholder proposals must comply with all applicable legal requirements, including Rule 14a-8 under the Exchange Act and the Company’s Bylaws.</w:t>
      </w:r>
    </w:p>
    <w:p>
      <w:pPr>
        <w:spacing w:after="0" w:line="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Additionally, our Bylaws provide for advance notice procedures to nominate a person for director or to propose business to be considered by stockholders at a meeting (other than pursuant to Rule 14a-8). To be considered timely under these provisions, the stockholder’s notice must provide the information set forth in the Bylaws and be received by the Corporate Secretary at our principal executive offices at the address set forth on the first page of this proxy statement not later than the close of business on January 30, 2027 and not earlier than the close of business on December 31, 2026; provided, however, that if the date of the 2027 Annual Meeting of stockholders is more than 30 days before or more than 60 days after the one-year anniversary of the 2026 Annual Meeting of Stockholders, notice of such stockholder proposal must be received no earlier than the close of business on the 120th day before the 2027 Annual Meeting of stockholders and no later than the close of business on the later of the two following dates: the 90th day prior to 2027 Annual Meeting of stockholders, or the 10th day following the day on which public announcement of the date our 2027 Annual Meeting of stockholders is first made. Our Bylaws also specify requirements as to the form and content of a stockholder’s notice.</w:t>
      </w:r>
    </w:p>
    <w:p>
      <w:pPr>
        <w:spacing w:after="0" w:line="80"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Additionally, to comply with the SEC’s universal proxy rules, stockholders who intend to solicit proxies in support of director nominees other than the Company’s nominees must provide notice by March 1, 2027 and do so by following the procedures prescribed in SEC Rule 14a-19.</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2025 Annual Report to Stockholders, which includes our consolidated financial statements as of and for the year ended December 31, 2025, is being mailed to you along with this proxy statement. Upon written request, we will provide, without charge to stockholders, a copy of our 2025 Form 10-K, including the financial statements and financial statement schedules to such report. Requests should be directed to Westwood Holdings Group, 200 Crescent Court, Suite 1200, Dallas, Texas 75201, Attn: Corporate Secretary.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stockholders would like to receive only a single set of our disclosure documents, they should follow these instructions:</w:t>
      </w:r>
    </w:p>
    <w:p>
      <w:pPr>
        <w:spacing w:after="0" w:line="79" w:lineRule="exact"/>
        <w:rPr>
          <w:sz w:val="20"/>
          <w:szCs w:val="20"/>
          <w:color w:val="auto"/>
        </w:rPr>
      </w:pPr>
    </w:p>
    <w:p>
      <w:pPr>
        <w:ind w:left="660" w:right="300" w:hanging="328"/>
        <w:spacing w:after="0" w:line="312" w:lineRule="auto"/>
        <w:tabs>
          <w:tab w:leader="none" w:pos="65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registered in the name of the stockholder, stockholders should contact us at our offices at Westwood Holdings Group, 200 Crescent Court, Suite 1200, Dallas, Texas 75201, Attention: Corporate Secretary, or by telephone at 214-756-6900, to inform us of the request.</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stockholders should contact the bank, broker, or other nominee directly.</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ind w:firstLine="405"/>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1174115" cy="394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741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Brian O. Casey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of Westwood Holdings Group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TWELFTH AMENDED AND RESTATED WESTWOOD HOLDINGS GROUP,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131"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ESTABLISHMENT, PURPOSE AND TERM OF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8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Establishment. </w:t>
      </w:r>
      <w:r>
        <w:rPr>
          <w:rFonts w:ascii="Times New Roman" w:cs="Times New Roman" w:eastAsia="Times New Roman" w:hAnsi="Times New Roman"/>
          <w:sz w:val="18"/>
          <w:szCs w:val="18"/>
          <w:color w:val="auto"/>
        </w:rPr>
        <w:t>This Twelfth Amended and Restated Westwood Holdings Group, Inc. Stock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established effective as of March 3,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300" w:right="280" w:hanging="644"/>
        <w:spacing w:after="0" w:line="268"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the Plan is to advance the interests of the Participating Company Group and its stockholders by providing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62" w:lineRule="exact"/>
        <w:rPr>
          <w:rFonts w:ascii="Times New Roman" w:cs="Times New Roman" w:eastAsia="Times New Roman" w:hAnsi="Times New Roman"/>
          <w:sz w:val="18"/>
          <w:szCs w:val="18"/>
          <w:color w:val="auto"/>
        </w:rPr>
      </w:pPr>
    </w:p>
    <w:p>
      <w:pPr>
        <w:ind w:left="1300" w:right="60" w:hanging="644"/>
        <w:spacing w:after="0" w:line="259"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of Plan. </w:t>
      </w:r>
      <w:r>
        <w:rPr>
          <w:rFonts w:ascii="Times New Roman" w:cs="Times New Roman" w:eastAsia="Times New Roman" w:hAnsi="Times New Roman"/>
          <w:sz w:val="18"/>
          <w:szCs w:val="18"/>
          <w:color w:val="auto"/>
        </w:rPr>
        <w:t>The Plan shall continue in effect until the earlier of its termination by the Board or the date on which all of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within ten (10) years from the earlier of the date the Plan is adopted by the Board or the date the Plan is duly approved by the stockholders of the Participating Company Group.</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AND CONSTRUCTION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Whenever used herein, the followin</w:t>
      </w:r>
      <w:r>
        <w:rPr>
          <w:rFonts w:ascii="Times New Roman" w:cs="Times New Roman" w:eastAsia="Times New Roman" w:hAnsi="Times New Roman"/>
          <w:sz w:val="18"/>
          <w:szCs w:val="18"/>
          <w:color w:val="auto"/>
        </w:rPr>
        <w:t>g terms shall have their respective meanings set forth below:</w:t>
      </w:r>
    </w:p>
    <w:p>
      <w:pPr>
        <w:spacing w:after="0" w:line="11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17.2.</w:t>
      </w:r>
    </w:p>
    <w:p>
      <w:pPr>
        <w:spacing w:after="0" w:line="11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11.1.</w:t>
      </w:r>
    </w:p>
    <w:p>
      <w:pPr>
        <w:spacing w:after="0" w:line="117" w:lineRule="exact"/>
        <w:rPr>
          <w:rFonts w:ascii="Times New Roman" w:cs="Times New Roman" w:eastAsia="Times New Roman" w:hAnsi="Times New Roman"/>
          <w:sz w:val="18"/>
          <w:szCs w:val="18"/>
          <w:color w:val="auto"/>
        </w:rPr>
      </w:pPr>
    </w:p>
    <w:p>
      <w:pPr>
        <w:ind w:left="1700" w:right="620" w:hanging="396"/>
        <w:spacing w:after="0" w:line="268" w:lineRule="auto"/>
        <w:tabs>
          <w:tab w:leader="none" w:pos="169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form of incentive or performance award granted under the Plan, whether singly or in combination,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by the CHC Committee pursuant to such terms, conditions, restrictions, and/or limitations (if any) as the CHC Committee may establish. Awards granted under the Plan may include:</w:t>
      </w:r>
    </w:p>
    <w:p>
      <w:pPr>
        <w:spacing w:after="0" w:line="66"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awarded pursuant to Sections 6;</w:t>
      </w:r>
    </w:p>
    <w:p>
      <w:pPr>
        <w:spacing w:after="0" w:line="117" w:lineRule="exact"/>
        <w:rPr>
          <w:rFonts w:ascii="Times New Roman" w:cs="Times New Roman" w:eastAsia="Times New Roman" w:hAnsi="Times New Roman"/>
          <w:sz w:val="18"/>
          <w:szCs w:val="18"/>
          <w:color w:val="auto"/>
        </w:rPr>
      </w:pPr>
    </w:p>
    <w:p>
      <w:pPr>
        <w:ind w:left="2280" w:hanging="571"/>
        <w:spacing w:after="0"/>
        <w:tabs>
          <w:tab w:leader="none" w:pos="228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awarded pursuant to Section 7;</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pursuant to Section 9;</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pursuant to Section 10.</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awarded pursuant to Section 14.</w:t>
      </w:r>
    </w:p>
    <w:p>
      <w:pPr>
        <w:spacing w:after="0" w:line="117" w:lineRule="exact"/>
        <w:rPr>
          <w:rFonts w:ascii="Times New Roman" w:cs="Times New Roman" w:eastAsia="Times New Roman" w:hAnsi="Times New Roman"/>
          <w:sz w:val="18"/>
          <w:szCs w:val="18"/>
          <w:color w:val="auto"/>
        </w:rPr>
      </w:pPr>
    </w:p>
    <w:p>
      <w:pPr>
        <w:ind w:left="2280" w:hanging="571"/>
        <w:spacing w:after="0"/>
        <w:tabs>
          <w:tab w:leader="none" w:pos="228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awarded pursuant to Section 11;</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awarded pursuant to Section 12; and</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awarded pursuant to Section 13.</w:t>
      </w:r>
    </w:p>
    <w:p>
      <w:pPr>
        <w:spacing w:after="0" w:line="113" w:lineRule="exact"/>
        <w:rPr>
          <w:rFonts w:ascii="Times New Roman" w:cs="Times New Roman" w:eastAsia="Times New Roman" w:hAnsi="Times New Roman"/>
          <w:sz w:val="18"/>
          <w:szCs w:val="18"/>
          <w:color w:val="auto"/>
        </w:rPr>
      </w:pPr>
    </w:p>
    <w:p>
      <w:pPr>
        <w:ind w:left="1700" w:right="500" w:hanging="396"/>
        <w:spacing w:after="0" w:line="286" w:lineRule="auto"/>
        <w:tabs>
          <w:tab w:leader="none" w:pos="17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setting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of an Award granted to the Participant.</w:t>
      </w:r>
    </w:p>
    <w:p>
      <w:pPr>
        <w:spacing w:after="0" w:line="4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11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6.3(a).</w:t>
      </w:r>
    </w:p>
    <w:p>
      <w:pPr>
        <w:spacing w:after="0" w:line="117" w:lineRule="exact"/>
        <w:rPr>
          <w:rFonts w:ascii="Times New Roman" w:cs="Times New Roman" w:eastAsia="Times New Roman" w:hAnsi="Times New Roman"/>
          <w:sz w:val="18"/>
          <w:szCs w:val="18"/>
          <w:color w:val="auto"/>
        </w:rPr>
      </w:pPr>
    </w:p>
    <w:p>
      <w:pPr>
        <w:ind w:left="1700" w:right="140" w:hanging="396"/>
        <w:spacing w:after="0" w:line="256" w:lineRule="auto"/>
        <w:tabs>
          <w:tab w:leader="none" w:pos="17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any of the following: (i) the Participant’s theft of a Participating Company’s property or falsification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9" w:name="page50"/>
    <w:bookmarkEnd w:id="49"/>
    <w:p>
      <w:pPr>
        <w:ind w:left="580" w:right="100"/>
        <w:spacing w:after="0" w:line="284" w:lineRule="auto"/>
        <w:rPr>
          <w:sz w:val="20"/>
          <w:szCs w:val="20"/>
          <w:color w:val="auto"/>
        </w:rPr>
      </w:pPr>
      <w:r>
        <w:rPr>
          <w:rFonts w:ascii="Times New Roman" w:cs="Times New Roman" w:eastAsia="Times New Roman" w:hAnsi="Times New Roman"/>
          <w:sz w:val="18"/>
          <w:szCs w:val="18"/>
          <w:color w:val="auto"/>
        </w:rPr>
        <w:t xml:space="preserve">Participant’s conviction (including any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of any felony or any other criminal act which impairs the Participant’s ability to perform his or her duties with the Participating Company Group or any Participating Company.</w:t>
      </w:r>
    </w:p>
    <w:p>
      <w:pPr>
        <w:spacing w:after="0" w:line="48" w:lineRule="exact"/>
        <w:rPr>
          <w:sz w:val="20"/>
          <w:szCs w:val="20"/>
          <w:color w:val="auto"/>
        </w:rPr>
      </w:pPr>
    </w:p>
    <w:p>
      <w:pPr>
        <w:ind w:left="580" w:hanging="396"/>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17.1.</w:t>
      </w:r>
    </w:p>
    <w:p>
      <w:pPr>
        <w:spacing w:after="0" w:line="117"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promulgated thereunder.</w:t>
      </w:r>
    </w:p>
    <w:p>
      <w:pPr>
        <w:spacing w:after="0" w:line="117" w:lineRule="exact"/>
        <w:rPr>
          <w:rFonts w:ascii="Times New Roman" w:cs="Times New Roman" w:eastAsia="Times New Roman" w:hAnsi="Times New Roman"/>
          <w:sz w:val="18"/>
          <w:szCs w:val="18"/>
          <w:color w:val="auto"/>
        </w:rPr>
      </w:pPr>
    </w:p>
    <w:p>
      <w:pPr>
        <w:ind w:left="580" w:right="20" w:hanging="396"/>
        <w:spacing w:after="0" w:line="262" w:lineRule="auto"/>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CHC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Compensation and Human Capital Committee or other committee of the Board duly appointed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68"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Westwood Holdings Group, Inc., a Delaware corporation, or any successor corporation thereto.</w:t>
      </w:r>
    </w:p>
    <w:p>
      <w:pPr>
        <w:spacing w:after="0" w:line="117" w:lineRule="exact"/>
        <w:rPr>
          <w:rFonts w:ascii="Times New Roman" w:cs="Times New Roman" w:eastAsia="Times New Roman" w:hAnsi="Times New Roman"/>
          <w:sz w:val="18"/>
          <w:szCs w:val="18"/>
          <w:color w:val="auto"/>
        </w:rPr>
      </w:pPr>
    </w:p>
    <w:p>
      <w:pPr>
        <w:ind w:left="580" w:right="120" w:hanging="396"/>
        <w:spacing w:after="0" w:line="278" w:lineRule="auto"/>
        <w:tabs>
          <w:tab w:leader="none" w:pos="56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person engaged to provide consulting or advisory services (other than as an Employee or a Director)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55" w:lineRule="exact"/>
        <w:rPr>
          <w:rFonts w:ascii="Times New Roman" w:cs="Times New Roman" w:eastAsia="Times New Roman" w:hAnsi="Times New Roman"/>
          <w:sz w:val="17"/>
          <w:szCs w:val="17"/>
          <w:color w:val="auto"/>
        </w:rPr>
      </w:pPr>
    </w:p>
    <w:p>
      <w:pPr>
        <w:ind w:left="580" w:hanging="396"/>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or of the board of directors of any other Participating Company.</w:t>
      </w:r>
    </w:p>
    <w:p>
      <w:pPr>
        <w:spacing w:after="0" w:line="117"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permanent and total disability of the Participant within the meaning of Section 22(e)(3) of the Code.</w:t>
      </w:r>
    </w:p>
    <w:p>
      <w:pPr>
        <w:spacing w:after="0" w:line="117" w:lineRule="exact"/>
        <w:rPr>
          <w:rFonts w:ascii="Times New Roman" w:cs="Times New Roman" w:eastAsia="Times New Roman" w:hAnsi="Times New Roman"/>
          <w:sz w:val="18"/>
          <w:szCs w:val="18"/>
          <w:color w:val="auto"/>
        </w:rPr>
      </w:pPr>
    </w:p>
    <w:p>
      <w:pPr>
        <w:ind w:left="580" w:right="20" w:hanging="396"/>
        <w:spacing w:after="0" w:line="262"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treated as an employee (including an officer or a Director who is also treated as an employee)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records of a Participating Company and, with respect to any Incentive Stock Option granted to such person, who is an employee for purposes of Section 422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the Plan.</w:t>
      </w:r>
    </w:p>
    <w:p>
      <w:pPr>
        <w:spacing w:after="0" w:line="68"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117" w:lineRule="exact"/>
        <w:rPr>
          <w:rFonts w:ascii="Times New Roman" w:cs="Times New Roman" w:eastAsia="Times New Roman" w:hAnsi="Times New Roman"/>
          <w:sz w:val="18"/>
          <w:szCs w:val="18"/>
          <w:color w:val="auto"/>
        </w:rPr>
      </w:pPr>
    </w:p>
    <w:p>
      <w:pPr>
        <w:jc w:val="both"/>
        <w:ind w:left="580" w:right="60" w:hanging="396"/>
        <w:spacing w:after="0" w:line="268"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as of any date, the value of a share of Stock or other property as determined by the CHC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discretion, or by the Company, in its discretion, if such determination is expressly allocated to the Company herein, subject to the following:</w:t>
      </w:r>
    </w:p>
    <w:p>
      <w:pPr>
        <w:spacing w:after="0" w:line="66" w:lineRule="exact"/>
        <w:rPr>
          <w:rFonts w:ascii="Times New Roman" w:cs="Times New Roman" w:eastAsia="Times New Roman" w:hAnsi="Times New Roman"/>
          <w:sz w:val="18"/>
          <w:szCs w:val="18"/>
          <w:color w:val="auto"/>
        </w:rPr>
      </w:pPr>
    </w:p>
    <w:p>
      <w:pPr>
        <w:ind w:left="1160" w:right="20" w:hanging="571"/>
        <w:spacing w:after="0" w:line="254" w:lineRule="auto"/>
        <w:tabs>
          <w:tab w:leader="none" w:pos="11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CHC Committee, in its discretion.</w:t>
      </w:r>
    </w:p>
    <w:p>
      <w:pPr>
        <w:spacing w:after="0" w:line="83" w:lineRule="exact"/>
        <w:rPr>
          <w:rFonts w:ascii="Times New Roman" w:cs="Times New Roman" w:eastAsia="Times New Roman" w:hAnsi="Times New Roman"/>
          <w:sz w:val="18"/>
          <w:szCs w:val="18"/>
          <w:color w:val="auto"/>
        </w:rPr>
      </w:pPr>
    </w:p>
    <w:p>
      <w:pPr>
        <w:ind w:left="1160" w:hanging="571"/>
        <w:spacing w:after="0" w:line="261" w:lineRule="auto"/>
        <w:tabs>
          <w:tab w:leader="none" w:pos="11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on a national or regional securities exchange or market system, the Fair Market Value of a share of Stock shall be as determined by the CHC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7" w:lineRule="exact"/>
        <w:rPr>
          <w:rFonts w:ascii="Times New Roman" w:cs="Times New Roman" w:eastAsia="Times New Roman" w:hAnsi="Times New Roman"/>
          <w:sz w:val="18"/>
          <w:szCs w:val="18"/>
          <w:color w:val="auto"/>
        </w:rPr>
      </w:pPr>
    </w:p>
    <w:p>
      <w:pPr>
        <w:ind w:left="580" w:right="80" w:hanging="396"/>
        <w:spacing w:after="0" w:line="262" w:lineRule="auto"/>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 resignation occurring within ninety (90) days following a Change in Control; (ii) the relocation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in the Participant’s responsibilities.</w:t>
      </w:r>
    </w:p>
    <w:p>
      <w:pPr>
        <w:spacing w:after="0" w:line="3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51" w:right="359" w:bottom="1440" w:gutter="0" w:footer="0" w:header="0"/>
        </w:sectPr>
      </w:pPr>
    </w:p>
    <w:bookmarkStart w:id="50" w:name="page51"/>
    <w:bookmarkEnd w:id="50"/>
    <w:p>
      <w:pPr>
        <w:ind w:left="580" w:right="540" w:hanging="396"/>
        <w:spacing w:after="0" w:line="286" w:lineRule="auto"/>
        <w:tabs>
          <w:tab w:leader="none" w:pos="5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Option Agreement), and which qualifies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within the meaning of Section 422(b) of the Code.</w:t>
      </w:r>
    </w:p>
    <w:p>
      <w:pPr>
        <w:spacing w:after="0" w:line="46" w:lineRule="exact"/>
        <w:rPr>
          <w:rFonts w:ascii="Times New Roman" w:cs="Times New Roman" w:eastAsia="Times New Roman" w:hAnsi="Times New Roman"/>
          <w:sz w:val="18"/>
          <w:szCs w:val="18"/>
          <w:color w:val="auto"/>
        </w:rPr>
      </w:pPr>
    </w:p>
    <w:p>
      <w:pPr>
        <w:ind w:left="580" w:right="80" w:hanging="396"/>
        <w:spacing w:after="0" w:line="286" w:lineRule="auto"/>
        <w:tabs>
          <w:tab w:leader="none" w:pos="5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or a Director of the Company or any other person whose transactions in Stock are subject to Section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w:t>
      </w:r>
    </w:p>
    <w:p>
      <w:pPr>
        <w:spacing w:after="0" w:line="46"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who is not an active Employee of the Company or any Subsidiary.</w:t>
      </w:r>
    </w:p>
    <w:p>
      <w:pPr>
        <w:spacing w:after="0" w:line="117" w:lineRule="exact"/>
        <w:rPr>
          <w:rFonts w:ascii="Times New Roman" w:cs="Times New Roman" w:eastAsia="Times New Roman" w:hAnsi="Times New Roman"/>
          <w:sz w:val="18"/>
          <w:szCs w:val="18"/>
          <w:color w:val="auto"/>
        </w:rPr>
      </w:pPr>
    </w:p>
    <w:p>
      <w:pPr>
        <w:ind w:left="580" w:right="520" w:hanging="396"/>
        <w:spacing w:after="0" w:line="286" w:lineRule="auto"/>
        <w:tabs>
          <w:tab w:leader="none" w:pos="5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Option Agreement), or which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an Incentive Stock Option.</w:t>
      </w:r>
    </w:p>
    <w:p>
      <w:pPr>
        <w:spacing w:after="0" w:line="46"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granted to an eligible person under Section 14 hereof.</w:t>
      </w:r>
    </w:p>
    <w:p>
      <w:pPr>
        <w:spacing w:after="0" w:line="117" w:lineRule="exact"/>
        <w:rPr>
          <w:rFonts w:ascii="Times New Roman" w:cs="Times New Roman" w:eastAsia="Times New Roman" w:hAnsi="Times New Roman"/>
          <w:sz w:val="18"/>
          <w:szCs w:val="18"/>
          <w:color w:val="auto"/>
        </w:rPr>
      </w:pPr>
    </w:p>
    <w:p>
      <w:pPr>
        <w:ind w:left="580" w:hanging="396"/>
        <w:spacing w:after="0" w:line="286"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purchase Stock (subject to adjustment as provided in Section 4.3) pursuant to the terms and conditions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An Option may be either an Incentive Stock Option or a Non-statutory Stock Option.</w:t>
      </w:r>
    </w:p>
    <w:p>
      <w:pPr>
        <w:spacing w:after="0" w:line="46" w:lineRule="exact"/>
        <w:rPr>
          <w:rFonts w:ascii="Times New Roman" w:cs="Times New Roman" w:eastAsia="Times New Roman" w:hAnsi="Times New Roman"/>
          <w:sz w:val="18"/>
          <w:szCs w:val="18"/>
          <w:color w:val="auto"/>
        </w:rPr>
      </w:pPr>
    </w:p>
    <w:p>
      <w:pPr>
        <w:ind w:left="580" w:right="60" w:hanging="396"/>
        <w:spacing w:after="0" w:line="262" w:lineRule="auto"/>
        <w:tabs>
          <w:tab w:leader="none" w:pos="5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Agreement setting forth the terms, conditions, and restrictions of an Option granted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CHC Committee may approve from time to time.</w:t>
      </w:r>
    </w:p>
    <w:p>
      <w:pPr>
        <w:spacing w:after="0" w:line="68"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6.4(a)(i).</w:t>
      </w:r>
    </w:p>
    <w:p>
      <w:pPr>
        <w:spacing w:after="0" w:line="117" w:lineRule="exact"/>
        <w:rPr>
          <w:sz w:val="20"/>
          <w:szCs w:val="20"/>
          <w:color w:val="auto"/>
        </w:rPr>
      </w:pPr>
    </w:p>
    <w:p>
      <w:pPr>
        <w:ind w:left="580" w:hanging="396"/>
        <w:spacing w:after="0"/>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given to it in Section 17.1.</w:t>
      </w:r>
    </w:p>
    <w:p>
      <w:pPr>
        <w:spacing w:after="0" w:line="117" w:lineRule="exact"/>
        <w:rPr>
          <w:sz w:val="20"/>
          <w:szCs w:val="20"/>
          <w:color w:val="auto"/>
        </w:rPr>
      </w:pPr>
    </w:p>
    <w:p>
      <w:pPr>
        <w:ind w:left="580" w:right="60" w:hanging="399"/>
        <w:spacing w:after="0" w:line="259" w:lineRule="auto"/>
        <w:tabs>
          <w:tab w:leader="none" w:pos="56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“parent corporation” as defined in Section 424(e) of the Code and any successor provisions; (ii)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71"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person who has been granted one or more awards pursuant to the terms and conditions of the Plan.</w:t>
      </w:r>
    </w:p>
    <w:p>
      <w:pPr>
        <w:spacing w:after="0" w:line="117"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ad.</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Participating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Company or any Parent or Subsidiary.</w:t>
      </w:r>
    </w:p>
    <w:p>
      <w:pPr>
        <w:spacing w:after="0" w:line="117" w:lineRule="exact"/>
        <w:rPr>
          <w:sz w:val="20"/>
          <w:szCs w:val="20"/>
          <w:color w:val="auto"/>
        </w:rPr>
      </w:pPr>
    </w:p>
    <w:p>
      <w:pPr>
        <w:ind w:left="580" w:right="700" w:hanging="404"/>
        <w:spacing w:after="0" w:line="286" w:lineRule="auto"/>
        <w:tabs>
          <w:tab w:leader="none" w:pos="560" w:val="left"/>
        </w:tabs>
        <w:rPr>
          <w:sz w:val="20"/>
          <w:szCs w:val="20"/>
          <w:color w:val="auto"/>
        </w:rPr>
      </w:pPr>
      <w:r>
        <w:rPr>
          <w:rFonts w:ascii="Times New Roman" w:cs="Times New Roman" w:eastAsia="Times New Roman" w:hAnsi="Times New Roman"/>
          <w:sz w:val="18"/>
          <w:szCs w:val="18"/>
          <w:color w:val="auto"/>
        </w:rPr>
        <w:t>ae.</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at any point in time, all corporations or other entities collectively which are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Companies.</w:t>
      </w:r>
    </w:p>
    <w:p>
      <w:pPr>
        <w:spacing w:after="0" w:line="47" w:lineRule="exact"/>
        <w:rPr>
          <w:sz w:val="20"/>
          <w:szCs w:val="20"/>
          <w:color w:val="auto"/>
        </w:rPr>
      </w:pPr>
    </w:p>
    <w:p>
      <w:pPr>
        <w:ind w:left="580" w:right="160" w:hanging="404"/>
        <w:spacing w:after="0" w:line="262" w:lineRule="auto"/>
        <w:tabs>
          <w:tab w:leader="none" w:pos="560" w:val="left"/>
        </w:tabs>
        <w:rPr>
          <w:sz w:val="20"/>
          <w:szCs w:val="20"/>
          <w:color w:val="auto"/>
        </w:rPr>
      </w:pPr>
      <w:r>
        <w:rPr>
          <w:rFonts w:ascii="Times New Roman" w:cs="Times New Roman" w:eastAsia="Times New Roman" w:hAnsi="Times New Roman"/>
          <w:sz w:val="18"/>
          <w:szCs w:val="18"/>
          <w:color w:val="auto"/>
        </w:rPr>
        <w:t>af.</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Exception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performance-based exception from the tax deductibility limitation imposed by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68" w:lineRule="exact"/>
        <w:rPr>
          <w:sz w:val="20"/>
          <w:szCs w:val="20"/>
          <w:color w:val="auto"/>
        </w:rPr>
      </w:pPr>
    </w:p>
    <w:p>
      <w:pPr>
        <w:ind w:left="580" w:right="120" w:hanging="399"/>
        <w:spacing w:after="0" w:line="286" w:lineRule="auto"/>
        <w:tabs>
          <w:tab w:leader="none" w:pos="560" w:val="left"/>
        </w:tabs>
        <w:rPr>
          <w:sz w:val="20"/>
          <w:szCs w:val="20"/>
          <w:color w:val="auto"/>
        </w:rPr>
      </w:pPr>
      <w:r>
        <w:rPr>
          <w:rFonts w:ascii="Times New Roman" w:cs="Times New Roman" w:eastAsia="Times New Roman" w:hAnsi="Times New Roman"/>
          <w:sz w:val="18"/>
          <w:szCs w:val="18"/>
          <w:color w:val="auto"/>
        </w:rPr>
        <w:t>ag.</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each calendar year, unless otherwise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w:t>
      </w:r>
    </w:p>
    <w:p>
      <w:pPr>
        <w:spacing w:after="0" w:line="47" w:lineRule="exact"/>
        <w:rPr>
          <w:sz w:val="20"/>
          <w:szCs w:val="20"/>
          <w:color w:val="auto"/>
        </w:rPr>
      </w:pPr>
    </w:p>
    <w:p>
      <w:pPr>
        <w:ind w:left="580" w:right="400" w:hanging="399"/>
        <w:spacing w:after="0" w:line="268" w:lineRule="auto"/>
        <w:tabs>
          <w:tab w:leader="none" w:pos="56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or Performance-Based Award, one or more targets,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or levels of attainment required to be achieved in terms of the specified Performance Measure(s) during a fiscal year or specified performance period.</w:t>
      </w:r>
    </w:p>
    <w:p>
      <w:pPr>
        <w:spacing w:after="0" w:line="63"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aj.</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ind w:left="580" w:right="180" w:hanging="399"/>
        <w:spacing w:after="0" w:line="259" w:lineRule="auto"/>
        <w:tabs>
          <w:tab w:leader="none" w:pos="560" w:val="left"/>
        </w:tabs>
        <w:rPr>
          <w:sz w:val="20"/>
          <w:szCs w:val="20"/>
          <w:color w:val="auto"/>
        </w:rPr>
      </w:pPr>
      <w:r>
        <w:rPr>
          <w:rFonts w:ascii="Times New Roman" w:cs="Times New Roman" w:eastAsia="Times New Roman" w:hAnsi="Times New Roman"/>
          <w:sz w:val="18"/>
          <w:szCs w:val="18"/>
          <w:color w:val="auto"/>
        </w:rPr>
        <w:t>ak.</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a Participant’s immediate family, trusts for the exclusive benefit of such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71"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al.</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49" w:right="359" w:bottom="1440" w:gutter="0" w:footer="0" w:header="0"/>
        </w:sectPr>
      </w:pPr>
    </w:p>
    <w:bookmarkStart w:id="51" w:name="page52"/>
    <w:bookmarkEnd w:id="51"/>
    <w:p>
      <w:pPr>
        <w:ind w:left="1700" w:right="180" w:hanging="404"/>
        <w:spacing w:after="0" w:line="268" w:lineRule="auto"/>
        <w:rPr>
          <w:sz w:val="20"/>
          <w:szCs w:val="20"/>
          <w:color w:val="auto"/>
        </w:rPr>
      </w:pPr>
      <w:r>
        <w:rPr>
          <w:rFonts w:ascii="Times New Roman" w:cs="Times New Roman" w:eastAsia="Times New Roman" w:hAnsi="Times New Roman"/>
          <w:sz w:val="18"/>
          <w:szCs w:val="18"/>
          <w:color w:val="auto"/>
        </w:rPr>
        <w:t>am. “</w:t>
      </w:r>
      <w:r>
        <w:rPr>
          <w:rFonts w:ascii="Times New Roman" w:cs="Times New Roman" w:eastAsia="Times New Roman" w:hAnsi="Times New Roman"/>
          <w:sz w:val="18"/>
          <w:szCs w:val="18"/>
          <w:b w:val="1"/>
          <w:bCs w:val="1"/>
          <w:i w:val="1"/>
          <w:iCs w:val="1"/>
          <w:color w:val="auto"/>
        </w:rPr>
        <w:t>Prior Section 162(m) of the Code</w:t>
      </w:r>
      <w:r>
        <w:rPr>
          <w:rFonts w:ascii="Times New Roman" w:cs="Times New Roman" w:eastAsia="Times New Roman" w:hAnsi="Times New Roman"/>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63"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an.</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9.1.</w:t>
      </w:r>
    </w:p>
    <w:p>
      <w:pPr>
        <w:spacing w:after="0" w:line="11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ao.</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award of Stock made under Section 9, which is subject to vesting provisions.</w:t>
      </w:r>
    </w:p>
    <w:p>
      <w:pPr>
        <w:spacing w:after="0" w:line="117" w:lineRule="exact"/>
        <w:rPr>
          <w:sz w:val="20"/>
          <w:szCs w:val="20"/>
          <w:color w:val="auto"/>
        </w:rPr>
      </w:pPr>
    </w:p>
    <w:p>
      <w:pPr>
        <w:ind w:left="1700" w:right="860" w:hanging="399"/>
        <w:spacing w:after="0" w:line="286" w:lineRule="auto"/>
        <w:tabs>
          <w:tab w:leader="none" w:pos="1680" w:val="left"/>
        </w:tabs>
        <w:rPr>
          <w:sz w:val="20"/>
          <w:szCs w:val="20"/>
          <w:color w:val="auto"/>
        </w:rPr>
      </w:pPr>
      <w:r>
        <w:rPr>
          <w:rFonts w:ascii="Times New Roman" w:cs="Times New Roman" w:eastAsia="Times New Roman" w:hAnsi="Times New Roman"/>
          <w:sz w:val="18"/>
          <w:szCs w:val="18"/>
          <w:color w:val="auto"/>
        </w:rPr>
        <w:t>ap.</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granted pursuant to Section 10 and shall be evidenced by a bookkeeping 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equivalent of one share of Stock.</w:t>
      </w:r>
    </w:p>
    <w:p>
      <w:pPr>
        <w:spacing w:after="0" w:line="4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aq.</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Rule 16b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Rule 16b-3 under the Exchange Act, as amended from time to time, or any successor rule or regulation.</w:t>
      </w:r>
    </w:p>
    <w:p>
      <w:pPr>
        <w:spacing w:after="0" w:line="11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ar.</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117" w:lineRule="exact"/>
        <w:rPr>
          <w:sz w:val="20"/>
          <w:szCs w:val="20"/>
          <w:color w:val="auto"/>
        </w:rPr>
      </w:pPr>
    </w:p>
    <w:p>
      <w:pPr>
        <w:ind w:left="1700" w:right="40" w:hanging="404"/>
        <w:spacing w:after="0" w:line="253" w:lineRule="auto"/>
        <w:tabs>
          <w:tab w:leader="none" w:pos="1680" w:val="left"/>
        </w:tabs>
        <w:rPr>
          <w:sz w:val="20"/>
          <w:szCs w:val="20"/>
          <w:color w:val="auto"/>
        </w:rPr>
      </w:pP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Participant’s employment or service with the Participating Company Group, whether in the capacity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9" w:lineRule="exact"/>
        <w:rPr>
          <w:sz w:val="20"/>
          <w:szCs w:val="20"/>
          <w:color w:val="auto"/>
        </w:rPr>
      </w:pPr>
    </w:p>
    <w:p>
      <w:pPr>
        <w:jc w:val="both"/>
        <w:ind w:left="1700" w:right="100" w:hanging="399"/>
        <w:spacing w:after="0" w:line="268" w:lineRule="auto"/>
        <w:tabs>
          <w:tab w:leader="none" w:pos="1680" w:val="left"/>
        </w:tabs>
        <w:rPr>
          <w:sz w:val="20"/>
          <w:szCs w:val="20"/>
          <w:color w:val="auto"/>
        </w:rPr>
      </w:pP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pursuant to Section 7 to receive a payment equal to the excess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of a specified number of shares of Stock on the date the SAR is exercised over the grant price of the SAR, as set forth in the applicable Award Agreement.</w:t>
      </w:r>
    </w:p>
    <w:p>
      <w:pPr>
        <w:spacing w:after="0" w:line="63"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au.</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common stock of the Company, as adjusted from time to time in accordance with Section 4.3.</w:t>
      </w:r>
    </w:p>
    <w:p>
      <w:pPr>
        <w:spacing w:after="0" w:line="117" w:lineRule="exact"/>
        <w:rPr>
          <w:sz w:val="20"/>
          <w:szCs w:val="20"/>
          <w:color w:val="auto"/>
        </w:rPr>
      </w:pPr>
    </w:p>
    <w:p>
      <w:pPr>
        <w:ind w:left="1700" w:right="40" w:hanging="404"/>
        <w:spacing w:after="0" w:line="257" w:lineRule="auto"/>
        <w:tabs>
          <w:tab w:leader="none" w:pos="1680" w:val="left"/>
        </w:tabs>
        <w:rPr>
          <w:sz w:val="20"/>
          <w:szCs w:val="20"/>
          <w:color w:val="auto"/>
        </w:rPr>
      </w:pPr>
      <w:r>
        <w:rPr>
          <w:rFonts w:ascii="Times New Roman" w:cs="Times New Roman" w:eastAsia="Times New Roman" w:hAnsi="Times New Roman"/>
          <w:sz w:val="18"/>
          <w:szCs w:val="18"/>
          <w:color w:val="auto"/>
        </w:rPr>
        <w:t>av.</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“subsidiary corporation” of the Company, as defined in Section 424(f) of the Code and any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74" w:lineRule="exact"/>
        <w:rPr>
          <w:sz w:val="20"/>
          <w:szCs w:val="20"/>
          <w:color w:val="auto"/>
        </w:rPr>
      </w:pPr>
    </w:p>
    <w:p>
      <w:pPr>
        <w:ind w:left="1700" w:hanging="404"/>
        <w:spacing w:after="0" w:line="268" w:lineRule="auto"/>
        <w:tabs>
          <w:tab w:leader="none" w:pos="1680" w:val="left"/>
        </w:tabs>
        <w:rPr>
          <w:sz w:val="20"/>
          <w:szCs w:val="20"/>
          <w:color w:val="auto"/>
        </w:rPr>
      </w:pPr>
      <w:r>
        <w:rPr>
          <w:rFonts w:ascii="Times New Roman" w:cs="Times New Roman" w:eastAsia="Times New Roman" w:hAnsi="Times New Roman"/>
          <w:sz w:val="18"/>
          <w:szCs w:val="18"/>
          <w:color w:val="auto"/>
        </w:rPr>
        <w:t>aw.</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Owner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 who, at the time an Option is granted to the Participant, owns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possessing more than 10 percent (10%) of the total combined voting power of all classes of stock of a Participating Company within the meaning of Section 422(b)(6) of the Code.</w:t>
      </w:r>
    </w:p>
    <w:p>
      <w:pPr>
        <w:spacing w:after="0" w:line="63" w:lineRule="exact"/>
        <w:rPr>
          <w:sz w:val="20"/>
          <w:szCs w:val="20"/>
          <w:color w:val="auto"/>
        </w:rPr>
      </w:pPr>
    </w:p>
    <w:p>
      <w:pPr>
        <w:ind w:left="1300" w:right="20" w:hanging="644"/>
        <w:spacing w:after="0" w:line="268" w:lineRule="auto"/>
        <w:tabs>
          <w:tab w:leader="none" w:pos="96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20" w:hanging="644"/>
        <w:spacing w:after="0" w:line="268"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Unless the Board determines otherwise, the Plan shall be administered by the CHC Committee. All questions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the Plan or of any Award shall be determined by the CHC Committee, and such determinations shall be final and binding upon all persons having an interest in the Plan.</w:t>
      </w:r>
    </w:p>
    <w:p>
      <w:pPr>
        <w:spacing w:after="0" w:line="62" w:lineRule="exact"/>
        <w:rPr>
          <w:rFonts w:ascii="Times New Roman" w:cs="Times New Roman" w:eastAsia="Times New Roman" w:hAnsi="Times New Roman"/>
          <w:sz w:val="18"/>
          <w:szCs w:val="18"/>
          <w:color w:val="auto"/>
        </w:rPr>
      </w:pPr>
    </w:p>
    <w:p>
      <w:pPr>
        <w:ind w:left="1300" w:right="180" w:hanging="644"/>
        <w:spacing w:after="0" w:line="28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of Officers. </w:t>
      </w:r>
      <w:r>
        <w:rPr>
          <w:rFonts w:ascii="Times New Roman" w:cs="Times New Roman" w:eastAsia="Times New Roman" w:hAnsi="Times New Roman"/>
          <w:sz w:val="18"/>
          <w:szCs w:val="18"/>
          <w:color w:val="auto"/>
        </w:rPr>
        <w:t>Any officer of a Participating Company shall have the authority to act on behalf of the Company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matter, right, obligation, determination, or election which is the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ind w:left="644" w:right="260"/>
        <w:spacing w:after="0" w:line="282" w:lineRule="auto"/>
        <w:rPr>
          <w:sz w:val="20"/>
          <w:szCs w:val="20"/>
          <w:color w:val="auto"/>
        </w:rPr>
      </w:pPr>
      <w:r>
        <w:rPr>
          <w:rFonts w:ascii="Times New Roman" w:cs="Times New Roman" w:eastAsia="Times New Roman" w:hAnsi="Times New Roman"/>
          <w:sz w:val="18"/>
          <w:szCs w:val="18"/>
          <w:color w:val="auto"/>
        </w:rPr>
        <w:t>responsibility of, or which is allocated, to the Company herein, provided the officer has apparent authority with respect to such matter, right, obligation, determination, or election.</w:t>
      </w:r>
    </w:p>
    <w:p>
      <w:pPr>
        <w:spacing w:after="0" w:line="50" w:lineRule="exact"/>
        <w:rPr>
          <w:sz w:val="20"/>
          <w:szCs w:val="20"/>
          <w:color w:val="auto"/>
        </w:rPr>
      </w:pPr>
    </w:p>
    <w:p>
      <w:pPr>
        <w:ind w:left="644" w:right="40"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w:t>
      </w:r>
      <w:r>
        <w:rPr>
          <w:rFonts w:ascii="Times New Roman" w:cs="Times New Roman" w:eastAsia="Times New Roman" w:hAnsi="Times New Roman"/>
          <w:sz w:val="18"/>
          <w:szCs w:val="18"/>
          <w:color w:val="auto"/>
        </w:rPr>
        <w:t>In addition to any other powers set forth in the Plan and subject to the provisions of the Plan, the CHC Committee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and final power and authority, in its discretion to:</w:t>
      </w:r>
    </w:p>
    <w:p>
      <w:pPr>
        <w:spacing w:after="0" w:line="50" w:lineRule="exact"/>
        <w:rPr>
          <w:rFonts w:ascii="Times New Roman" w:cs="Times New Roman" w:eastAsia="Times New Roman" w:hAnsi="Times New Roman"/>
          <w:sz w:val="18"/>
          <w:szCs w:val="18"/>
          <w:color w:val="auto"/>
        </w:rPr>
      </w:pPr>
    </w:p>
    <w:p>
      <w:pPr>
        <w:ind w:left="1044" w:right="80" w:hanging="396"/>
        <w:spacing w:after="0" w:line="282" w:lineRule="auto"/>
        <w:tabs>
          <w:tab w:leader="none" w:pos="103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persons to whom, and the time or times at which, Awards shall be granted and, if applicable, the number of shares of Stock to be subject thereto;</w:t>
      </w:r>
    </w:p>
    <w:p>
      <w:pPr>
        <w:spacing w:after="0" w:line="53"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Options as Incentive Stock Options or Non-statutory Stock Options;</w:t>
      </w:r>
    </w:p>
    <w:p>
      <w:pPr>
        <w:spacing w:after="0" w:line="117"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shares of Stock or other property;</w:t>
      </w:r>
    </w:p>
    <w:p>
      <w:pPr>
        <w:spacing w:after="0" w:line="117" w:lineRule="exact"/>
        <w:rPr>
          <w:rFonts w:ascii="Times New Roman" w:cs="Times New Roman" w:eastAsia="Times New Roman" w:hAnsi="Times New Roman"/>
          <w:sz w:val="18"/>
          <w:szCs w:val="18"/>
          <w:color w:val="auto"/>
        </w:rPr>
      </w:pPr>
    </w:p>
    <w:p>
      <w:pPr>
        <w:ind w:left="1044" w:right="80" w:hanging="396"/>
        <w:spacing w:after="0" w:line="254" w:lineRule="auto"/>
        <w:tabs>
          <w:tab w:leader="none" w:pos="10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83"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one or more forms of Award Agreement or Option Agreement;</w:t>
      </w:r>
    </w:p>
    <w:p>
      <w:pPr>
        <w:spacing w:after="0" w:line="117" w:lineRule="exact"/>
        <w:rPr>
          <w:rFonts w:ascii="Times New Roman" w:cs="Times New Roman" w:eastAsia="Times New Roman" w:hAnsi="Times New Roman"/>
          <w:sz w:val="18"/>
          <w:szCs w:val="18"/>
          <w:color w:val="auto"/>
        </w:rPr>
      </w:pPr>
    </w:p>
    <w:p>
      <w:pPr>
        <w:ind w:left="1044" w:right="200" w:hanging="396"/>
        <w:spacing w:after="0" w:line="261" w:lineRule="auto"/>
        <w:tabs>
          <w:tab w:leader="none" w:pos="104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extend, cancel, or renew any Award, or to waive any restrictions or conditions applicable to any Award or any shares of Stock acquired upon the exercise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in this Plan to the contrary:</w:t>
      </w:r>
    </w:p>
    <w:p>
      <w:pPr>
        <w:ind w:left="104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CHC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CHC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 (E) take any other action with respect to an Option or SAR that would be treated as a “repricing” under generally accepted accounting principles;</w:t>
      </w:r>
    </w:p>
    <w:p>
      <w:pPr>
        <w:spacing w:after="0" w:line="85" w:lineRule="exact"/>
        <w:rPr>
          <w:rFonts w:ascii="Times New Roman" w:cs="Times New Roman" w:eastAsia="Times New Roman" w:hAnsi="Times New Roman"/>
          <w:sz w:val="18"/>
          <w:szCs w:val="18"/>
          <w:color w:val="auto"/>
        </w:rPr>
      </w:pPr>
    </w:p>
    <w:p>
      <w:pPr>
        <w:ind w:left="1044" w:right="40" w:hanging="396"/>
        <w:spacing w:after="0" w:line="282" w:lineRule="auto"/>
        <w:tabs>
          <w:tab w:leader="none" w:pos="10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53" w:lineRule="exact"/>
        <w:rPr>
          <w:rFonts w:ascii="Times New Roman" w:cs="Times New Roman" w:eastAsia="Times New Roman" w:hAnsi="Times New Roman"/>
          <w:sz w:val="18"/>
          <w:szCs w:val="18"/>
          <w:color w:val="auto"/>
        </w:rPr>
      </w:pPr>
    </w:p>
    <w:p>
      <w:pPr>
        <w:jc w:val="both"/>
        <w:ind w:left="1044" w:right="220" w:hanging="396"/>
        <w:spacing w:after="0" w:line="266" w:lineRule="auto"/>
        <w:tabs>
          <w:tab w:leader="none" w:pos="10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or rescind rules, guidelines, and policies relating to the Plan, or to adopt supplements to, or alternative versions of, the Plan, including, without limitation, as the CHC Committee deems necessary or desirable to comply with the laws of, or to accommodate the tax policy or custom of, foreign jurisdictions whose citizens may be granted Awards;</w:t>
      </w:r>
    </w:p>
    <w:p>
      <w:pPr>
        <w:spacing w:after="0" w:line="67" w:lineRule="exact"/>
        <w:rPr>
          <w:rFonts w:ascii="Times New Roman" w:cs="Times New Roman" w:eastAsia="Times New Roman" w:hAnsi="Times New Roman"/>
          <w:sz w:val="18"/>
          <w:szCs w:val="18"/>
          <w:color w:val="auto"/>
        </w:rPr>
      </w:pPr>
    </w:p>
    <w:p>
      <w:pPr>
        <w:ind w:left="1044" w:right="80" w:hanging="396"/>
        <w:spacing w:after="0" w:line="266" w:lineRule="auto"/>
        <w:tabs>
          <w:tab w:leader="none" w:pos="10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any Award Agreement, or Option Agreement and to make all other determinations and take such other actions with respect to the Plan or any Award as the CHC Committee may deem advisable to the extent not inconsistent with the provisions of the Plan or applicable law; and</w:t>
      </w:r>
    </w:p>
    <w:p>
      <w:pPr>
        <w:spacing w:after="0" w:line="67" w:lineRule="exact"/>
        <w:rPr>
          <w:rFonts w:ascii="Times New Roman" w:cs="Times New Roman" w:eastAsia="Times New Roman" w:hAnsi="Times New Roman"/>
          <w:sz w:val="18"/>
          <w:szCs w:val="18"/>
          <w:color w:val="auto"/>
        </w:rPr>
      </w:pPr>
    </w:p>
    <w:p>
      <w:pPr>
        <w:ind w:left="1044" w:right="160" w:hanging="396"/>
        <w:spacing w:after="0" w:line="266" w:lineRule="auto"/>
        <w:tabs>
          <w:tab w:leader="none" w:pos="10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upon an Employee’s termination of Service on account of a Disability, the circumstances of such Disability and whether the Employee’s Award should be amended to provide that it is fully vested, if the CHC Committee in its sole discretion considers such action in the best interest of the Company and the Employee.</w:t>
      </w:r>
    </w:p>
    <w:p>
      <w:pPr>
        <w:spacing w:after="0" w:line="63" w:lineRule="exact"/>
        <w:rPr>
          <w:rFonts w:ascii="Times New Roman" w:cs="Times New Roman" w:eastAsia="Times New Roman" w:hAnsi="Times New Roman"/>
          <w:sz w:val="18"/>
          <w:szCs w:val="18"/>
          <w:color w:val="auto"/>
        </w:rPr>
      </w:pPr>
    </w:p>
    <w:p>
      <w:pPr>
        <w:ind w:left="644" w:hanging="644"/>
        <w:spacing w:after="0" w:line="268" w:lineRule="auto"/>
        <w:tabs>
          <w:tab w:leader="none" w:pos="3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with Respect to Insiders. </w:t>
      </w:r>
      <w:r>
        <w:rPr>
          <w:rFonts w:ascii="Times New Roman" w:cs="Times New Roman" w:eastAsia="Times New Roman" w:hAnsi="Times New Roman"/>
          <w:sz w:val="18"/>
          <w:szCs w:val="18"/>
          <w:color w:val="auto"/>
        </w:rPr>
        <w:t>With respect to participation by Insiders in the Plan, at any time that any class of equity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registered pursuant to Section 12 of the Exchange Act, the Plan shall be administered in compliance with the requirements, if any, of Rule 16b-3.</w:t>
      </w:r>
    </w:p>
    <w:p>
      <w:pPr>
        <w:spacing w:after="0" w:line="62" w:lineRule="exact"/>
        <w:rPr>
          <w:rFonts w:ascii="Times New Roman" w:cs="Times New Roman" w:eastAsia="Times New Roman" w:hAnsi="Times New Roman"/>
          <w:sz w:val="18"/>
          <w:szCs w:val="18"/>
          <w:color w:val="auto"/>
        </w:rPr>
      </w:pPr>
    </w:p>
    <w:p>
      <w:pPr>
        <w:ind w:left="644" w:right="100" w:hanging="644"/>
        <w:spacing w:after="0" w:line="268" w:lineRule="auto"/>
        <w:tabs>
          <w:tab w:leader="none" w:pos="3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In addition to such other rights of indemnification as they may have as members of the CHC Committee, or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or employees of the Participating Company Group, members of the CHC Committee or Board and any officers or employees of the Participating Company Group to whom</w:t>
      </w:r>
    </w:p>
    <w:p>
      <w:pPr>
        <w:spacing w:after="0" w:line="3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222250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53" w:name="page54"/>
    <w:bookmarkEnd w:id="53"/>
    <w:p>
      <w:pPr>
        <w:ind w:left="1292"/>
        <w:spacing w:after="0" w:line="254" w:lineRule="auto"/>
        <w:rPr>
          <w:sz w:val="20"/>
          <w:szCs w:val="20"/>
          <w:color w:val="auto"/>
        </w:rPr>
      </w:pPr>
      <w:r>
        <w:rPr>
          <w:rFonts w:ascii="Times New Roman" w:cs="Times New Roman" w:eastAsia="Times New Roman" w:hAnsi="Times New Roman"/>
          <w:sz w:val="18"/>
          <w:szCs w:val="18"/>
          <w:color w:val="auto"/>
        </w:rPr>
        <w:t>authority to act for the CHC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76" w:lineRule="exact"/>
        <w:rPr>
          <w:sz w:val="20"/>
          <w:szCs w:val="20"/>
          <w:color w:val="auto"/>
        </w:rPr>
      </w:pPr>
    </w:p>
    <w:p>
      <w:pPr>
        <w:ind w:left="312" w:hanging="312"/>
        <w:spacing w:after="0"/>
        <w:tabs>
          <w:tab w:leader="none" w:pos="312"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40" w:hanging="644"/>
        <w:spacing w:after="0" w:line="253" w:lineRule="auto"/>
        <w:tabs>
          <w:tab w:leader="none" w:pos="12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Number of Shares Issuable. </w:t>
      </w:r>
      <w:r>
        <w:rPr>
          <w:rFonts w:ascii="Times New Roman" w:cs="Times New Roman" w:eastAsia="Times New Roman" w:hAnsi="Times New Roman"/>
          <w:sz w:val="18"/>
          <w:szCs w:val="18"/>
          <w:color w:val="auto"/>
        </w:rPr>
        <w:t>Subject to adjustment as provided in Section 4.3, the maximum aggregate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be issued under the Plan shall be 7,148,100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81" w:lineRule="exact"/>
        <w:rPr>
          <w:rFonts w:ascii="Times New Roman" w:cs="Times New Roman" w:eastAsia="Times New Roman" w:hAnsi="Times New Roman"/>
          <w:sz w:val="18"/>
          <w:szCs w:val="18"/>
          <w:color w:val="auto"/>
        </w:rPr>
      </w:pPr>
    </w:p>
    <w:p>
      <w:pPr>
        <w:ind w:left="1292" w:right="440" w:hanging="644"/>
        <w:spacing w:after="0" w:line="262" w:lineRule="auto"/>
        <w:tabs>
          <w:tab w:leader="none" w:pos="12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Limits. </w:t>
      </w:r>
      <w:r>
        <w:rPr>
          <w:rFonts w:ascii="Times New Roman" w:cs="Times New Roman" w:eastAsia="Times New Roman" w:hAnsi="Times New Roman"/>
          <w:sz w:val="18"/>
          <w:szCs w:val="18"/>
          <w:color w:val="auto"/>
        </w:rPr>
        <w:t>Subject to adjustment as provided in Section 4.3, the maximum aggregate number of shares of Stock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68"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692" w:right="20" w:hanging="396"/>
        <w:spacing w:after="0" w:line="253" w:lineRule="auto"/>
        <w:tabs>
          <w:tab w:leader="none" w:pos="168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the CHC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CHC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CHC Committee pursuant to this Section 4.3 shall be final, binding, and conclusive.</w:t>
      </w:r>
    </w:p>
    <w:p>
      <w:pPr>
        <w:spacing w:after="0" w:line="79" w:lineRule="exact"/>
        <w:rPr>
          <w:rFonts w:ascii="Times New Roman" w:cs="Times New Roman" w:eastAsia="Times New Roman" w:hAnsi="Times New Roman"/>
          <w:sz w:val="18"/>
          <w:szCs w:val="18"/>
          <w:color w:val="auto"/>
        </w:rPr>
      </w:pPr>
    </w:p>
    <w:p>
      <w:pPr>
        <w:ind w:left="1692" w:right="140" w:hanging="396"/>
        <w:spacing w:after="0" w:line="256" w:lineRule="auto"/>
        <w:tabs>
          <w:tab w:leader="none" w:pos="169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adjustments permitted under paragraph (a) above, the CHC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w:t>
      </w:r>
    </w:p>
    <w:p>
      <w:pPr>
        <w:spacing w:after="0" w:line="3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54" w:name="page55"/>
    <w:bookmarkEnd w:id="54"/>
    <w:p>
      <w:pPr>
        <w:ind w:left="1700" w:right="140"/>
        <w:spacing w:after="0" w:line="258" w:lineRule="auto"/>
        <w:rPr>
          <w:sz w:val="20"/>
          <w:szCs w:val="20"/>
          <w:color w:val="auto"/>
        </w:rPr>
      </w:pPr>
      <w:r>
        <w:rPr>
          <w:rFonts w:ascii="Times New Roman" w:cs="Times New Roman" w:eastAsia="Times New Roman" w:hAnsi="Times New Roman"/>
          <w:sz w:val="18"/>
          <w:szCs w:val="18"/>
          <w:color w:val="auto"/>
        </w:rPr>
        <w:t>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75" w:lineRule="exact"/>
        <w:rPr>
          <w:sz w:val="20"/>
          <w:szCs w:val="20"/>
          <w:color w:val="auto"/>
        </w:rPr>
      </w:pPr>
    </w:p>
    <w:p>
      <w:pPr>
        <w:jc w:val="both"/>
        <w:ind w:left="1700" w:right="260" w:hanging="396"/>
        <w:spacing w:after="0" w:line="266" w:lineRule="auto"/>
        <w:tabs>
          <w:tab w:leader="none" w:pos="169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CHC Committee as to the foregoing adjustments set forth in this Section 4.3(c), if any, shall be made in accordance with Sections 409A or 424 of the Code, to the extent applicable, and shall be conclusive and binding on Participants under the Plan.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AND OPTION LIMITATIONS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60" w:hanging="644"/>
        <w:spacing w:after="0" w:line="26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Persons Eligible for Awards. </w:t>
      </w:r>
      <w:r>
        <w:rPr>
          <w:rFonts w:ascii="Times New Roman" w:cs="Times New Roman" w:eastAsia="Times New Roman" w:hAnsi="Times New Roman"/>
          <w:sz w:val="18"/>
          <w:szCs w:val="18"/>
          <w:color w:val="auto"/>
        </w:rPr>
        <w:t>Awards may be granted pursuant to this Plan only to Employees, Consultants, and Directors.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Grant Restrictions. </w:t>
      </w:r>
      <w:r>
        <w:rPr>
          <w:rFonts w:ascii="Times New Roman" w:cs="Times New Roman" w:eastAsia="Times New Roman" w:hAnsi="Times New Roman"/>
          <w:sz w:val="18"/>
          <w:szCs w:val="18"/>
          <w:color w:val="auto"/>
        </w:rPr>
        <w:t>Any person who is not an Employee on the effective date of the grant of an Option to such person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68" w:lineRule="exact"/>
        <w:rPr>
          <w:rFonts w:ascii="Times New Roman" w:cs="Times New Roman" w:eastAsia="Times New Roman" w:hAnsi="Times New Roman"/>
          <w:sz w:val="18"/>
          <w:szCs w:val="18"/>
          <w:color w:val="auto"/>
        </w:rPr>
      </w:pPr>
    </w:p>
    <w:p>
      <w:pPr>
        <w:ind w:left="1300" w:hanging="644"/>
        <w:spacing w:after="0" w:line="270" w:lineRule="auto"/>
        <w:tabs>
          <w:tab w:leader="none" w:pos="13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Fair Market Value Limitation. </w:t>
      </w:r>
      <w:r>
        <w:rPr>
          <w:rFonts w:ascii="Times New Roman" w:cs="Times New Roman" w:eastAsia="Times New Roman" w:hAnsi="Times New Roman"/>
          <w:sz w:val="17"/>
          <w:szCs w:val="17"/>
          <w:color w:val="auto"/>
        </w:rPr>
        <w:t>To the extent that Options designated as Incentive Stock Options (granted under all stock option plans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6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TERMS AND CONDITIONS OF OPTIONS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shall be evidenced by Option Agreements specifying the number of shares of Stock covered thereby, in such form as the CHC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68"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The exercise price for each Option shall be established in the discretion of the CHC Committee; provided, however, that</w:t>
      </w:r>
    </w:p>
    <w:p>
      <w:pPr>
        <w:spacing w:after="0" w:line="31"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exercise price per share for an Option shall be not less than the Fair Market Value of a share of Stock on the effective date of grant of the Option, and (b) no Incentive Stock Option granted to a 10 Percent Owner Participant shall have an exercise price per share less than 110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7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Exercisability and Term of Options. </w:t>
      </w:r>
      <w:r>
        <w:rPr>
          <w:rFonts w:ascii="Times New Roman" w:cs="Times New Roman" w:eastAsia="Times New Roman" w:hAnsi="Times New Roman"/>
          <w:sz w:val="18"/>
          <w:szCs w:val="18"/>
          <w:color w:val="auto"/>
        </w:rPr>
        <w:t>Options shall be exercisable at such time or times, or upon such event or events,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conditions, performance criteria and restrictions as shall be determined by the CHC Committee and set forth in the Option Agreement evidencing such Option; provided, however, that (a) no Option shall be exercisable after the expiration of 10 years after the effective date of grant of such Option, (b) no Incentive Stock Option granted to a 10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ind w:left="644"/>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CHC Committee in the grant of an Option, any Option granted hereunder shall terminate 10 years after the effective date of grant of the Option, unless earlier terminated in accordance with its provisions.</w:t>
      </w:r>
    </w:p>
    <w:p>
      <w:pPr>
        <w:spacing w:after="0" w:line="50" w:lineRule="exact"/>
        <w:rPr>
          <w:sz w:val="20"/>
          <w:szCs w:val="20"/>
          <w:color w:val="auto"/>
        </w:rPr>
      </w:pPr>
    </w:p>
    <w:p>
      <w:pPr>
        <w:ind w:left="644" w:hanging="644"/>
        <w:spacing w:after="0"/>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Exercise Price.</w:t>
      </w:r>
    </w:p>
    <w:p>
      <w:pPr>
        <w:spacing w:after="0" w:line="117" w:lineRule="exact"/>
        <w:rPr>
          <w:rFonts w:ascii="Times New Roman" w:cs="Times New Roman" w:eastAsia="Times New Roman" w:hAnsi="Times New Roman"/>
          <w:sz w:val="18"/>
          <w:szCs w:val="18"/>
          <w:color w:val="auto"/>
        </w:rPr>
      </w:pPr>
    </w:p>
    <w:p>
      <w:pPr>
        <w:ind w:left="1044" w:hanging="396"/>
        <w:spacing w:after="0" w:line="253" w:lineRule="auto"/>
        <w:tabs>
          <w:tab w:leader="none" w:pos="103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Forms of Consideration Authorized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below, payment of the exercise price for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(iv) by such other consideration as may be approved by the CHC Committee from time to time to the extent permitted by applicable law, or (v) by any combination thereof. In no event shall the Company accept a promissory note in payment of the exercise price or make a loan to a Participant to enable the Participant to exercise an Option. The CHC Committee may at any time or from time to time, by approval of or by amendment to the standard forms of Option Agreement described in Section 6.6, or by other means, grant Options that do not permit all of the foregoing forms of consideration to be used in payment of the exercise price or that otherwise restrict one or more forms of consideration.</w:t>
      </w:r>
    </w:p>
    <w:p>
      <w:pPr>
        <w:spacing w:after="0" w:line="77"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Forms of Consideration.</w:t>
      </w:r>
    </w:p>
    <w:p>
      <w:pPr>
        <w:spacing w:after="0" w:line="117" w:lineRule="exact"/>
        <w:rPr>
          <w:rFonts w:ascii="Times New Roman" w:cs="Times New Roman" w:eastAsia="Times New Roman" w:hAnsi="Times New Roman"/>
          <w:sz w:val="18"/>
          <w:szCs w:val="18"/>
          <w:color w:val="auto"/>
        </w:rPr>
      </w:pPr>
    </w:p>
    <w:p>
      <w:pPr>
        <w:ind w:left="1624" w:right="20" w:hanging="571"/>
        <w:spacing w:after="0" w:line="268" w:lineRule="auto"/>
        <w:tabs>
          <w:tab w:leader="none" w:pos="1611" w:val="left"/>
        </w:tabs>
        <w:numPr>
          <w:ilvl w:val="2"/>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Tender of Stock. </w:t>
      </w:r>
      <w:r>
        <w:rPr>
          <w:rFonts w:ascii="Times New Roman" w:cs="Times New Roman" w:eastAsia="Times New Roman" w:hAnsi="Times New Roman"/>
          <w:sz w:val="18"/>
          <w:szCs w:val="18"/>
          <w:color w:val="auto"/>
        </w:rPr>
        <w:t>Notwithstanding the foregoing, an Option may not be exercised by tender to the Company or attestation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ownership of shares of Stock, to the extent such tender or attestation would constitute a violation of the provisions of any law, regulation, or agreement restricting the redemption of the Company’s stock.</w:t>
      </w:r>
    </w:p>
    <w:p>
      <w:pPr>
        <w:spacing w:after="0" w:line="62" w:lineRule="exact"/>
        <w:rPr>
          <w:rFonts w:ascii="Times New Roman" w:cs="Times New Roman" w:eastAsia="Times New Roman" w:hAnsi="Times New Roman"/>
          <w:sz w:val="18"/>
          <w:szCs w:val="18"/>
          <w:b w:val="1"/>
          <w:bCs w:val="1"/>
          <w:color w:val="auto"/>
        </w:rPr>
      </w:pPr>
    </w:p>
    <w:p>
      <w:pPr>
        <w:ind w:left="1624" w:right="60" w:hanging="571"/>
        <w:spacing w:after="0" w:line="268" w:lineRule="auto"/>
        <w:tabs>
          <w:tab w:leader="none" w:pos="162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The Company reserves, at any and all times, the right, in the Company’s sole and absolute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decline to approve, or terminate any program or procedures for the exercise of Options by means of a Cashless Exercise.</w:t>
      </w:r>
    </w:p>
    <w:p>
      <w:pPr>
        <w:spacing w:after="0" w:line="6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Service</w:t>
      </w:r>
    </w:p>
    <w:p>
      <w:pPr>
        <w:spacing w:after="0" w:line="117" w:lineRule="exact"/>
        <w:rPr>
          <w:rFonts w:ascii="Times New Roman" w:cs="Times New Roman" w:eastAsia="Times New Roman" w:hAnsi="Times New Roman"/>
          <w:sz w:val="18"/>
          <w:szCs w:val="18"/>
          <w:color w:val="auto"/>
        </w:rPr>
      </w:pPr>
    </w:p>
    <w:p>
      <w:pPr>
        <w:jc w:val="both"/>
        <w:ind w:left="1044" w:hanging="396"/>
        <w:spacing w:after="0" w:line="262" w:lineRule="auto"/>
        <w:tabs>
          <w:tab w:leader="none" w:pos="98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Exercisability</w:t>
      </w:r>
      <w:r>
        <w:rPr>
          <w:rFonts w:ascii="Times New Roman" w:cs="Times New Roman" w:eastAsia="Times New Roman" w:hAnsi="Times New Roman"/>
          <w:sz w:val="18"/>
          <w:szCs w:val="18"/>
          <w:color w:val="auto"/>
        </w:rPr>
        <w:t>. Subject to earlier termination of the Option as otherwise provided herein and unless otherwise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CHC 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68" w:lineRule="exact"/>
        <w:rPr>
          <w:rFonts w:ascii="Times New Roman" w:cs="Times New Roman" w:eastAsia="Times New Roman" w:hAnsi="Times New Roman"/>
          <w:sz w:val="18"/>
          <w:szCs w:val="18"/>
          <w:color w:val="auto"/>
        </w:rPr>
      </w:pPr>
    </w:p>
    <w:p>
      <w:pPr>
        <w:jc w:val="both"/>
        <w:ind w:left="1624" w:hanging="571"/>
        <w:spacing w:after="0" w:line="257" w:lineRule="auto"/>
        <w:tabs>
          <w:tab w:leader="none" w:pos="161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If the Participant’s Service with the Participating Company Group terminates because of the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CHC Committee, in its discretion) after the date on which the Participant’s Service terminated, but in any event no later than the date of expiration of the Option’s term as set forth in the Option Agreement evidencing such Option (the “</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w:t>
      </w:r>
    </w:p>
    <w:p>
      <w:pPr>
        <w:spacing w:after="0" w:line="74" w:lineRule="exact"/>
        <w:rPr>
          <w:rFonts w:ascii="Times New Roman" w:cs="Times New Roman" w:eastAsia="Times New Roman" w:hAnsi="Times New Roman"/>
          <w:sz w:val="18"/>
          <w:szCs w:val="18"/>
          <w:color w:val="auto"/>
        </w:rPr>
      </w:pPr>
    </w:p>
    <w:p>
      <w:pPr>
        <w:jc w:val="both"/>
        <w:ind w:left="1624" w:hanging="571"/>
        <w:spacing w:after="0" w:line="256" w:lineRule="auto"/>
        <w:tabs>
          <w:tab w:leader="none" w:pos="1620" w:val="left"/>
        </w:tabs>
        <w:numPr>
          <w:ilvl w:val="2"/>
          <w:numId w:val="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with the Participating Company Group terminates because of the death of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CHC Committee, in its discretion) after the date on which the Participant’s Service terminated, but in any event no later than the Option Expiration Date. The Participant’s Service shall be deemed to have terminated on account of death if the Participant</w:t>
      </w:r>
    </w:p>
    <w:p>
      <w:pPr>
        <w:spacing w:after="0" w:line="35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222250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56" w:name="page57"/>
    <w:bookmarkEnd w:id="56"/>
    <w:p>
      <w:pPr>
        <w:ind w:left="2280"/>
        <w:spacing w:after="0" w:line="282" w:lineRule="auto"/>
        <w:rPr>
          <w:sz w:val="20"/>
          <w:szCs w:val="20"/>
          <w:color w:val="auto"/>
        </w:rPr>
      </w:pPr>
      <w:r>
        <w:rPr>
          <w:rFonts w:ascii="Times New Roman" w:cs="Times New Roman" w:eastAsia="Times New Roman" w:hAnsi="Times New Roman"/>
          <w:sz w:val="18"/>
          <w:szCs w:val="18"/>
          <w:color w:val="auto"/>
        </w:rPr>
        <w:t>dies within three (3) months (or such other period of time as determined by the CHC Committee, in its discretion) after the Participant’s termination of Service.</w:t>
      </w:r>
    </w:p>
    <w:p>
      <w:pPr>
        <w:spacing w:after="0" w:line="50" w:lineRule="exact"/>
        <w:rPr>
          <w:sz w:val="20"/>
          <w:szCs w:val="20"/>
          <w:color w:val="auto"/>
        </w:rPr>
      </w:pPr>
    </w:p>
    <w:p>
      <w:pPr>
        <w:ind w:left="2280" w:hanging="571"/>
        <w:spacing w:after="0" w:line="286" w:lineRule="auto"/>
        <w:tabs>
          <w:tab w:leader="none" w:pos="2272"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If the Participant’s Service with the Participating Company Group is terminated for Cause, the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and cease to be exercisable immediately upon such termination of Service.</w:t>
      </w:r>
    </w:p>
    <w:p>
      <w:pPr>
        <w:spacing w:after="0" w:line="46" w:lineRule="exact"/>
        <w:rPr>
          <w:rFonts w:ascii="Times New Roman" w:cs="Times New Roman" w:eastAsia="Times New Roman" w:hAnsi="Times New Roman"/>
          <w:sz w:val="18"/>
          <w:szCs w:val="18"/>
          <w:color w:val="auto"/>
        </w:rPr>
      </w:pPr>
    </w:p>
    <w:p>
      <w:pPr>
        <w:jc w:val="both"/>
        <w:ind w:left="2280" w:hanging="571"/>
        <w:spacing w:after="0" w:line="259" w:lineRule="auto"/>
        <w:tabs>
          <w:tab w:leader="none" w:pos="2264"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Service. </w:t>
      </w:r>
      <w:r>
        <w:rPr>
          <w:rFonts w:ascii="Times New Roman" w:cs="Times New Roman" w:eastAsia="Times New Roman" w:hAnsi="Times New Roman"/>
          <w:sz w:val="18"/>
          <w:szCs w:val="18"/>
          <w:color w:val="auto"/>
        </w:rPr>
        <w:t>If the Participant’s Service with the Participating Company Group terminates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Disability, death, or Cause, the Option, to the extent unexercised and exercisable by the Participant on the date on which the Participant’s Service terminated, may be exercised by the Participant at any time prior to the expiration of three</w:t>
      </w:r>
    </w:p>
    <w:p>
      <w:pPr>
        <w:ind w:left="2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months (or such other period of time as determined by the CHC Committee, in its discretion) after the date on which the Participant’s Service terminated, but in any event no later than the Option Expiration Date.</w:t>
      </w:r>
    </w:p>
    <w:p>
      <w:pPr>
        <w:spacing w:after="0" w:line="69" w:lineRule="exact"/>
        <w:rPr>
          <w:rFonts w:ascii="Times New Roman" w:cs="Times New Roman" w:eastAsia="Times New Roman" w:hAnsi="Times New Roman"/>
          <w:sz w:val="18"/>
          <w:szCs w:val="18"/>
          <w:color w:val="auto"/>
        </w:rPr>
      </w:pPr>
    </w:p>
    <w:p>
      <w:pPr>
        <w:ind w:left="1960" w:hanging="656"/>
        <w:spacing w:after="0" w:line="262" w:lineRule="auto"/>
        <w:tabs>
          <w:tab w:leader="none" w:pos="168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if Exercise Prevented by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if the exercise of an Option within the applicable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set forth in Section 6.4(a) is prevented by the provisions of Section 20 below, the Option shall remain exercisable until three (3) months (or such longer period of time as determined by the CHC Committee, in its discretion) after the date the Participant is notified by the Company that the Option is exercisable, but in any event no later than the Option Expiration Date.</w:t>
      </w:r>
    </w:p>
    <w:p>
      <w:pPr>
        <w:spacing w:after="0" w:line="68" w:lineRule="exact"/>
        <w:rPr>
          <w:rFonts w:ascii="Times New Roman" w:cs="Times New Roman" w:eastAsia="Times New Roman" w:hAnsi="Times New Roman"/>
          <w:sz w:val="18"/>
          <w:szCs w:val="18"/>
          <w:color w:val="auto"/>
        </w:rPr>
      </w:pPr>
    </w:p>
    <w:p>
      <w:pPr>
        <w:ind w:left="1960" w:hanging="656"/>
        <w:spacing w:after="0" w:line="260" w:lineRule="auto"/>
        <w:tabs>
          <w:tab w:leader="none" w:pos="165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if Participant Subject to Section 16(b). </w:t>
      </w:r>
      <w:r>
        <w:rPr>
          <w:rFonts w:ascii="Times New Roman" w:cs="Times New Roman" w:eastAsia="Times New Roman" w:hAnsi="Times New Roman"/>
          <w:sz w:val="18"/>
          <w:szCs w:val="18"/>
          <w:color w:val="auto"/>
        </w:rPr>
        <w:t>Notwithstanding the foregoing, if a sale within the applicable time periods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Participant’s termination of Service, or (iii) the Option Expiration Date.</w:t>
      </w:r>
    </w:p>
    <w:p>
      <w:pPr>
        <w:spacing w:after="0" w:line="4" w:lineRule="exact"/>
        <w:rPr>
          <w:rFonts w:ascii="Times New Roman" w:cs="Times New Roman" w:eastAsia="Times New Roman" w:hAnsi="Times New Roman"/>
          <w:sz w:val="18"/>
          <w:szCs w:val="18"/>
          <w:color w:val="auto"/>
        </w:rPr>
      </w:pPr>
    </w:p>
    <w:p>
      <w:pPr>
        <w:ind w:left="1960" w:hanging="656"/>
        <w:spacing w:after="0" w:line="268" w:lineRule="auto"/>
        <w:tabs>
          <w:tab w:leader="none" w:pos="1708"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Vesting</w:t>
      </w:r>
      <w:r>
        <w:rPr>
          <w:rFonts w:ascii="Times New Roman" w:cs="Times New Roman" w:eastAsia="Times New Roman" w:hAnsi="Times New Roman"/>
          <w:sz w:val="18"/>
          <w:szCs w:val="18"/>
          <w:color w:val="auto"/>
        </w:rPr>
        <w:t>. Every Option awarded under the Plan (including those Options awarded prior to the Effective Date,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amended to incorporate the following terms) shall become 100% vested if the Participant’s Service with the Participating Company Group terminates because of the death of the Participant, as of the date of the Participant’s death.</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 Payments. </w:t>
      </w:r>
      <w:r>
        <w:rPr>
          <w:rFonts w:ascii="Times New Roman" w:cs="Times New Roman" w:eastAsia="Times New Roman" w:hAnsi="Times New Roman"/>
          <w:sz w:val="18"/>
          <w:szCs w:val="18"/>
          <w:color w:val="auto"/>
        </w:rPr>
        <w:t>No dividends or dividend equivalents will be accrued or paid with respect to Options.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Standard Forms of Option Agreement.</w:t>
      </w:r>
    </w:p>
    <w:p>
      <w:pPr>
        <w:spacing w:after="0" w:line="117" w:lineRule="exact"/>
        <w:rPr>
          <w:rFonts w:ascii="Times New Roman" w:cs="Times New Roman" w:eastAsia="Times New Roman" w:hAnsi="Times New Roman"/>
          <w:sz w:val="18"/>
          <w:szCs w:val="18"/>
          <w:color w:val="auto"/>
        </w:rPr>
      </w:pPr>
    </w:p>
    <w:p>
      <w:pPr>
        <w:ind w:left="1960" w:right="560" w:hanging="656"/>
        <w:spacing w:after="0" w:line="268" w:lineRule="auto"/>
        <w:tabs>
          <w:tab w:leader="none" w:pos="195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Agreement. </w:t>
      </w:r>
      <w:r>
        <w:rPr>
          <w:rFonts w:ascii="Times New Roman" w:cs="Times New Roman" w:eastAsia="Times New Roman" w:hAnsi="Times New Roman"/>
          <w:sz w:val="18"/>
          <w:szCs w:val="18"/>
          <w:color w:val="auto"/>
        </w:rPr>
        <w:t>Unless otherwise provided by the CHC Committee at the time the Option is granted, an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and be subject to the terms and conditions set forth in the form of Option Agreement approved by the CHC Committee concurrently with its adoption of the Plan and as amended from time to time.</w:t>
      </w:r>
    </w:p>
    <w:p>
      <w:pPr>
        <w:spacing w:after="0" w:line="62" w:lineRule="exact"/>
        <w:rPr>
          <w:rFonts w:ascii="Times New Roman" w:cs="Times New Roman" w:eastAsia="Times New Roman" w:hAnsi="Times New Roman"/>
          <w:sz w:val="18"/>
          <w:szCs w:val="18"/>
          <w:color w:val="auto"/>
        </w:rPr>
      </w:pPr>
    </w:p>
    <w:p>
      <w:pPr>
        <w:ind w:left="1960" w:right="300" w:hanging="656"/>
        <w:spacing w:after="0" w:line="259" w:lineRule="auto"/>
        <w:tabs>
          <w:tab w:leader="none" w:pos="19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to Vary Terms. </w:t>
      </w:r>
      <w:r>
        <w:rPr>
          <w:rFonts w:ascii="Times New Roman" w:cs="Times New Roman" w:eastAsia="Times New Roman" w:hAnsi="Times New Roman"/>
          <w:sz w:val="18"/>
          <w:szCs w:val="18"/>
          <w:color w:val="auto"/>
        </w:rPr>
        <w:t>The CHC Committee shall have the authority from time to time to vary the terms of any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11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Stock Appreciation Rights.</w:t>
      </w:r>
    </w:p>
    <w:p>
      <w:pPr>
        <w:spacing w:after="0" w:line="121"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5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may be granted to any eligible person selected by the CHC Committee. A Stock Appreciation Right shall be subject to such terms and conditions not inconsistent with the Plan as the CHC Committee shall impose and shall be evidenced by an Award Agreement, provided that the term of any Stock Appreciation Right shall not exceed ten years.</w:t>
      </w:r>
    </w:p>
    <w:p>
      <w:pPr>
        <w:spacing w:after="0" w:line="67" w:lineRule="exact"/>
        <w:rPr>
          <w:rFonts w:ascii="Times New Roman" w:cs="Times New Roman" w:eastAsia="Times New Roman" w:hAnsi="Times New Roman"/>
          <w:sz w:val="18"/>
          <w:szCs w:val="18"/>
          <w:color w:val="auto"/>
        </w:rPr>
      </w:pPr>
    </w:p>
    <w:p>
      <w:pPr>
        <w:ind w:left="1960" w:right="180" w:hanging="656"/>
        <w:spacing w:after="0" w:line="256" w:lineRule="auto"/>
        <w:tabs>
          <w:tab w:leader="none" w:pos="196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CHC Committee may impose.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ind w:left="1960" w:right="40" w:hanging="656"/>
        <w:spacing w:after="0" w:line="266" w:lineRule="auto"/>
        <w:tabs>
          <w:tab w:leader="none" w:pos="19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 price per share of Stock subject to a Stock Appreciation Right shall be determined by the CHC Committee and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grant price for any Stock Appreciation Right shall not be less than 100% of the Fair Market Value of a share of Stock on the date of grant.</w:t>
      </w:r>
    </w:p>
    <w:p>
      <w:pPr>
        <w:spacing w:after="0" w:line="67"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set forth in Section 6.4 with respect to the exercise of Options following termination of employment shall apply as well to such exercise of SARs.</w:t>
      </w:r>
    </w:p>
    <w:p>
      <w:pPr>
        <w:spacing w:after="0" w:line="50" w:lineRule="exact"/>
        <w:rPr>
          <w:sz w:val="20"/>
          <w:szCs w:val="20"/>
          <w:color w:val="auto"/>
        </w:rPr>
      </w:pPr>
    </w:p>
    <w:p>
      <w:pPr>
        <w:jc w:val="both"/>
        <w:ind w:left="980" w:right="80" w:hanging="647"/>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Payment and Limitations on Exercise. </w:t>
      </w:r>
      <w:r>
        <w:rPr>
          <w:rFonts w:ascii="Times New Roman" w:cs="Times New Roman" w:eastAsia="Times New Roman" w:hAnsi="Times New Roman"/>
          <w:sz w:val="18"/>
          <w:szCs w:val="18"/>
          <w:color w:val="auto"/>
        </w:rPr>
        <w:t>Payment of the amounts determined under Section 7.1(b) hereof shall be in cash, in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Fair Market Value as of the date the Stock Appreciation Right is exercised), or a combination of both, as determined by the CHC Committee.</w:t>
      </w:r>
    </w:p>
    <w:p>
      <w:pPr>
        <w:spacing w:after="0" w:line="63"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xml:space="preserve">Dividend Payments. </w:t>
      </w:r>
      <w:r>
        <w:rPr>
          <w:rFonts w:ascii="Times New Roman" w:cs="Times New Roman" w:eastAsia="Times New Roman" w:hAnsi="Times New Roman"/>
          <w:sz w:val="17"/>
          <w:szCs w:val="17"/>
          <w:color w:val="auto"/>
        </w:rPr>
        <w:t>No dividends or dividend equivalents will be accrued or paid with respect to SARs.</w:t>
      </w:r>
    </w:p>
    <w:p>
      <w:pPr>
        <w:spacing w:after="0" w:line="117"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AWARDS TO NON-EMPLOYEE DIRECTORS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Non-Employee Directors are eligible to receive any type of Award under this Plan other than Incentive Stock Options. The grant of an Award to a Non-Employee Director shall be made by the CHC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w:t>
      </w:r>
    </w:p>
    <w:p>
      <w:pPr>
        <w:spacing w:after="0" w:line="3" w:lineRule="exact"/>
        <w:rPr>
          <w:sz w:val="20"/>
          <w:szCs w:val="20"/>
          <w:color w:val="auto"/>
        </w:rPr>
      </w:pPr>
    </w:p>
    <w:p>
      <w:pPr>
        <w:ind w:firstLine="8"/>
        <w:spacing w:after="0" w:line="260" w:lineRule="auto"/>
        <w:tabs>
          <w:tab w:leader="none" w:pos="2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in total value in the case of the Chairman of the Board. For the avoidance of doubt, Awards granted to Non-Employee Directors shall be subject to all of the other limitations set forth in the Plan.</w:t>
      </w:r>
    </w:p>
    <w:p>
      <w:pPr>
        <w:spacing w:after="0" w:line="69"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DELIVERY OF RESTRICTED STOCK</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80" w:hanging="644"/>
        <w:spacing w:after="0" w:line="255"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At the time an award of Restricted Stock is made, the CHC Committee shall establish a period or periods of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such other restrictions on the vesting of the Restricted Stock as it shall deem appropriate or applicable to such award. Each award of Restricted Stock may have a different Restricted Period or Restricted Periods. The CHC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CHC Committee may also, in its sole discretion, shorten or terminate a Restricted Period or waive any conditions for the lapse or termination of restrictions with respect to all or any portion of the Restricted Stock.</w:t>
      </w:r>
    </w:p>
    <w:p>
      <w:pPr>
        <w:spacing w:after="0" w:line="76" w:lineRule="exact"/>
        <w:rPr>
          <w:rFonts w:ascii="Times New Roman" w:cs="Times New Roman" w:eastAsia="Times New Roman" w:hAnsi="Times New Roman"/>
          <w:sz w:val="18"/>
          <w:szCs w:val="18"/>
          <w:color w:val="auto"/>
        </w:rPr>
      </w:pPr>
    </w:p>
    <w:p>
      <w:pPr>
        <w:ind w:left="1300" w:hanging="644"/>
        <w:spacing w:after="0" w:line="252"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Rights and Privileges. </w:t>
      </w:r>
      <w:r>
        <w:rPr>
          <w:rFonts w:ascii="Times New Roman" w:cs="Times New Roman" w:eastAsia="Times New Roman" w:hAnsi="Times New Roman"/>
          <w:sz w:val="18"/>
          <w:szCs w:val="18"/>
          <w:color w:val="auto"/>
        </w:rPr>
        <w:t>At the time a grant of Restricted Stock is made to a Participant, a stock certificate representing a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CHC Committee; (ii) none of the shares then subject to a Restricted Period shall be sold, transferred, assigned, pledged, or otherwise encumbered, or disposed of during the Restricted Period applicable to such shares and until the satisfaction of any other conditions prescribed by the CHC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CHC Committee applicable to such Restricted Stock. No dividends or dividend equivalents will be paid with respect to outstanding shares of Restricted Stock then subject to a Restricted Period. The CHC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CHC Committee determines that dividends with respect to Restricted Stock will be paid in the form of additional shares of Restricted Stock, then the CHC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ind w:left="1292" w:right="160"/>
        <w:spacing w:after="0" w:line="282" w:lineRule="auto"/>
        <w:rPr>
          <w:sz w:val="20"/>
          <w:szCs w:val="20"/>
          <w:color w:val="auto"/>
        </w:rPr>
      </w:pPr>
      <w:r>
        <w:rPr>
          <w:rFonts w:ascii="Times New Roman" w:cs="Times New Roman" w:eastAsia="Times New Roman" w:hAnsi="Times New Roman"/>
          <w:sz w:val="18"/>
          <w:szCs w:val="18"/>
          <w:color w:val="auto"/>
        </w:rPr>
        <w:t>limitation, shares of Restricted Stock issued as dividends), such forfeited shares of Restricted Stock shall be transferred to the Company without further action by the Participant.</w:t>
      </w:r>
    </w:p>
    <w:p>
      <w:pPr>
        <w:spacing w:after="0" w:line="50" w:lineRule="exact"/>
        <w:rPr>
          <w:sz w:val="20"/>
          <w:szCs w:val="20"/>
          <w:color w:val="auto"/>
        </w:rPr>
      </w:pPr>
    </w:p>
    <w:p>
      <w:pPr>
        <w:ind w:left="1292" w:right="20" w:hanging="644"/>
        <w:spacing w:after="0" w:line="256" w:lineRule="auto"/>
        <w:tabs>
          <w:tab w:leader="none" w:pos="129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Expiration of Restricted Period. </w:t>
      </w:r>
      <w:r>
        <w:rPr>
          <w:rFonts w:ascii="Times New Roman" w:cs="Times New Roman" w:eastAsia="Times New Roman" w:hAnsi="Times New Roman"/>
          <w:sz w:val="18"/>
          <w:szCs w:val="18"/>
          <w:color w:val="auto"/>
        </w:rPr>
        <w:t>Upon the expiration or termination of the Restricted Period applicable to Restricted Stock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any other conditions prescribed by the CHC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74" w:lineRule="exact"/>
        <w:rPr>
          <w:rFonts w:ascii="Times New Roman" w:cs="Times New Roman" w:eastAsia="Times New Roman" w:hAnsi="Times New Roman"/>
          <w:sz w:val="18"/>
          <w:szCs w:val="18"/>
          <w:color w:val="auto"/>
        </w:rPr>
      </w:pPr>
    </w:p>
    <w:p>
      <w:pPr>
        <w:jc w:val="both"/>
        <w:ind w:left="1292" w:right="220" w:hanging="644"/>
        <w:spacing w:after="0" w:line="268" w:lineRule="auto"/>
        <w:tabs>
          <w:tab w:leader="none" w:pos="129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Events for Restricted Stock. </w:t>
      </w:r>
      <w:r>
        <w:rPr>
          <w:rFonts w:ascii="Times New Roman" w:cs="Times New Roman" w:eastAsia="Times New Roman" w:hAnsi="Times New Roman"/>
          <w:sz w:val="18"/>
          <w:szCs w:val="18"/>
          <w:color w:val="auto"/>
        </w:rPr>
        <w:t>If the Employee terminates employment by reason of death, all of his or her shares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shall become 100% vested upon the date of death. All Restricted Stock awards prior to the Effective Date are hereby amended to incorporate these terms.</w:t>
      </w:r>
    </w:p>
    <w:p>
      <w:pPr>
        <w:spacing w:after="0" w:line="6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CHC Committee is authorized to grant Restricted Stock Units to eligible persons, subject to the following terms and conditions:</w:t>
      </w:r>
    </w:p>
    <w:p>
      <w:pPr>
        <w:spacing w:after="0" w:line="113" w:lineRule="exact"/>
        <w:rPr>
          <w:sz w:val="20"/>
          <w:szCs w:val="20"/>
          <w:color w:val="auto"/>
        </w:rPr>
      </w:pPr>
    </w:p>
    <w:p>
      <w:pPr>
        <w:ind w:left="1292" w:hanging="644"/>
        <w:spacing w:after="0" w:line="262" w:lineRule="auto"/>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and Restrictions. </w:t>
      </w:r>
      <w:r>
        <w:rPr>
          <w:rFonts w:ascii="Times New Roman" w:cs="Times New Roman" w:eastAsia="Times New Roman" w:hAnsi="Times New Roman"/>
          <w:sz w:val="18"/>
          <w:szCs w:val="18"/>
          <w:color w:val="auto"/>
        </w:rPr>
        <w:t>Restricted Stock Units shall be subject to such restrictions (which may include a risk of forfeiture) as the CHC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CHC Committee may determine.</w:t>
      </w:r>
    </w:p>
    <w:p>
      <w:pPr>
        <w:spacing w:after="0" w:line="68" w:lineRule="exact"/>
        <w:rPr>
          <w:rFonts w:ascii="Times New Roman" w:cs="Times New Roman" w:eastAsia="Times New Roman" w:hAnsi="Times New Roman"/>
          <w:sz w:val="18"/>
          <w:szCs w:val="18"/>
          <w:color w:val="auto"/>
        </w:rPr>
      </w:pPr>
    </w:p>
    <w:p>
      <w:pPr>
        <w:ind w:left="1292" w:right="20" w:hanging="644"/>
        <w:spacing w:after="0" w:line="259" w:lineRule="auto"/>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w:t>
      </w:r>
      <w:r>
        <w:rPr>
          <w:rFonts w:ascii="Times New Roman" w:cs="Times New Roman" w:eastAsia="Times New Roman" w:hAnsi="Times New Roman"/>
          <w:sz w:val="18"/>
          <w:szCs w:val="18"/>
          <w:color w:val="auto"/>
        </w:rPr>
        <w:t>Settlement of Restricted Stock Units shall occur upon expiration of the deferral period specified for such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by the CHC Committee (or, if permitted by the CHC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CHC Committee at the date of grant or thereafter.</w:t>
      </w:r>
    </w:p>
    <w:p>
      <w:pPr>
        <w:spacing w:after="0" w:line="71" w:lineRule="exact"/>
        <w:rPr>
          <w:rFonts w:ascii="Times New Roman" w:cs="Times New Roman" w:eastAsia="Times New Roman" w:hAnsi="Times New Roman"/>
          <w:sz w:val="18"/>
          <w:szCs w:val="18"/>
          <w:color w:val="auto"/>
        </w:rPr>
      </w:pPr>
    </w:p>
    <w:p>
      <w:pPr>
        <w:ind w:left="1292" w:right="60" w:hanging="644"/>
        <w:spacing w:after="0" w:line="254" w:lineRule="auto"/>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on Restricted Stock Units. </w:t>
      </w:r>
      <w:r>
        <w:rPr>
          <w:rFonts w:ascii="Times New Roman" w:cs="Times New Roman" w:eastAsia="Times New Roman" w:hAnsi="Times New Roman"/>
          <w:sz w:val="18"/>
          <w:szCs w:val="18"/>
          <w:color w:val="auto"/>
        </w:rPr>
        <w:t>The CHC Committee may, in its sole discretion and as would be set forth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CHC Committee in its sole discretion. Dividend equivalents credited to a Participant’s account and attributable to any particular Restricted Stock Unit (and earnings thereon, if applicable) shall be distributed in cash or, at the sole discretion of the CHC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80"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Employment.</w:t>
      </w:r>
    </w:p>
    <w:p>
      <w:pPr>
        <w:spacing w:after="0" w:line="121" w:lineRule="exact"/>
        <w:rPr>
          <w:rFonts w:ascii="Times New Roman" w:cs="Times New Roman" w:eastAsia="Times New Roman" w:hAnsi="Times New Roman"/>
          <w:sz w:val="18"/>
          <w:szCs w:val="18"/>
          <w:color w:val="auto"/>
        </w:rPr>
      </w:pPr>
    </w:p>
    <w:p>
      <w:pPr>
        <w:ind w:left="1952" w:right="200" w:hanging="656"/>
        <w:spacing w:after="0" w:line="266" w:lineRule="auto"/>
        <w:tabs>
          <w:tab w:leader="none" w:pos="1609"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applicable Award Agreement or the CHC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67" w:lineRule="exact"/>
        <w:rPr>
          <w:rFonts w:ascii="Times New Roman" w:cs="Times New Roman" w:eastAsia="Times New Roman" w:hAnsi="Times New Roman"/>
          <w:sz w:val="18"/>
          <w:szCs w:val="18"/>
          <w:color w:val="auto"/>
        </w:rPr>
      </w:pPr>
    </w:p>
    <w:p>
      <w:pPr>
        <w:ind w:left="1952" w:right="280" w:hanging="656"/>
        <w:spacing w:after="0" w:line="282" w:lineRule="auto"/>
        <w:tabs>
          <w:tab w:leader="none" w:pos="1619"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terminates employment by reason of death, all of his or her shares of Restricted Stock shall become 100% vested upon the date of death.</w:t>
      </w:r>
    </w:p>
    <w:p>
      <w:pPr>
        <w:spacing w:after="0" w:line="4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INCENTIVE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20" w:hanging="644"/>
        <w:spacing w:after="0" w:line="268" w:lineRule="auto"/>
        <w:tabs>
          <w:tab w:leader="none" w:pos="94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Awards. </w:t>
      </w:r>
      <w:r>
        <w:rPr>
          <w:rFonts w:ascii="Times New Roman" w:cs="Times New Roman" w:eastAsia="Times New Roman" w:hAnsi="Times New Roman"/>
          <w:sz w:val="18"/>
          <w:szCs w:val="18"/>
          <w:color w:val="auto"/>
        </w:rPr>
        <w:t>The CHC Committee may grant annual incentive awards of Stock or cash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Participants as the CHC Committee may from time to time recommend, in such amounts and subject to such terms and conditions as the CHC Committee in its discretion may determine. The CHC Committee shall establish the maximum amount of Annual Incentive</w:t>
      </w:r>
    </w:p>
    <w:p>
      <w:pPr>
        <w:spacing w:after="0" w:line="3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59" w:name="page60"/>
    <w:bookmarkEnd w:id="59"/>
    <w:p>
      <w:pPr>
        <w:ind w:left="1292" w:right="40"/>
        <w:spacing w:after="0" w:line="282" w:lineRule="auto"/>
        <w:rPr>
          <w:sz w:val="20"/>
          <w:szCs w:val="20"/>
          <w:color w:val="auto"/>
        </w:rPr>
      </w:pPr>
      <w:r>
        <w:rPr>
          <w:rFonts w:ascii="Times New Roman" w:cs="Times New Roman" w:eastAsia="Times New Roman" w:hAnsi="Times New Roman"/>
          <w:sz w:val="18"/>
          <w:szCs w:val="18"/>
          <w:color w:val="auto"/>
        </w:rPr>
        <w:t>Awards that may be granted for each Performance Cycle. Notwithstanding the foregoing, all Annual Incentive Awards shall be subject to the provisions of paragraphs (a) through (d) below:</w:t>
      </w:r>
    </w:p>
    <w:p>
      <w:pPr>
        <w:spacing w:after="0" w:line="54" w:lineRule="exact"/>
        <w:rPr>
          <w:sz w:val="20"/>
          <w:szCs w:val="20"/>
          <w:color w:val="auto"/>
        </w:rPr>
      </w:pPr>
    </w:p>
    <w:p>
      <w:pPr>
        <w:ind w:left="1952" w:right="260" w:hanging="656"/>
        <w:spacing w:after="0" w:line="282" w:lineRule="auto"/>
        <w:tabs>
          <w:tab w:leader="none" w:pos="159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granted in connection with a 12-month Performance Cycle, which shall be the fiscal year of the Company;</w:t>
      </w:r>
    </w:p>
    <w:p>
      <w:pPr>
        <w:spacing w:after="0" w:line="53" w:lineRule="exact"/>
        <w:rPr>
          <w:rFonts w:ascii="Times New Roman" w:cs="Times New Roman" w:eastAsia="Times New Roman" w:hAnsi="Times New Roman"/>
          <w:sz w:val="18"/>
          <w:szCs w:val="18"/>
          <w:color w:val="auto"/>
        </w:rPr>
      </w:pPr>
    </w:p>
    <w:p>
      <w:pPr>
        <w:ind w:left="1952" w:right="340" w:hanging="656"/>
        <w:spacing w:after="0" w:line="282" w:lineRule="auto"/>
        <w:tabs>
          <w:tab w:leader="none" w:pos="161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 the CHC Committee shall determine the Participants who shall be eligible to receive an Annual Incentive Award for such Performance Cycle;</w:t>
      </w:r>
    </w:p>
    <w:p>
      <w:pPr>
        <w:spacing w:after="0" w:line="53" w:lineRule="exact"/>
        <w:rPr>
          <w:rFonts w:ascii="Times New Roman" w:cs="Times New Roman" w:eastAsia="Times New Roman" w:hAnsi="Times New Roman"/>
          <w:sz w:val="18"/>
          <w:szCs w:val="18"/>
          <w:color w:val="auto"/>
        </w:rPr>
      </w:pPr>
    </w:p>
    <w:p>
      <w:pPr>
        <w:ind w:left="1952" w:right="60" w:hanging="656"/>
        <w:spacing w:after="0" w:line="289" w:lineRule="auto"/>
        <w:tabs>
          <w:tab w:leader="none" w:pos="1606"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CHC Committee shall fix and establish, in writing, (A) the Performance Measure(s) that shall apply to such Performance Cycle, and (B) an objective formula for computing the amount of the Annual Incentive Awards for such Performance Cycle, where the amount shall be based upon the attainment of various Performance Goals for the applicable Performance Measure(s); and</w:t>
      </w:r>
    </w:p>
    <w:p>
      <w:pPr>
        <w:spacing w:after="0" w:line="49" w:lineRule="exact"/>
        <w:rPr>
          <w:rFonts w:ascii="Times New Roman" w:cs="Times New Roman" w:eastAsia="Times New Roman" w:hAnsi="Times New Roman"/>
          <w:sz w:val="17"/>
          <w:szCs w:val="17"/>
          <w:color w:val="auto"/>
        </w:rPr>
      </w:pPr>
    </w:p>
    <w:p>
      <w:pPr>
        <w:ind w:left="1952" w:right="420" w:hanging="656"/>
        <w:spacing w:after="0" w:line="282" w:lineRule="auto"/>
        <w:tabs>
          <w:tab w:leader="none" w:pos="148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paid in the form of cash, Stock (including Restricted Stock), or any combination thereof, in the discretion of the CHC Committee.</w:t>
      </w:r>
    </w:p>
    <w:p>
      <w:pPr>
        <w:spacing w:after="0" w:line="4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PERFORMANCE-BASED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40" w:hanging="644"/>
        <w:spacing w:after="0" w:line="257"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Awards</w:t>
      </w:r>
      <w:r>
        <w:rPr>
          <w:rFonts w:ascii="Times New Roman" w:cs="Times New Roman" w:eastAsia="Times New Roman" w:hAnsi="Times New Roman"/>
          <w:sz w:val="18"/>
          <w:szCs w:val="18"/>
          <w:color w:val="auto"/>
        </w:rPr>
        <w:t>. Notwithstanding anything to the contrary contained herein, the CHC Committee may designate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available under the Plan (including but not limited to Options, Restricted Stock, Annual Incentive Awards, and Discretionary Bonus Awards) as conditioned on the achievement of specified Performance Measures (each such Award a “</w:t>
      </w:r>
      <w:r>
        <w:rPr>
          <w:rFonts w:ascii="Times New Roman" w:cs="Times New Roman" w:eastAsia="Times New Roman" w:hAnsi="Times New Roman"/>
          <w:sz w:val="18"/>
          <w:szCs w:val="18"/>
          <w:b w:val="1"/>
          <w:bCs w:val="1"/>
          <w:i w:val="1"/>
          <w:iCs w:val="1"/>
          <w:color w:val="auto"/>
        </w:rPr>
        <w:t>Performance-Based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The grant, exercise, vesting, or settlement of Performance-Based Awards may be conditioned on the achievement of specified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Goals. The Performance Cycle or performance period(s) applicable to a Performance-Based Award shall be any period of time determined by the CHC Committee</w:t>
      </w:r>
      <w:r>
        <w:rPr>
          <w:rFonts w:ascii="Times New Roman" w:cs="Times New Roman" w:eastAsia="Times New Roman" w:hAnsi="Times New Roman"/>
          <w:sz w:val="18"/>
          <w:szCs w:val="18"/>
          <w:b w:val="1"/>
          <w:bCs w:val="1"/>
          <w:color w:val="auto"/>
        </w:rPr>
        <w:t>.</w:t>
      </w:r>
    </w:p>
    <w:p>
      <w:pPr>
        <w:spacing w:after="0" w:line="74" w:lineRule="exact"/>
        <w:rPr>
          <w:rFonts w:ascii="Times New Roman" w:cs="Times New Roman" w:eastAsia="Times New Roman" w:hAnsi="Times New Roman"/>
          <w:sz w:val="18"/>
          <w:szCs w:val="18"/>
          <w:color w:val="auto"/>
        </w:rPr>
      </w:pPr>
    </w:p>
    <w:p>
      <w:pPr>
        <w:ind w:left="1292" w:right="80" w:hanging="644"/>
        <w:spacing w:after="0" w:line="262" w:lineRule="auto"/>
        <w:tabs>
          <w:tab w:leader="none" w:pos="95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Objective Performance Goals and Performance Measures. </w:t>
      </w:r>
      <w:r>
        <w:rPr>
          <w:rFonts w:ascii="Times New Roman" w:cs="Times New Roman" w:eastAsia="Times New Roman" w:hAnsi="Times New Roman"/>
          <w:sz w:val="18"/>
          <w:szCs w:val="18"/>
          <w:color w:val="auto"/>
        </w:rPr>
        <w:t>A Performance Goal established in connection with a Performance-Based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must be based on any one or more of the following performance measures (each, a “</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color w:val="auto"/>
        </w:rPr>
        <w:t>”) (which may be applied to an individual, a subsidiary, a business unit, or division, or the Company, and any one or more of its subsidiaries as a whole, as determined by the CHC Committee):</w:t>
      </w:r>
    </w:p>
    <w:p>
      <w:pPr>
        <w:spacing w:after="0" w:line="72" w:lineRule="exact"/>
        <w:rPr>
          <w:rFonts w:ascii="Times New Roman" w:cs="Times New Roman" w:eastAsia="Times New Roman" w:hAnsi="Times New Roman"/>
          <w:sz w:val="18"/>
          <w:szCs w:val="18"/>
          <w:color w:val="auto"/>
        </w:rPr>
      </w:pPr>
    </w:p>
    <w:p>
      <w:pPr>
        <w:ind w:left="1952" w:hanging="656"/>
        <w:spacing w:after="0" w:line="266" w:lineRule="auto"/>
        <w:tabs>
          <w:tab w:leader="none" w:pos="194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net income (before or after taxes, depreciation and amortization) or economic earnings (non-GAAP performance measure calculated by adding non-cash equity-based compensation expense, amortization of intangible assets, and deferred taxes related to goodwill to comprehensive income);</w:t>
      </w:r>
    </w:p>
    <w:p>
      <w:pPr>
        <w:spacing w:after="0" w:line="6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earnings;</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or revenue growth;</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(including, but not limited to, returns on assets, capital, invested capital, equity, sales, or revenue);</w:t>
      </w:r>
    </w:p>
    <w:p>
      <w:pPr>
        <w:spacing w:after="0" w:line="117" w:lineRule="exact"/>
        <w:rPr>
          <w:rFonts w:ascii="Times New Roman" w:cs="Times New Roman" w:eastAsia="Times New Roman" w:hAnsi="Times New Roman"/>
          <w:sz w:val="18"/>
          <w:szCs w:val="18"/>
          <w:color w:val="auto"/>
        </w:rPr>
      </w:pPr>
    </w:p>
    <w:p>
      <w:pPr>
        <w:ind w:left="1952" w:right="40" w:hanging="656"/>
        <w:spacing w:after="0" w:line="282" w:lineRule="auto"/>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cash flow return on equity, and cash flow return on investment (discounted or otherwise));</w:t>
      </w:r>
    </w:p>
    <w:p>
      <w:pPr>
        <w:spacing w:after="0" w:line="53"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before interest, taxes, depreciation, and amortization;</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stockholders’ equity;</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or operating expenses;</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Company’s Stock or total return to stockholders;</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an investment in the Company’s Stock, assuming the reinvestment of dividends;</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one or more of our investment products on an absolute basis or relative to a benchmark or peer group;</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pre-tax income;</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targets, reductions and savings, productivity, and efficiencies;</w:t>
      </w:r>
    </w:p>
    <w:p>
      <w:pPr>
        <w:spacing w:after="0" w:line="3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553" w:right="379" w:bottom="1440" w:gutter="0" w:footer="0" w:header="0"/>
        </w:sectPr>
      </w:pPr>
    </w:p>
    <w:bookmarkStart w:id="60" w:name="page61"/>
    <w:bookmarkEnd w:id="60"/>
    <w:p>
      <w:pPr>
        <w:ind w:left="1960" w:right="440" w:hanging="656"/>
        <w:spacing w:after="0" w:line="261" w:lineRule="auto"/>
        <w:tabs>
          <w:tab w:leader="none" w:pos="1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71" w:lineRule="exact"/>
        <w:rPr>
          <w:rFonts w:ascii="Times New Roman" w:cs="Times New Roman" w:eastAsia="Times New Roman" w:hAnsi="Times New Roman"/>
          <w:sz w:val="18"/>
          <w:szCs w:val="18"/>
          <w:color w:val="auto"/>
        </w:rPr>
      </w:pPr>
    </w:p>
    <w:p>
      <w:pPr>
        <w:ind w:left="1960" w:right="180" w:hanging="656"/>
        <w:spacing w:after="0" w:line="266" w:lineRule="auto"/>
        <w:tabs>
          <w:tab w:leader="none" w:pos="19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professional objectives, consisting of one or more objectives based on the implementation of plans and policies, the negotiation of transactions, the development of long-term business goals, formation of joint ventures, research or development collaborations, and the completion of other corporation transactions;</w:t>
      </w:r>
    </w:p>
    <w:p>
      <w:pPr>
        <w:spacing w:after="0" w:line="6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criteria as determined by the CHC Committee in its sole discretion; and/or</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or all of the foregoing criteria.</w:t>
      </w:r>
    </w:p>
    <w:p>
      <w:pPr>
        <w:spacing w:after="0" w:line="11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CHC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71" w:lineRule="exact"/>
        <w:rPr>
          <w:sz w:val="20"/>
          <w:szCs w:val="20"/>
          <w:color w:val="auto"/>
        </w:rPr>
      </w:pPr>
    </w:p>
    <w:p>
      <w:pPr>
        <w:ind w:left="1300" w:right="60" w:hanging="644"/>
        <w:spacing w:after="0" w:line="259" w:lineRule="auto"/>
        <w:tabs>
          <w:tab w:leader="none" w:pos="96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Calculation of Performance-Based Award. </w:t>
      </w:r>
      <w:r>
        <w:rPr>
          <w:rFonts w:ascii="Times New Roman" w:cs="Times New Roman" w:eastAsia="Times New Roman" w:hAnsi="Times New Roman"/>
          <w:sz w:val="18"/>
          <w:szCs w:val="18"/>
          <w:color w:val="auto"/>
        </w:rPr>
        <w:t>At the expiration of the applicable performance period, the CHC Committee shall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to which the Performance Goals established pursuant to this Article are achieved and the extent to which each Performance-Based Award has been earned. The CHC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DISCRETIONARY BONUS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220" w:hanging="644"/>
        <w:spacing w:after="0" w:line="268" w:lineRule="auto"/>
        <w:tabs>
          <w:tab w:leader="none" w:pos="96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Discretionary Bonus Awards. </w:t>
      </w:r>
      <w:r>
        <w:rPr>
          <w:rFonts w:ascii="Times New Roman" w:cs="Times New Roman" w:eastAsia="Times New Roman" w:hAnsi="Times New Roman"/>
          <w:sz w:val="18"/>
          <w:szCs w:val="18"/>
          <w:color w:val="auto"/>
        </w:rPr>
        <w:t>The CHC Committee may grant discretionary bonus awards of Stock or cash (each a “</w:t>
      </w:r>
      <w:r>
        <w:rPr>
          <w:rFonts w:ascii="Times New Roman" w:cs="Times New Roman" w:eastAsia="Times New Roman" w:hAnsi="Times New Roman"/>
          <w:sz w:val="18"/>
          <w:szCs w:val="18"/>
          <w:b w:val="1"/>
          <w:bCs w:val="1"/>
          <w:i w:val="1"/>
          <w:iCs w:val="1"/>
          <w:color w:val="auto"/>
        </w:rPr>
        <w:t>Discretionary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officers and other key Employees of either the Company or any Subsidiary, in such amounts and subject to such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as the CHC Committee in its discretion may determine.</w:t>
      </w:r>
    </w:p>
    <w:p>
      <w:pPr>
        <w:spacing w:after="0" w:line="66"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9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may grant Discretionary Bonus Awards to eligible Participants in such amounts as the CHC Committee may determine, subject to the limitations set forth in Section 4.1.</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6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shall be paid in the form of cash, Stock (including Restricted Stock) or any combination thereof, in the discretion of the CHC Committee.</w:t>
      </w:r>
    </w:p>
    <w:p>
      <w:pPr>
        <w:spacing w:after="0" w:line="4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CHC Committee is authorized, subject to limitations under applicable law, to grant to eligible persons such other Awards that may be denominated or payable in, valued in whole or in part by reference to, or otherwise based on, or related to, shares of Stock, as deemed by the CHC Committee to be consistent with the purposes of this Plan, including without limitation purchase rights for shares of Stock, Awards with value and payment contingent upon performance of the Company or any other factors designated by the CHC Committee, and Awards valued by reference to the book value of a share of Stock. The CHC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CHC Committee shall determine.</w:t>
      </w:r>
    </w:p>
    <w:p>
      <w:pPr>
        <w:spacing w:after="0" w:line="77" w:lineRule="exact"/>
        <w:rPr>
          <w:sz w:val="20"/>
          <w:szCs w:val="20"/>
          <w:color w:val="auto"/>
        </w:rPr>
      </w:pPr>
    </w:p>
    <w:p>
      <w:pPr>
        <w:ind w:left="420" w:hanging="412"/>
        <w:spacing w:after="0"/>
        <w:tabs>
          <w:tab w:leader="none" w:pos="4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VESTING LIMITATIONS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CHC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75" w:lineRule="exact"/>
        <w:rPr>
          <w:sz w:val="20"/>
          <w:szCs w:val="20"/>
          <w:color w:val="auto"/>
        </w:rPr>
      </w:pPr>
    </w:p>
    <w:p>
      <w:pPr>
        <w:ind w:left="420" w:hanging="412"/>
        <w:spacing w:after="0"/>
        <w:tabs>
          <w:tab w:leader="none" w:pos="4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 OF AWARDS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300" w:right="440" w:hanging="644"/>
        <w:spacing w:after="0" w:line="282"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each Option and SAR shall be exercisable only by the Participant during the Participant’s lifetime, or by the Person to whom the Participant’s rights shall pass by will or the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ind w:left="1292" w:right="40"/>
        <w:spacing w:after="0" w:line="282" w:lineRule="auto"/>
        <w:rPr>
          <w:sz w:val="20"/>
          <w:szCs w:val="20"/>
          <w:color w:val="auto"/>
        </w:rPr>
      </w:pPr>
      <w:r>
        <w:rPr>
          <w:rFonts w:ascii="Times New Roman" w:cs="Times New Roman" w:eastAsia="Times New Roman" w:hAnsi="Times New Roman"/>
          <w:sz w:val="18"/>
          <w:szCs w:val="18"/>
          <w:color w:val="auto"/>
        </w:rPr>
        <w:t>laws of descent and distribution. Notwithstanding the foregoing, an ISO shall not be transferable other than by will or the laws of descent and distribution.</w:t>
      </w:r>
    </w:p>
    <w:p>
      <w:pPr>
        <w:spacing w:after="0" w:line="54" w:lineRule="exact"/>
        <w:rPr>
          <w:sz w:val="20"/>
          <w:szCs w:val="20"/>
          <w:color w:val="auto"/>
        </w:rPr>
      </w:pPr>
    </w:p>
    <w:p>
      <w:pPr>
        <w:jc w:val="both"/>
        <w:ind w:left="1292" w:right="220" w:hanging="644"/>
        <w:spacing w:after="0" w:line="266"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67" w:lineRule="exact"/>
        <w:rPr>
          <w:rFonts w:ascii="Times New Roman" w:cs="Times New Roman" w:eastAsia="Times New Roman" w:hAnsi="Times New Roman"/>
          <w:sz w:val="18"/>
          <w:szCs w:val="18"/>
          <w:color w:val="auto"/>
        </w:rPr>
      </w:pPr>
    </w:p>
    <w:p>
      <w:pPr>
        <w:ind w:left="1292" w:right="160" w:hanging="644"/>
        <w:spacing w:after="0" w:line="282"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specifically provided by the CHC Committee, and on such terms and conditions as the CHC Committee may from time to time establish, an Award may be transferred by a Participant without consideration to one or more Permitted Transferees.</w:t>
      </w:r>
    </w:p>
    <w:p>
      <w:pPr>
        <w:spacing w:after="0" w:line="4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deemed to have occurred if any of the following occurs with respect to the Company:</w:t>
      </w:r>
    </w:p>
    <w:p>
      <w:pPr>
        <w:spacing w:after="0" w:line="31" w:lineRule="exact"/>
        <w:rPr>
          <w:rFonts w:ascii="Times New Roman" w:cs="Times New Roman" w:eastAsia="Times New Roman" w:hAnsi="Times New Roman"/>
          <w:sz w:val="18"/>
          <w:szCs w:val="18"/>
          <w:color w:val="auto"/>
        </w:rPr>
      </w:pPr>
    </w:p>
    <w:p>
      <w:pPr>
        <w:ind w:left="1952"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direct or indirect sale or exchange in a single or series of related transactions by the stockholders of the Company of more than 50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76" w:lineRule="exact"/>
        <w:rPr>
          <w:rFonts w:ascii="Times New Roman" w:cs="Times New Roman" w:eastAsia="Times New Roman" w:hAnsi="Times New Roman"/>
          <w:sz w:val="18"/>
          <w:szCs w:val="18"/>
          <w:color w:val="auto"/>
        </w:rPr>
      </w:pPr>
    </w:p>
    <w:p>
      <w:pPr>
        <w:ind w:left="1952" w:hanging="656"/>
        <w:spacing w:after="0" w:line="252" w:lineRule="auto"/>
        <w:tabs>
          <w:tab w:leader="none" w:pos="195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(i) a merger or consolidation of the Company with or into another corporation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w:t>
      </w:r>
    </w:p>
    <w:p>
      <w:pPr>
        <w:spacing w:after="0" w:line="82" w:lineRule="exact"/>
        <w:rPr>
          <w:rFonts w:ascii="Times New Roman" w:cs="Times New Roman" w:eastAsia="Times New Roman" w:hAnsi="Times New Roman"/>
          <w:sz w:val="18"/>
          <w:szCs w:val="18"/>
          <w:color w:val="auto"/>
        </w:rPr>
      </w:pPr>
    </w:p>
    <w:p>
      <w:pPr>
        <w:ind w:left="1292" w:right="20" w:hanging="644"/>
        <w:spacing w:after="0" w:line="253" w:lineRule="auto"/>
        <w:tabs>
          <w:tab w:leader="none" w:pos="95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Change in Control on Awards. </w:t>
      </w:r>
      <w:r>
        <w:rPr>
          <w:rFonts w:ascii="Times New Roman" w:cs="Times New Roman" w:eastAsia="Times New Roman" w:hAnsi="Times New Roman"/>
          <w:sz w:val="18"/>
          <w:szCs w:val="18"/>
          <w:color w:val="auto"/>
        </w:rPr>
        <w:t>Upon a Change in Control, each outstanding Award shall become 100% vested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conditions imposed with respect to such Award deemed to be achieved at “target” performance levels) and exercisable as of the date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CHC Committee may, in its discretion, provide that any Option or SAR shall, immediately prior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number of shares of Stock subject to the Option or SAR. Notwithstanding the foregoing, shares acquired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prior to the Change in Control and any consideration received pursuant to the Change in Control with</w:t>
      </w:r>
    </w:p>
    <w:p>
      <w:pPr>
        <w:spacing w:after="0" w:line="3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53" w:right="359" w:bottom="1440" w:gutter="0" w:footer="0" w:header="0"/>
        </w:sectPr>
      </w:pPr>
    </w:p>
    <w:bookmarkStart w:id="62" w:name="page63"/>
    <w:bookmarkEnd w:id="62"/>
    <w:p>
      <w:pPr>
        <w:ind w:left="1300" w:right="20"/>
        <w:spacing w:after="0" w:line="255" w:lineRule="auto"/>
        <w:rPr>
          <w:sz w:val="20"/>
          <w:szCs w:val="20"/>
          <w:color w:val="auto"/>
        </w:rPr>
      </w:pPr>
      <w:r>
        <w:rPr>
          <w:rFonts w:ascii="Times New Roman" w:cs="Times New Roman" w:eastAsia="Times New Roman" w:hAnsi="Times New Roman"/>
          <w:sz w:val="18"/>
          <w:szCs w:val="18"/>
          <w:color w:val="auto"/>
        </w:rPr>
        <w:t>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50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CHC Committee otherwise provides in its discretion. For the avoidance of doubt, all Restricted Stock awards prior to the Effective Date are hereby amended to incorporate these terms.</w:t>
      </w:r>
    </w:p>
    <w:p>
      <w:pPr>
        <w:spacing w:after="0" w:line="77" w:lineRule="exact"/>
        <w:rPr>
          <w:sz w:val="20"/>
          <w:szCs w:val="20"/>
          <w:color w:val="auto"/>
        </w:rPr>
      </w:pPr>
    </w:p>
    <w:p>
      <w:pPr>
        <w:ind w:left="420" w:hanging="412"/>
        <w:spacing w:after="0"/>
        <w:tabs>
          <w:tab w:leader="none" w:pos="4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CHC Committee for the satisfaction of these tax obligations with respect to any taxable event concerning the Participant or such other person arising as a result of Awards made under this Plan.</w:t>
      </w:r>
    </w:p>
    <w:p>
      <w:pPr>
        <w:spacing w:after="0" w:line="84" w:lineRule="exact"/>
        <w:rPr>
          <w:sz w:val="20"/>
          <w:szCs w:val="20"/>
          <w:color w:val="auto"/>
        </w:rPr>
      </w:pPr>
    </w:p>
    <w:p>
      <w:pPr>
        <w:ind w:left="420" w:hanging="412"/>
        <w:spacing w:after="0"/>
        <w:tabs>
          <w:tab w:leader="none" w:pos="4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 OF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Participant shall be given access to information concerning the Company equivalent to that information generally made available to the Company’s common stockholders.</w:t>
      </w:r>
    </w:p>
    <w:p>
      <w:pPr>
        <w:spacing w:after="0" w:line="50" w:lineRule="exact"/>
        <w:rPr>
          <w:sz w:val="20"/>
          <w:szCs w:val="20"/>
          <w:color w:val="auto"/>
        </w:rPr>
      </w:pPr>
    </w:p>
    <w:p>
      <w:pPr>
        <w:ind w:left="420" w:hanging="412"/>
        <w:spacing w:after="0"/>
        <w:tabs>
          <w:tab w:leader="none" w:pos="4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SECURITIES LAW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8" w:lineRule="exact"/>
        <w:rPr>
          <w:sz w:val="20"/>
          <w:szCs w:val="20"/>
          <w:color w:val="auto"/>
        </w:rPr>
      </w:pPr>
    </w:p>
    <w:p>
      <w:pPr>
        <w:ind w:left="420" w:hanging="412"/>
        <w:spacing w:after="0"/>
        <w:tabs>
          <w:tab w:leader="none" w:pos="4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OR AMENDMENT OF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Participant, unless such termination or amendment is required to enable an Option designated as an Incentive Stock Option to qualify as an Incentive Stock Option or is necessary to comply with any applicable law, regulation, or rule.</w:t>
      </w:r>
    </w:p>
    <w:p>
      <w:pPr>
        <w:spacing w:after="0" w:line="50" w:lineRule="exact"/>
        <w:rPr>
          <w:sz w:val="20"/>
          <w:szCs w:val="20"/>
          <w:color w:val="auto"/>
        </w:rPr>
      </w:pPr>
    </w:p>
    <w:p>
      <w:pPr>
        <w:ind w:left="420" w:hanging="412"/>
        <w:spacing w:after="0"/>
        <w:tabs>
          <w:tab w:leader="none" w:pos="4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Any increase in the maximum aggregate number of shares of Stock issuable under the Plan as provided in Section 4.1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shall be approved by the stockholders of the Company within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394" w:lineRule="auto"/>
        <w:rPr>
          <w:sz w:val="20"/>
          <w:szCs w:val="20"/>
          <w:color w:val="auto"/>
        </w:rPr>
      </w:pPr>
      <w:r>
        <w:rPr>
          <w:rFonts w:ascii="Times New Roman" w:cs="Times New Roman" w:eastAsia="Times New Roman" w:hAnsi="Times New Roman"/>
          <w:sz w:val="18"/>
          <w:szCs w:val="18"/>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1174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-289560</wp:posOffset>
            </wp:positionV>
            <wp:extent cx="11741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-503555</wp:posOffset>
            </wp:positionV>
            <wp:extent cx="1174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-718185</wp:posOffset>
            </wp:positionV>
            <wp:extent cx="1174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-932180</wp:posOffset>
            </wp:positionV>
            <wp:extent cx="1174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-1146810</wp:posOffset>
            </wp:positionV>
            <wp:extent cx="1174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-1360805</wp:posOffset>
            </wp:positionV>
            <wp:extent cx="1174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407" w:lineRule="auto"/>
        <w:rPr>
          <w:sz w:val="20"/>
          <w:szCs w:val="20"/>
          <w:color w:val="auto"/>
        </w:rPr>
      </w:pPr>
      <w:r>
        <w:rPr>
          <w:rFonts w:ascii="Times New Roman" w:cs="Times New Roman" w:eastAsia="Times New Roman" w:hAnsi="Times New Roman"/>
          <w:sz w:val="18"/>
          <w:szCs w:val="18"/>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1174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-296545</wp:posOffset>
            </wp:positionV>
            <wp:extent cx="1174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60"/>
        <w:spacing w:after="0"/>
        <w:rPr>
          <w:sz w:val="20"/>
          <w:szCs w:val="20"/>
          <w:color w:val="auto"/>
        </w:rPr>
      </w:pPr>
      <w:r>
        <w:rPr>
          <w:rFonts w:ascii="Times New Roman" w:cs="Times New Roman" w:eastAsia="Times New Roman" w:hAnsi="Times New Roman"/>
          <w:sz w:val="18"/>
          <w:szCs w:val="18"/>
          <w:b w:val="1"/>
          <w:bCs w:val="1"/>
          <w:u w:val="single" w:color="auto"/>
          <w:color w:val="auto"/>
        </w:rPr>
        <w:t>PLAN HISTORY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7"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700,000 shares and providing for performance-based awards, which was approved by stockholders at the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71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8"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Board amends the Plan to allow for CHC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71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8"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750,000 shares. The Plan was amended to clarify the CHC Committee’s authority to prescribe adjustments to performance measures set forth in Section 12.2 of the Plan, used to set performance goals for incentive awards that are intended to be exempt from the deduction limitation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5871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8"/>
          <w:szCs w:val="18"/>
          <w:color w:val="auto"/>
        </w:rPr>
        <w:t>The material terms of the Plan were amended to expand performance measures to be established by the Board or the Committee with respect to annual incentive awards or performance-based awards. The Fourth Amendment permits the Board or the Committee to adjust performance measures in a manner that complies with Treasury Regulations governing</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modifications to performance measures under Section 162(m) of the Internal Revenue Code. Under the Fourth Amendment, the Board or CHC Committee may designate any awards under the Plan as performance-based awards. The Fourth Amendment restricts the number of shares of the Company’s common stock that can be settled, or cash that can be paid, for a performance-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to any Plan participant in a single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58718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111"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CHC Committee adopts Fifth Amended and Restated Plan, increasing the reserve by 200,000 shares and prohibiting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718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Sixth Amended and Restated Plan, increasing the reserve by 200,000 shares. The Plan was amended to</w:t>
      </w:r>
    </w:p>
    <w:p>
      <w:pPr>
        <w:jc w:val="both"/>
        <w:ind w:firstLine="4"/>
        <w:spacing w:after="0" w:line="223" w:lineRule="auto"/>
        <w:tabs>
          <w:tab w:leader="none" w:pos="24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Stock Appreciation Rights, Restricted Stock Units, and Other Stock-Based Awards as awards available for issuance under the Plan, (b) conform the Plan to changes made to Section 162(m) of the Code by the Tax Cuts and Jobs Act of 2017, and</w:t>
      </w:r>
    </w:p>
    <w:p>
      <w:pPr>
        <w:spacing w:after="0" w:line="1"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58718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222250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40" w:space="620"/>
            <w:col w:w="9200"/>
          </w:cols>
          <w:pgMar w:left="340" w:top="455" w:right="399" w:bottom="1440" w:gutter="0" w:footer="0" w:header="0"/>
        </w:sectPr>
      </w:pPr>
    </w:p>
    <w:bookmarkStart w:id="65" w:name="page66"/>
    <w:bookmarkEnd w:id="65"/>
    <w:p>
      <w:pPr>
        <w:ind w:right="80"/>
        <w:spacing w:after="0" w:line="289" w:lineRule="auto"/>
        <w:rPr>
          <w:sz w:val="20"/>
          <w:szCs w:val="20"/>
          <w:color w:val="auto"/>
        </w:rPr>
      </w:pPr>
      <w:r>
        <w:rPr>
          <w:rFonts w:ascii="Times New Roman" w:cs="Times New Roman" w:eastAsia="Times New Roman" w:hAnsi="Times New Roman"/>
          <w:sz w:val="18"/>
          <w:szCs w:val="18"/>
          <w:color w:val="auto"/>
        </w:rPr>
        <w:t>March 2, 2022 March 16, 2023 March 6, 2024 March 5, 2025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1741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-179070</wp:posOffset>
            </wp:positionV>
            <wp:extent cx="1174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-333375</wp:posOffset>
            </wp:positionV>
            <wp:extent cx="11741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-487680</wp:posOffset>
            </wp:positionV>
            <wp:extent cx="1174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-641985</wp:posOffset>
            </wp:positionV>
            <wp:extent cx="1174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CHC Committee adopts First Amendment to the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58718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the Ninth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the Tenth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the Eleventh Amended and Restated Plan, increasing the reserve by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the Twelfth Amended and Restated Plan, increasing the reserve by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230505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40" w:space="720"/>
            <w:col w:w="9140"/>
          </w:cols>
          <w:pgMar w:left="340" w:top="486" w:right="459" w:bottom="1440" w:gutter="0" w:footer="0" w:header="0"/>
        </w:sectPr>
      </w:pPr>
    </w:p>
    <w:bookmarkStart w:id="66" w:name="page67"/>
    <w:bookmarkEnd w:id="66"/>
    <w:p>
      <w:pPr>
        <w:jc w:val="right"/>
        <w:spacing w:after="0"/>
        <w:rPr>
          <w:sz w:val="20"/>
          <w:szCs w:val="20"/>
          <w:color w:val="auto"/>
        </w:rPr>
      </w:pPr>
      <w:r>
        <w:rPr>
          <w:rFonts w:ascii="Wingdings" w:cs="Wingdings" w:eastAsia="Wingdings" w:hAnsi="Wingdings"/>
          <w:sz w:val="18"/>
          <w:szCs w:val="18"/>
          <w:b w:val="1"/>
          <w:bCs w:val="1"/>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WESTWOOD HOLDINGS GROUP,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0" w:lineRule="exact"/>
        <w:rPr>
          <w:sz w:val="20"/>
          <w:szCs w:val="20"/>
          <w:color w:val="auto"/>
        </w:rPr>
      </w:pPr>
    </w:p>
    <w:p>
      <w:pPr>
        <w:spacing w:after="0" w:line="3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PROXY SOLICITED BY THE BOARD OF DIRECTORS FOR</w:t>
      </w:r>
    </w:p>
    <w:p>
      <w:pPr>
        <w:spacing w:after="0" w:line="5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THE ANNUAL MEETING TO BE HELD ON APRIL 30, 2026</w:t>
      </w:r>
    </w:p>
    <w:p>
      <w:pPr>
        <w:spacing w:after="0" w:line="287" w:lineRule="exact"/>
        <w:rPr>
          <w:sz w:val="20"/>
          <w:szCs w:val="20"/>
          <w:color w:val="auto"/>
        </w:rPr>
      </w:pPr>
    </w:p>
    <w:p>
      <w:pPr>
        <w:ind w:right="20" w:firstLine="526"/>
        <w:spacing w:after="0" w:line="285" w:lineRule="auto"/>
        <w:rPr>
          <w:sz w:val="20"/>
          <w:szCs w:val="20"/>
          <w:color w:val="auto"/>
        </w:rPr>
      </w:pPr>
      <w:r>
        <w:rPr>
          <w:rFonts w:ascii="Times New Roman" w:cs="Times New Roman" w:eastAsia="Times New Roman" w:hAnsi="Times New Roman"/>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Times New Roman" w:cs="Times New Roman" w:eastAsia="Times New Roman" w:hAnsi="Times New Roman"/>
          <w:sz w:val="18"/>
          <w:szCs w:val="18"/>
          <w:i w:val="1"/>
          <w:iCs w:val="1"/>
          <w:u w:val="single" w:color="auto"/>
          <w:color w:val="auto"/>
        </w:rPr>
        <w:t>www.virtualshareholdermeeting.com/WHG2026</w:t>
      </w:r>
      <w:r>
        <w:rPr>
          <w:rFonts w:ascii="Times New Roman" w:cs="Times New Roman" w:eastAsia="Times New Roman" w:hAnsi="Times New Roman"/>
          <w:sz w:val="18"/>
          <w:szCs w:val="18"/>
          <w:color w:val="auto"/>
        </w:rPr>
        <w:t xml:space="preserve"> on Thursday, April 30, 2026, at 10:00 a.m., Central Time, and any postponements or adjournments thereof, as fully as the undersigned could if personally present, revoking any proxy or proxies heretofore given.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6" w:right="359" w:bottom="1440" w:gutter="0" w:footer="0" w:header="0"/>
        </w:sectPr>
      </w:pPr>
    </w:p>
    <w:bookmarkStart w:id="67" w:name="page68"/>
    <w:bookmarkEnd w:id="67"/>
    <w:p>
      <w:pPr>
        <w:spacing w:after="0"/>
        <w:tabs>
          <w:tab w:leader="none" w:pos="11040" w:val="left"/>
        </w:tabs>
        <w:rPr>
          <w:sz w:val="20"/>
          <w:szCs w:val="20"/>
          <w:color w:val="auto"/>
        </w:rPr>
      </w:pPr>
      <w:r>
        <w:rPr>
          <w:rFonts w:ascii="Wingdings" w:cs="Wingdings" w:eastAsia="Wingdings" w:hAnsi="Wingdings"/>
          <w:sz w:val="18"/>
          <w:szCs w:val="18"/>
          <w:b w:val="1"/>
          <w:bCs w:val="1"/>
          <w:color w:val="auto"/>
        </w:rPr>
        <w:t>n</w:t>
      </w:r>
      <w:r>
        <w:rPr>
          <w:sz w:val="20"/>
          <w:szCs w:val="20"/>
          <w:color w:val="auto"/>
        </w:rPr>
        <w:tab/>
      </w:r>
      <w:r>
        <w:rPr>
          <w:rFonts w:ascii="Wingdings" w:cs="Wingdings" w:eastAsia="Wingdings" w:hAnsi="Wingdings"/>
          <w:sz w:val="18"/>
          <w:szCs w:val="18"/>
          <w:b w:val="1"/>
          <w:bCs w:val="1"/>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40575" cy="3317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0575"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all director nominees in Proposal 1 and “FOR” Proposals 2, 3 and 4.</w:t>
      </w:r>
    </w:p>
    <w:p>
      <w:pPr>
        <w:spacing w:after="0" w:line="163" w:lineRule="exact"/>
        <w:rPr>
          <w:sz w:val="20"/>
          <w:szCs w:val="20"/>
          <w:color w:val="auto"/>
        </w:rPr>
      </w:pPr>
    </w:p>
    <w:p>
      <w:pPr>
        <w:jc w:val="center"/>
        <w:ind w:right="260"/>
        <w:spacing w:after="0" w:line="325" w:lineRule="auto"/>
        <w:rPr>
          <w:sz w:val="20"/>
          <w:szCs w:val="20"/>
          <w:color w:val="auto"/>
        </w:rPr>
      </w:pPr>
      <w:r>
        <w:rPr>
          <w:rFonts w:ascii="Times New Roman" w:cs="Times New Roman" w:eastAsia="Times New Roman" w:hAnsi="Times New Roman"/>
          <w:sz w:val="14"/>
          <w:szCs w:val="14"/>
          <w:b w:val="1"/>
          <w:bCs w:val="1"/>
          <w:color w:val="auto"/>
        </w:rPr>
        <w:t xml:space="preserve">PLEASE SIGN, DATE AND RETURN PROMPTLY IN THE ENCLOSED ENVELOPE. PLEASE MARK YOUR VOTE IN BLUE OR BLACK INK AS SHOWN HERE   </w:t>
      </w:r>
      <w:r>
        <w:rPr>
          <w:rFonts w:ascii="Wingdings" w:cs="Wingdings" w:eastAsia="Wingdings" w:hAnsi="Wingdings"/>
          <w:sz w:val="14"/>
          <w:szCs w:val="14"/>
          <w:b w:val="1"/>
          <w:bCs w:val="1"/>
          <w:color w:val="auto"/>
        </w:rPr>
        <w:t>x</w:t>
      </w:r>
    </w:p>
    <w:p>
      <w:pPr>
        <w:sectPr>
          <w:pgSz w:w="11900" w:h="16838" w:orient="portrait"/>
          <w:cols w:equalWidth="0" w:num="1">
            <w:col w:w="11240"/>
          </w:cols>
          <w:pgMar w:left="340" w:top="1285" w:right="319" w:bottom="1440" w:gutter="0" w:footer="0" w:header="0"/>
        </w:sectPr>
      </w:pPr>
    </w:p>
    <w:p>
      <w:pPr>
        <w:spacing w:after="0" w:line="214" w:lineRule="exact"/>
        <w:rPr>
          <w:sz w:val="20"/>
          <w:szCs w:val="20"/>
          <w:color w:val="auto"/>
        </w:rPr>
      </w:pPr>
    </w:p>
    <w:p>
      <w:pPr>
        <w:jc w:val="both"/>
        <w:ind w:right="840" w:firstLine="6"/>
        <w:spacing w:after="0" w:line="241" w:lineRule="auto"/>
        <w:tabs>
          <w:tab w:leader="none" w:pos="14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six directors to hold office until the next annual meeting of Westwood’s stockholders and until their respective successors shall have been duly elected and qualified.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FOR</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AGAINST</w:t>
            </w:r>
          </w:p>
        </w:tc>
        <w:tc>
          <w:tcPr>
            <w:tcW w:w="700" w:type="dxa"/>
            <w:vAlign w:val="bottom"/>
          </w:tcPr>
          <w:p>
            <w:pPr>
              <w:jc w:val="center"/>
              <w:ind w:left="155"/>
              <w:spacing w:after="0"/>
              <w:rPr>
                <w:sz w:val="20"/>
                <w:szCs w:val="20"/>
                <w:color w:val="auto"/>
              </w:rPr>
            </w:pPr>
            <w:r>
              <w:rPr>
                <w:rFonts w:ascii="Times New Roman" w:cs="Times New Roman" w:eastAsia="Times New Roman" w:hAnsi="Times New Roman"/>
                <w:sz w:val="11"/>
                <w:szCs w:val="11"/>
                <w:color w:val="auto"/>
                <w:w w:val="96"/>
              </w:rPr>
              <w:t>ABSTAIN</w:t>
            </w:r>
          </w:p>
        </w:tc>
      </w:tr>
      <w:tr>
        <w:trPr>
          <w:trHeight w:val="274"/>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01)</w:t>
            </w: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Brian O. Casey</w:t>
            </w:r>
          </w:p>
        </w:tc>
        <w:tc>
          <w:tcPr>
            <w:tcW w:w="960" w:type="dxa"/>
            <w:vAlign w:val="bottom"/>
          </w:tcPr>
          <w:p>
            <w:pPr>
              <w:ind w:left="48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83"/>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02)</w:t>
            </w: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Ellen H. Masterson</w:t>
            </w:r>
          </w:p>
        </w:tc>
        <w:tc>
          <w:tcPr>
            <w:tcW w:w="960" w:type="dxa"/>
            <w:vAlign w:val="bottom"/>
          </w:tcPr>
          <w:p>
            <w:pPr>
              <w:ind w:left="48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7"/>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03)</w:t>
            </w: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Randy A. Bowman</w:t>
            </w:r>
          </w:p>
        </w:tc>
        <w:tc>
          <w:tcPr>
            <w:tcW w:w="960" w:type="dxa"/>
            <w:vAlign w:val="bottom"/>
          </w:tcPr>
          <w:p>
            <w:pPr>
              <w:ind w:left="48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43"/>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04)</w:t>
            </w: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 Hale Hoak</w:t>
            </w:r>
          </w:p>
        </w:tc>
        <w:tc>
          <w:tcPr>
            <w:tcW w:w="960" w:type="dxa"/>
            <w:vAlign w:val="bottom"/>
          </w:tcPr>
          <w:p>
            <w:pPr>
              <w:ind w:left="48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70"/>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05)</w:t>
            </w: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Katherine A. Murray</w:t>
            </w:r>
          </w:p>
        </w:tc>
        <w:tc>
          <w:tcPr>
            <w:tcW w:w="960" w:type="dxa"/>
            <w:vAlign w:val="bottom"/>
          </w:tcPr>
          <w:p>
            <w:pPr>
              <w:ind w:left="48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6"/>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06)</w:t>
            </w: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Janice Ryan</w:t>
            </w:r>
          </w:p>
        </w:tc>
        <w:tc>
          <w:tcPr>
            <w:tcW w:w="960" w:type="dxa"/>
            <w:vAlign w:val="bottom"/>
          </w:tcPr>
          <w:p>
            <w:pPr>
              <w:ind w:left="48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4" w:right="40" w:firstLine="4"/>
        <w:spacing w:after="0" w:line="241" w:lineRule="auto"/>
        <w:tabs>
          <w:tab w:leader="none" w:pos="175"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BDO USA, P.C. as Westwood’s independent auditors for the year ending December 31, 2026.</w:t>
      </w:r>
    </w:p>
    <w:p>
      <w:pPr>
        <w:spacing w:after="0" w:line="203" w:lineRule="exact"/>
        <w:rPr>
          <w:rFonts w:ascii="Times New Roman" w:cs="Times New Roman" w:eastAsia="Times New Roman" w:hAnsi="Times New Roman"/>
          <w:sz w:val="14"/>
          <w:szCs w:val="14"/>
          <w:color w:val="auto"/>
        </w:rPr>
      </w:pPr>
    </w:p>
    <w:p>
      <w:pPr>
        <w:ind w:left="-4" w:firstLine="4"/>
        <w:spacing w:after="0" w:line="241" w:lineRule="auto"/>
        <w:tabs>
          <w:tab w:leader="none" w:pos="13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Twelfth Amended and Restated Westwood Holdings Group, Inc. Stock Incentive Plan.</w:t>
      </w:r>
    </w:p>
    <w:p>
      <w:pPr>
        <w:spacing w:after="0" w:line="325" w:lineRule="exact"/>
        <w:rPr>
          <w:rFonts w:ascii="Times New Roman" w:cs="Times New Roman" w:eastAsia="Times New Roman" w:hAnsi="Times New Roman"/>
          <w:sz w:val="14"/>
          <w:szCs w:val="14"/>
          <w:color w:val="auto"/>
        </w:rPr>
      </w:pPr>
    </w:p>
    <w:p>
      <w:pPr>
        <w:ind w:left="-4" w:right="340" w:firstLine="4"/>
        <w:spacing w:after="0" w:line="261" w:lineRule="auto"/>
        <w:tabs>
          <w:tab w:leader="none" w:pos="139"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cast a non-binding, advisory vote on Westwood's executive compensation.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540" w:val="left"/>
          <w:tab w:leader="none" w:pos="1400" w:val="left"/>
        </w:tabs>
        <w:rPr>
          <w:sz w:val="20"/>
          <w:szCs w:val="20"/>
          <w:color w:val="auto"/>
        </w:rPr>
      </w:pPr>
      <w:r>
        <w:rPr>
          <w:rFonts w:ascii="Times New Roman" w:cs="Times New Roman" w:eastAsia="Times New Roman" w:hAnsi="Times New Roman"/>
          <w:sz w:val="11"/>
          <w:szCs w:val="11"/>
          <w:color w:val="auto"/>
        </w:rPr>
        <w:t>FOR</w:t>
      </w:r>
      <w:r>
        <w:rPr>
          <w:sz w:val="20"/>
          <w:szCs w:val="20"/>
          <w:color w:val="auto"/>
        </w:rPr>
        <w:tab/>
      </w:r>
      <w:r>
        <w:rPr>
          <w:rFonts w:ascii="Times New Roman" w:cs="Times New Roman" w:eastAsia="Times New Roman" w:hAnsi="Times New Roman"/>
          <w:sz w:val="11"/>
          <w:szCs w:val="11"/>
          <w:color w:val="auto"/>
        </w:rPr>
        <w:t>AGAINST</w:t>
      </w:r>
      <w:r>
        <w:rPr>
          <w:sz w:val="20"/>
          <w:szCs w:val="20"/>
          <w:color w:val="auto"/>
        </w:rPr>
        <w:tab/>
      </w:r>
      <w:r>
        <w:rPr>
          <w:rFonts w:ascii="Times New Roman" w:cs="Times New Roman" w:eastAsia="Times New Roman" w:hAnsi="Times New Roman"/>
          <w:sz w:val="10"/>
          <w:szCs w:val="10"/>
          <w:color w:val="auto"/>
        </w:rPr>
        <w:t>ABSTAIN</w:t>
      </w:r>
    </w:p>
    <w:p>
      <w:pPr>
        <w:spacing w:after="0" w:line="47" w:lineRule="exact"/>
        <w:rPr>
          <w:sz w:val="20"/>
          <w:szCs w:val="20"/>
          <w:color w:val="auto"/>
        </w:rPr>
      </w:pPr>
    </w:p>
    <w:p>
      <w:pPr>
        <w:ind w:left="40"/>
        <w:spacing w:after="0"/>
        <w:tabs>
          <w:tab w:leader="none" w:pos="700" w:val="left"/>
          <w:tab w:leader="none" w:pos="156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200" w:lineRule="exact"/>
        <w:rPr>
          <w:sz w:val="20"/>
          <w:szCs w:val="20"/>
          <w:color w:val="auto"/>
        </w:rPr>
      </w:pPr>
    </w:p>
    <w:p>
      <w:pPr>
        <w:spacing w:after="0" w:line="289" w:lineRule="exact"/>
        <w:rPr>
          <w:sz w:val="20"/>
          <w:szCs w:val="20"/>
          <w:color w:val="auto"/>
        </w:rPr>
      </w:pPr>
    </w:p>
    <w:p>
      <w:pPr>
        <w:ind w:left="40"/>
        <w:spacing w:after="0"/>
        <w:tabs>
          <w:tab w:leader="none" w:pos="700" w:val="left"/>
          <w:tab w:leader="none" w:pos="156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700" w:val="left"/>
          <w:tab w:leader="none" w:pos="156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603" w:lineRule="exact"/>
        <w:rPr>
          <w:sz w:val="20"/>
          <w:szCs w:val="20"/>
          <w:color w:val="auto"/>
        </w:rPr>
      </w:pPr>
    </w:p>
    <w:p>
      <w:pPr>
        <w:sectPr>
          <w:pgSz w:w="11900" w:h="16838" w:orient="portrait"/>
          <w:cols w:equalWidth="0" w:num="3">
            <w:col w:w="4900" w:space="344"/>
            <w:col w:w="2756" w:space="400"/>
            <w:col w:w="2840"/>
          </w:cols>
          <w:pgMar w:left="340" w:top="1285" w:right="319"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4"/>
          <w:szCs w:val="14"/>
          <w:color w:val="auto"/>
        </w:rPr>
        <w:t>IN THEIR DISCRETION, THE PROXIES ARE AUTHORIZED TO VOTE UPON</w:t>
      </w:r>
    </w:p>
    <w:p>
      <w:pPr>
        <w:ind w:left="5240"/>
        <w:spacing w:after="0" w:line="226" w:lineRule="auto"/>
        <w:rPr>
          <w:sz w:val="20"/>
          <w:szCs w:val="20"/>
          <w:color w:val="auto"/>
        </w:rPr>
      </w:pPr>
      <w:r>
        <w:rPr>
          <w:rFonts w:ascii="Times New Roman" w:cs="Times New Roman" w:eastAsia="Times New Roman" w:hAnsi="Times New Roman"/>
          <w:sz w:val="14"/>
          <w:szCs w:val="14"/>
          <w:color w:val="auto"/>
        </w:rPr>
        <w:t>SUCH OTHER MATTERS AS MAY PROPERLY COME BEFORE THE ANNUAL</w:t>
      </w:r>
    </w:p>
    <w:p>
      <w:pPr>
        <w:ind w:left="5240"/>
        <w:spacing w:after="0"/>
        <w:rPr>
          <w:sz w:val="20"/>
          <w:szCs w:val="20"/>
          <w:color w:val="auto"/>
        </w:rPr>
      </w:pPr>
      <w:r>
        <w:rPr>
          <w:rFonts w:ascii="Times New Roman" w:cs="Times New Roman" w:eastAsia="Times New Roman" w:hAnsi="Times New Roman"/>
          <w:sz w:val="14"/>
          <w:szCs w:val="14"/>
          <w:color w:val="auto"/>
        </w:rPr>
        <w:t>MEETING OR ANY POSTPONEMENTS OR ADJOURNMENTS THEREOF.</w:t>
      </w:r>
    </w:p>
    <w:p>
      <w:pPr>
        <w:spacing w:after="0" w:line="3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THIS PROXY, WHEN PROPERLY EXECUTED, WILL BE VOTED IN ACCORDANCE</w:t>
      </w:r>
    </w:p>
    <w:p>
      <w:pPr>
        <w:ind w:left="5240"/>
        <w:spacing w:after="0" w:line="213" w:lineRule="auto"/>
        <w:rPr>
          <w:sz w:val="20"/>
          <w:szCs w:val="20"/>
          <w:color w:val="auto"/>
        </w:rPr>
      </w:pPr>
      <w:r>
        <w:rPr>
          <w:rFonts w:ascii="Times New Roman" w:cs="Times New Roman" w:eastAsia="Times New Roman" w:hAnsi="Times New Roman"/>
          <w:sz w:val="12"/>
          <w:szCs w:val="12"/>
          <w:b w:val="1"/>
          <w:bCs w:val="1"/>
          <w:color w:val="auto"/>
        </w:rPr>
        <w:t>WITH THE SPECIFICATIONS MADE BELOW, BUT IF NO CHOICE IS INDICATED, THIS</w:t>
      </w:r>
    </w:p>
    <w:p>
      <w:pPr>
        <w:ind w:left="5240"/>
        <w:spacing w:after="0" w:line="195" w:lineRule="auto"/>
        <w:rPr>
          <w:sz w:val="20"/>
          <w:szCs w:val="20"/>
          <w:color w:val="auto"/>
        </w:rPr>
      </w:pPr>
      <w:r>
        <w:rPr>
          <w:rFonts w:ascii="Times New Roman" w:cs="Times New Roman" w:eastAsia="Times New Roman" w:hAnsi="Times New Roman"/>
          <w:sz w:val="13"/>
          <w:szCs w:val="13"/>
          <w:b w:val="1"/>
          <w:bCs w:val="1"/>
          <w:color w:val="auto"/>
        </w:rPr>
        <w:t>PROXY WILL BE VOTED "FOR" ALL DIRECTOR NOMINEES IN PROPOSAL 1 AND</w:t>
      </w:r>
    </w:p>
    <w:p>
      <w:pPr>
        <w:ind w:left="5240"/>
        <w:spacing w:after="0" w:line="217" w:lineRule="auto"/>
        <w:rPr>
          <w:sz w:val="20"/>
          <w:szCs w:val="20"/>
          <w:color w:val="auto"/>
        </w:rPr>
      </w:pPr>
      <w:r>
        <w:rPr>
          <w:rFonts w:ascii="Times New Roman" w:cs="Times New Roman" w:eastAsia="Times New Roman" w:hAnsi="Times New Roman"/>
          <w:sz w:val="13"/>
          <w:szCs w:val="13"/>
          <w:b w:val="1"/>
          <w:bCs w:val="1"/>
          <w:color w:val="auto"/>
        </w:rPr>
        <w:t>"FOR" PROPOSALS 2, 3, AND 4, AND IN THE DISCRETION OF THE PROXIES WITH</w:t>
      </w:r>
    </w:p>
    <w:p>
      <w:pPr>
        <w:ind w:left="5240"/>
        <w:spacing w:after="0" w:line="195" w:lineRule="auto"/>
        <w:rPr>
          <w:sz w:val="20"/>
          <w:szCs w:val="20"/>
          <w:color w:val="auto"/>
        </w:rPr>
      </w:pPr>
      <w:r>
        <w:rPr>
          <w:rFonts w:ascii="Times New Roman" w:cs="Times New Roman" w:eastAsia="Times New Roman" w:hAnsi="Times New Roman"/>
          <w:sz w:val="13"/>
          <w:szCs w:val="13"/>
          <w:b w:val="1"/>
          <w:bCs w:val="1"/>
          <w:color w:val="auto"/>
        </w:rPr>
        <w:t>RESPECT TO ANY OTHER MATTER AS MAY PROPERLY COME BEFORE THE</w:t>
      </w:r>
    </w:p>
    <w:p>
      <w:pPr>
        <w:ind w:left="5240"/>
        <w:spacing w:after="0"/>
        <w:rPr>
          <w:sz w:val="20"/>
          <w:szCs w:val="20"/>
          <w:color w:val="auto"/>
        </w:rPr>
      </w:pPr>
      <w:r>
        <w:rPr>
          <w:rFonts w:ascii="Times New Roman" w:cs="Times New Roman" w:eastAsia="Times New Roman" w:hAnsi="Times New Roman"/>
          <w:sz w:val="13"/>
          <w:szCs w:val="13"/>
          <w:b w:val="1"/>
          <w:bCs w:val="1"/>
          <w:color w:val="auto"/>
        </w:rPr>
        <w:t>ANNUAL MEETING OR ANY POSTPONEMENTS OR ADJOURNMENTS THEREOF.</w:t>
      </w:r>
    </w:p>
    <w:p>
      <w:pPr>
        <w:sectPr>
          <w:pgSz w:w="11900" w:h="16838" w:orient="portrait"/>
          <w:cols w:equalWidth="0" w:num="1">
            <w:col w:w="11240"/>
          </w:cols>
          <w:pgMar w:left="340" w:top="128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of Stockholder</w:t>
      </w:r>
    </w:p>
    <w:p>
      <w:pPr>
        <w:spacing w:after="0" w:line="251"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n</w:t>
      </w:r>
    </w:p>
    <w:p>
      <w:pPr>
        <w:jc w:val="right"/>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17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84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80" w:type="dxa"/>
            <w:vAlign w:val="bottom"/>
            <w:tcBorders>
              <w:top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160" w:type="dxa"/>
            <w:vAlign w:val="bottom"/>
            <w:tcBorders>
              <w:right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w:t>
            </w:r>
          </w:p>
        </w:tc>
        <w:tc>
          <w:tcPr>
            <w:tcW w:w="1080" w:type="dxa"/>
            <w:vAlign w:val="bottom"/>
            <w:vMerge w:val="restart"/>
          </w:tcPr>
          <w:p>
            <w:pPr>
              <w:ind w:left="900"/>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151"/>
        </w:trPr>
        <w:tc>
          <w:tcPr>
            <w:tcW w:w="8280" w:type="dxa"/>
            <w:vAlign w:val="bottom"/>
            <w:gridSpan w:val="7"/>
          </w:tcPr>
          <w:p>
            <w:pPr>
              <w:ind w:left="20"/>
              <w:spacing w:after="0" w:line="151" w:lineRule="exact"/>
              <w:rPr>
                <w:sz w:val="20"/>
                <w:szCs w:val="20"/>
                <w:color w:val="auto"/>
              </w:rPr>
            </w:pPr>
            <w:r>
              <w:rPr>
                <w:rFonts w:ascii="Times New Roman" w:cs="Times New Roman" w:eastAsia="Times New Roman" w:hAnsi="Times New Roman"/>
                <w:sz w:val="14"/>
                <w:szCs w:val="14"/>
                <w:color w:val="auto"/>
              </w:rPr>
              <w:t>executor, administrator, attorney, trustee or guardian, please give full title as such. If the signer is a corporation, please sign full corporate</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29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2">
        <w:col w:w="1500" w:space="380"/>
        <w:col w:w="9360"/>
      </w:cols>
      <w:pgMar w:left="340" w:top="128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x"/>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x"/>
      <w:numFmt w:val="bullet"/>
      <w:start w:val="1"/>
    </w:lvl>
  </w:abstractNum>
  <w:abstractNum w:abstractNumId="4">
    <w:nsid w:val="3938657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5">
    <w:nsid w:val="1CF10FD8"/>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6">
    <w:nsid w:val="180115BE"/>
    <w:multiLevelType w:val="hybridMultilevel"/>
    <w:lvl w:ilvl="0">
      <w:lvlJc w:val="left"/>
      <w:lvlText w:val="%1:"/>
      <w:numFmt w:val="upperLetter"/>
      <w:start w:val="1"/>
    </w:lvl>
  </w:abstractNum>
  <w:abstractNum w:abstractNumId="7">
    <w:nsid w:val="235BA861"/>
    <w:multiLevelType w:val="hybridMultilevel"/>
    <w:lvl w:ilvl="0">
      <w:lvlJc w:val="left"/>
      <w:lvlText w:val="%1:"/>
      <w:numFmt w:val="upperLetter"/>
      <w:start w:val="1"/>
    </w:lvl>
    <w:lvl w:ilvl="1">
      <w:lvlJc w:val="left"/>
      <w:lvlText w:val="•"/>
      <w:numFmt w:val="bullet"/>
      <w:start w:val="1"/>
    </w:lvl>
  </w:abstractNum>
  <w:abstractNum w:abstractNumId="8">
    <w:nsid w:val="47398C89"/>
    <w:multiLevelType w:val="hybridMultilevel"/>
    <w:lvl w:ilvl="0">
      <w:lvlJc w:val="left"/>
      <w:lvlText w:val="%1:"/>
      <w:numFmt w:val="upperLetter"/>
      <w:start w:val="17"/>
    </w:lvl>
  </w:abstractNum>
  <w:abstractNum w:abstractNumId="9">
    <w:nsid w:val="354FE9F9"/>
    <w:multiLevelType w:val="hybridMultilevel"/>
    <w:lvl w:ilvl="0">
      <w:lvlJc w:val="left"/>
      <w:lvlText w:val="%1:"/>
      <w:numFmt w:val="upperLetter"/>
      <w:start w:val="1"/>
    </w:lvl>
  </w:abstractNum>
  <w:abstractNum w:abstractNumId="10">
    <w:nsid w:val="15B5AF5C"/>
    <w:multiLevelType w:val="hybridMultilevel"/>
    <w:lvl w:ilvl="0">
      <w:lvlJc w:val="left"/>
      <w:lvlText w:val="%1:"/>
      <w:numFmt w:val="upperLetter"/>
      <w:start w:val="1"/>
    </w:lvl>
  </w:abstractNum>
  <w:abstractNum w:abstractNumId="11">
    <w:nsid w:val="741226BB"/>
    <w:multiLevelType w:val="hybridMultilevel"/>
    <w:lvl w:ilvl="0">
      <w:lvlJc w:val="left"/>
      <w:lvlText w:val="%1:"/>
      <w:numFmt w:val="upperLetter"/>
      <w:start w:val="1"/>
    </w:lvl>
  </w:abstractNum>
  <w:abstractNum w:abstractNumId="12">
    <w:nsid w:val="D34B6A8"/>
    <w:multiLevelType w:val="hybridMultilevel"/>
    <w:lvl w:ilvl="0">
      <w:lvlJc w:val="left"/>
      <w:lvlText w:val="%1:"/>
      <w:numFmt w:val="upperLetter"/>
      <w:start w:val="1"/>
    </w:lvl>
  </w:abstractNum>
  <w:abstractNum w:abstractNumId="13">
    <w:nsid w:val="10233C99"/>
    <w:multiLevelType w:val="hybridMultilevel"/>
    <w:lvl w:ilvl="0">
      <w:lvlJc w:val="left"/>
      <w:lvlText w:val="%1:"/>
      <w:numFmt w:val="upperLetter"/>
      <w:start w:val="1"/>
    </w:lvl>
  </w:abstractNum>
  <w:abstractNum w:abstractNumId="14">
    <w:nsid w:val="3F6AB60F"/>
    <w:multiLevelType w:val="hybridMultilevel"/>
    <w:lvl w:ilvl="0">
      <w:lvlJc w:val="left"/>
      <w:lvlText w:val="%1:"/>
      <w:numFmt w:val="upperLetter"/>
      <w:start w:val="1"/>
    </w:lvl>
  </w:abstractNum>
  <w:abstractNum w:abstractNumId="15">
    <w:nsid w:val="61574095"/>
    <w:multiLevelType w:val="hybridMultilevel"/>
    <w:lvl w:ilvl="0">
      <w:lvlJc w:val="left"/>
      <w:lvlText w:val="%1:"/>
      <w:numFmt w:val="upperLetter"/>
      <w:start w:val="1"/>
    </w:lvl>
  </w:abstractNum>
  <w:abstractNum w:abstractNumId="16">
    <w:nsid w:val="7E0C57B1"/>
    <w:multiLevelType w:val="hybridMultilevel"/>
    <w:lvl w:ilvl="0">
      <w:lvlJc w:val="left"/>
      <w:lvlText w:val="%1:"/>
      <w:numFmt w:val="upperLetter"/>
      <w:start w:val="17"/>
    </w:lvl>
  </w:abstractNum>
  <w:abstractNum w:abstractNumId="17">
    <w:nsid w:val="77AE35EB"/>
    <w:multiLevelType w:val="hybridMultilevel"/>
    <w:lvl w:ilvl="0">
      <w:lvlJc w:val="left"/>
      <w:lvlText w:val="%1:"/>
      <w:numFmt w:val="upperLetter"/>
      <w:start w:val="1"/>
    </w:lvl>
  </w:abstractNum>
  <w:abstractNum w:abstractNumId="18">
    <w:nsid w:val="579BE4F1"/>
    <w:multiLevelType w:val="hybridMultilevel"/>
    <w:lvl w:ilvl="0">
      <w:lvlJc w:val="left"/>
      <w:lvlText w:val="%1:"/>
      <w:numFmt w:val="upperLetter"/>
      <w:start w:val="17"/>
    </w:lvl>
  </w:abstractNum>
  <w:abstractNum w:abstractNumId="19">
    <w:nsid w:val="310C50B3"/>
    <w:multiLevelType w:val="hybridMultilevel"/>
    <w:lvl w:ilvl="0">
      <w:lvlJc w:val="left"/>
      <w:lvlText w:val="%1:"/>
      <w:numFmt w:val="upperLetter"/>
      <w:start w:val="1"/>
    </w:lvl>
    <w:lvl w:ilvl="1">
      <w:lvlJc w:val="left"/>
      <w:lvlText w:val="•"/>
      <w:numFmt w:val="bullet"/>
      <w:start w:val="1"/>
    </w:lvl>
  </w:abstractNum>
  <w:abstractNum w:abstractNumId="20">
    <w:nsid w:val="5FF87E05"/>
    <w:multiLevelType w:val="hybridMultilevel"/>
    <w:lvl w:ilvl="0">
      <w:lvlJc w:val="left"/>
      <w:lvlText w:val="%1:"/>
      <w:numFmt w:val="upperLetter"/>
      <w:start w:val="17"/>
    </w:lvl>
  </w:abstractNum>
  <w:abstractNum w:abstractNumId="21">
    <w:nsid w:val="2F305DEF"/>
    <w:multiLevelType w:val="hybridMultilevel"/>
    <w:lvl w:ilvl="0">
      <w:lvlJc w:val="left"/>
      <w:lvlText w:val="%1:"/>
      <w:numFmt w:val="upperLetter"/>
      <w:start w:val="1"/>
    </w:lvl>
  </w:abstractNum>
  <w:abstractNum w:abstractNumId="22">
    <w:nsid w:val="25A70BF7"/>
    <w:multiLevelType w:val="hybridMultilevel"/>
    <w:lvl w:ilvl="0">
      <w:lvlJc w:val="left"/>
      <w:lvlText w:val="%1:"/>
      <w:numFmt w:val="upperLetter"/>
      <w:start w:val="1"/>
    </w:lvl>
  </w:abstractNum>
  <w:abstractNum w:abstractNumId="23">
    <w:nsid w:val="1DBABF00"/>
    <w:multiLevelType w:val="hybridMultilevel"/>
    <w:lvl w:ilvl="0">
      <w:lvlJc w:val="left"/>
      <w:lvlText w:val="%1:"/>
      <w:numFmt w:val="upperLetter"/>
      <w:start w:val="1"/>
    </w:lvl>
  </w:abstractNum>
  <w:abstractNum w:abstractNumId="24">
    <w:nsid w:val="4AD084E9"/>
    <w:multiLevelType w:val="hybridMultilevel"/>
    <w:lvl w:ilvl="0">
      <w:lvlJc w:val="left"/>
      <w:lvlText w:val="%1:"/>
      <w:numFmt w:val="upperLetter"/>
      <w:start w:val="1"/>
    </w:lvl>
  </w:abstractNum>
  <w:abstractNum w:abstractNumId="25">
    <w:nsid w:val="1F48EAA1"/>
    <w:multiLevelType w:val="hybridMultilevel"/>
    <w:lvl w:ilvl="0">
      <w:lvlJc w:val="left"/>
      <w:lvlText w:val="%1:"/>
      <w:numFmt w:val="upperLetter"/>
      <w:start w:val="1"/>
    </w:lvl>
  </w:abstractNum>
  <w:abstractNum w:abstractNumId="26">
    <w:nsid w:val="1381823A"/>
    <w:multiLevelType w:val="hybridMultilevel"/>
    <w:lvl w:ilvl="0">
      <w:lvlJc w:val="left"/>
      <w:lvlText w:val="M"/>
      <w:numFmt w:val="bullet"/>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1)"/>
      <w:numFmt w:val="lowerRoman"/>
      <w:start w:val="7"/>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1)"/>
      <w:numFmt w:val="decimal"/>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1)"/>
      <w:numFmt w:val="decimal"/>
      <w:start w:val="3"/>
    </w:lvl>
  </w:abstractNum>
  <w:abstractNum w:abstractNumId="40">
    <w:nsid w:val="540A471C"/>
    <w:multiLevelType w:val="hybridMultilevel"/>
    <w:lvl w:ilvl="0">
      <w:lvlJc w:val="left"/>
      <w:lvlText w:val="(%1)"/>
      <w:numFmt w:val="decimal"/>
      <w:start w:val="4"/>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decimal"/>
      <w:start w:val="2"/>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1)"/>
      <w:numFmt w:val="upperLetter"/>
      <w:start w:val="2"/>
    </w:lvl>
  </w:abstractNum>
  <w:abstractNum w:abstractNumId="59">
    <w:nsid w:val="100F59DC"/>
    <w:multiLevelType w:val="hybridMultilevel"/>
    <w:lvl w:ilvl="0">
      <w:lvlJc w:val="left"/>
      <w:lvlText w:val="(%1)"/>
      <w:numFmt w:val="lowerRoman"/>
      <w:start w:val="1"/>
    </w:lvl>
  </w:abstractNum>
  <w:abstractNum w:abstractNumId="60">
    <w:nsid w:val="7FB7E0AA"/>
    <w:multiLevelType w:val="hybridMultilevel"/>
    <w:lvl w:ilvl="0">
      <w:lvlJc w:val="left"/>
      <w:lvlText w:val="(%1)"/>
      <w:numFmt w:val="lowerRoman"/>
      <w:start w:val="7"/>
    </w:lvl>
  </w:abstractNum>
  <w:abstractNum w:abstractNumId="61">
    <w:nsid w:val="6EB5BD4"/>
    <w:multiLevelType w:val="hybridMultilevel"/>
    <w:lvl w:ilvl="0">
      <w:lvlJc w:val="left"/>
      <w:lvlText w:val="(%1)"/>
      <w:numFmt w:val="lowerRoman"/>
      <w:start w:val="2"/>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7">
    <w:nsid w:val="1716703B"/>
    <w:multiLevelType w:val="hybridMultilevel"/>
    <w:lvl w:ilvl="0">
      <w:lvlJc w:val="left"/>
      <w:lvlText w:val="%1."/>
      <w:numFmt w:val="lowerLetter"/>
      <w:start w:val="8"/>
    </w:lvl>
    <w:lvl w:ilvl="1">
      <w:lvlJc w:val="left"/>
      <w:lvlText w:val="%2."/>
      <w:numFmt w:val="lowerRoman"/>
      <w:start w:val="1"/>
    </w:lvl>
  </w:abstractNum>
  <w:abstractNum w:abstractNumId="68">
    <w:nsid w:val="14E17E33"/>
    <w:multiLevelType w:val="hybridMultilevel"/>
    <w:lvl w:ilvl="0">
      <w:lvlJc w:val="left"/>
      <w:lvlText w:val="%1."/>
      <w:numFmt w:val="lowerLetter"/>
      <w:start w:val="19"/>
    </w:lvl>
  </w:abstractNum>
  <w:abstractNum w:abstractNumId="69">
    <w:nsid w:val="3222E7CD"/>
    <w:multiLevelType w:val="hybridMultilevel"/>
    <w:lvl w:ilvl="0">
      <w:lvlJc w:val="left"/>
      <w:lvlText w:val="%1."/>
      <w:numFmt w:val="lowerLetter"/>
      <w:start w:val="27"/>
    </w:lvl>
  </w:abstractNum>
  <w:abstractNum w:abstractNumId="70">
    <w:nsid w:val="74DE0EE3"/>
    <w:multiLevelType w:val="hybridMultilevel"/>
    <w:lvl w:ilvl="0">
      <w:lvlJc w:val="left"/>
      <w:lvlText w:val="%1"/>
      <w:numFmt w:val="decimal"/>
      <w:start w:val="1"/>
    </w:lvl>
    <w:lvl w:ilvl="1">
      <w:lvlJc w:val="left"/>
      <w:lvlText w:val="%2."/>
      <w:numFmt w:val="decimal"/>
      <w:start w:val="2"/>
    </w:lvl>
  </w:abstractNum>
  <w:abstractNum w:abstractNumId="71">
    <w:nsid w:val="68EBC550"/>
    <w:multiLevelType w:val="hybridMultilevel"/>
    <w:lvl w:ilvl="0">
      <w:lvlJc w:val="left"/>
      <w:lvlText w:val="%1."/>
      <w:numFmt w:val="decimal"/>
      <w:start w:val="3"/>
    </w:lvl>
    <w:lvl w:ilvl="1">
      <w:lvlJc w:val="left"/>
      <w:lvlText w:val="%2."/>
      <w:numFmt w:val="decimal"/>
      <w:start w:val="1"/>
    </w:lvl>
  </w:abstractNum>
  <w:abstractNum w:abstractNumId="72">
    <w:nsid w:val="2DF6D648"/>
    <w:multiLevelType w:val="hybridMultilevel"/>
    <w:lvl w:ilvl="0">
      <w:lvlJc w:val="left"/>
      <w:lvlText w:val="%1."/>
      <w:numFmt w:val="decimal"/>
      <w:start w:val="3"/>
    </w:lvl>
    <w:lvl w:ilvl="1">
      <w:lvlJc w:val="left"/>
      <w:lvlText w:val="%2."/>
      <w:numFmt w:val="lowerLetter"/>
      <w:start w:val="1"/>
    </w:lvl>
  </w:abstractNum>
  <w:abstractNum w:abstractNumId="73">
    <w:nsid w:val="46B7D447"/>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74">
    <w:nsid w:val="4A2AC3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5">
    <w:nsid w:val="39EE015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43F1842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79">
    <w:nsid w:val="60EF011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0">
    <w:nsid w:val="26F324B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81">
    <w:nsid w:val="7F01579B"/>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2">
    <w:nsid w:val="49DA307D"/>
    <w:multiLevelType w:val="hybridMultilevel"/>
    <w:lvl w:ilvl="0">
      <w:lvlJc w:val="left"/>
      <w:lvlText w:val="%1."/>
      <w:numFmt w:val="lowerLetter"/>
      <w:start w:val="3"/>
    </w:lvl>
  </w:abstractNum>
  <w:abstractNum w:abstractNumId="83">
    <w:nsid w:val="7055A5F5"/>
    <w:multiLevelType w:val="hybridMultilevel"/>
    <w:lvl w:ilvl="0">
      <w:lvlJc w:val="left"/>
      <w:lvlText w:val="%1."/>
      <w:numFmt w:val="decimal"/>
      <w:start w:val="8"/>
    </w:lvl>
  </w:abstractNum>
  <w:abstractNum w:abstractNumId="84">
    <w:nsid w:val="5FB8370B"/>
    <w:multiLevelType w:val="hybridMultilevel"/>
    <w:lvl w:ilvl="0">
      <w:lvlJc w:val="left"/>
      <w:lvlText w:val="(%1)"/>
      <w:numFmt w:val="lowerLetter"/>
      <w:start w:val="2"/>
    </w:lvl>
  </w:abstractNum>
  <w:abstractNum w:abstractNumId="85">
    <w:nsid w:val="50801EE1"/>
    <w:multiLevelType w:val="hybridMultilevel"/>
    <w:lvl w:ilvl="0">
      <w:lvlJc w:val="left"/>
      <w:lvlText w:val="%1."/>
      <w:numFmt w:val="decimal"/>
      <w:start w:val="9"/>
    </w:lvl>
    <w:lvl w:ilvl="1">
      <w:lvlJc w:val="left"/>
      <w:lvlText w:val="%2."/>
      <w:numFmt w:val="decimal"/>
      <w:start w:val="1"/>
    </w:lvl>
  </w:abstractNum>
  <w:abstractNum w:abstractNumId="86">
    <w:nsid w:val="488AC1A"/>
    <w:multiLevelType w:val="hybridMultilevel"/>
    <w:lvl w:ilvl="0">
      <w:lvlJc w:val="left"/>
      <w:lvlText w:val="%1"/>
      <w:numFmt w:val="decimal"/>
      <w:start w:val="1"/>
    </w:lvl>
    <w:lvl w:ilvl="1">
      <w:lvlJc w:val="left"/>
      <w:lvlText w:val="%2."/>
      <w:numFmt w:val="decimal"/>
      <w:start w:val="3"/>
    </w:lvl>
  </w:abstractNum>
  <w:abstractNum w:abstractNumId="87">
    <w:nsid w:val="5FB8011C"/>
    <w:multiLevelType w:val="hybridMultilevel"/>
    <w:lvl w:ilvl="0">
      <w:lvlJc w:val="left"/>
      <w:lvlText w:val="%1."/>
      <w:numFmt w:val="decimal"/>
      <w:start w:val="10"/>
    </w:lvl>
    <w:lvl w:ilvl="1">
      <w:lvlJc w:val="left"/>
      <w:lvlText w:val="%2"/>
      <w:numFmt w:val="decimal"/>
      <w:start w:val="1"/>
    </w:lvl>
  </w:abstractNum>
  <w:abstractNum w:abstractNumId="88">
    <w:nsid w:val="6AA78F7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9">
    <w:nsid w:val="7672BD23"/>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90">
    <w:nsid w:val="6FC75A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1">
    <w:nsid w:val="6A5F7029"/>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92">
    <w:nsid w:val="7D5E18F8"/>
    <w:multiLevelType w:val="hybridMultilevel"/>
    <w:lvl w:ilvl="0">
      <w:lvlJc w:val="left"/>
      <w:lvlText w:val="%1."/>
      <w:numFmt w:val="lowerLetter"/>
      <w:start w:val="17"/>
    </w:lvl>
  </w:abstractNum>
  <w:abstractNum w:abstractNumId="93">
    <w:nsid w:val="5F3534A4"/>
    <w:multiLevelType w:val="hybridMultilevel"/>
    <w:lvl w:ilvl="0">
      <w:lvlJc w:val="left"/>
      <w:lvlText w:val="%1"/>
      <w:numFmt w:val="decimal"/>
      <w:start w:val="1"/>
    </w:lvl>
    <w:lvl w:ilvl="1">
      <w:lvlJc w:val="left"/>
      <w:lvlText w:val="%2."/>
      <w:numFmt w:val="decimal"/>
      <w:start w:val="3"/>
    </w:lvl>
  </w:abstractNum>
  <w:abstractNum w:abstractNumId="94">
    <w:nsid w:val="73A1821B"/>
    <w:multiLevelType w:val="hybridMultilevel"/>
    <w:lvl w:ilvl="0">
      <w:lvlJc w:val="left"/>
      <w:lvlText w:val="%1."/>
      <w:numFmt w:val="decimal"/>
      <w:start w:val="13"/>
    </w:lvl>
    <w:lvl w:ilvl="1">
      <w:lvlJc w:val="left"/>
      <w:lvlText w:val="%2."/>
      <w:numFmt w:val="decimal"/>
      <w:start w:val="1"/>
    </w:lvl>
  </w:abstractNum>
  <w:abstractNum w:abstractNumId="95">
    <w:nsid w:val="7DE67713"/>
    <w:multiLevelType w:val="hybridMultilevel"/>
    <w:lvl w:ilvl="0">
      <w:lvlJc w:val="left"/>
      <w:lvlText w:val="%1."/>
      <w:numFmt w:val="decimal"/>
      <w:start w:val="15"/>
    </w:lvl>
  </w:abstractNum>
  <w:abstractNum w:abstractNumId="96">
    <w:nsid w:val="555C55B5"/>
    <w:multiLevelType w:val="hybridMultilevel"/>
    <w:lvl w:ilvl="0">
      <w:lvlJc w:val="left"/>
      <w:lvlText w:val="%1."/>
      <w:numFmt w:val="decimal"/>
      <w:start w:val="16"/>
    </w:lvl>
    <w:lvl w:ilvl="1">
      <w:lvlJc w:val="left"/>
      <w:lvlText w:val="%2."/>
      <w:numFmt w:val="decimal"/>
      <w:start w:val="1"/>
    </w:lvl>
  </w:abstractNum>
  <w:abstractNum w:abstractNumId="97">
    <w:nsid w:val="3FA62AC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8">
    <w:nsid w:val="14FCE74E"/>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99">
    <w:nsid w:val="6A3DD3E8"/>
    <w:multiLevelType w:val="hybridMultilevel"/>
    <w:lvl w:ilvl="0">
      <w:lvlJc w:val="left"/>
      <w:lvlText w:val="%1."/>
      <w:numFmt w:val="decimal"/>
      <w:start w:val="18"/>
    </w:lvl>
  </w:abstractNum>
  <w:abstractNum w:abstractNumId="100">
    <w:nsid w:val="71C91298"/>
    <w:multiLevelType w:val="hybridMultilevel"/>
    <w:lvl w:ilvl="0">
      <w:lvlJc w:val="left"/>
      <w:lvlText w:val="%1."/>
      <w:numFmt w:val="decimal"/>
      <w:start w:val="19"/>
    </w:lvl>
  </w:abstractNum>
  <w:abstractNum w:abstractNumId="101">
    <w:nsid w:val="9DAF632"/>
    <w:multiLevelType w:val="hybridMultilevel"/>
    <w:lvl w:ilvl="0">
      <w:lvlJc w:val="left"/>
      <w:lvlText w:val="%1."/>
      <w:numFmt w:val="decimal"/>
      <w:start w:val="20"/>
    </w:lvl>
  </w:abstractNum>
  <w:abstractNum w:abstractNumId="102">
    <w:nsid w:val="53299938"/>
    <w:multiLevelType w:val="hybridMultilevel"/>
    <w:lvl w:ilvl="0">
      <w:lvlJc w:val="left"/>
      <w:lvlText w:val="%1."/>
      <w:numFmt w:val="decimal"/>
      <w:start w:val="21"/>
    </w:lvl>
  </w:abstractNum>
  <w:abstractNum w:abstractNumId="103">
    <w:nsid w:val="1FBFE8E0"/>
    <w:multiLevelType w:val="hybridMultilevel"/>
    <w:lvl w:ilvl="0">
      <w:lvlJc w:val="left"/>
      <w:lvlText w:val="%1."/>
      <w:numFmt w:val="decimal"/>
      <w:start w:val="22"/>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lowerLetter"/>
      <w:start w:val="3"/>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2026-03-13T15:50:17Z</dcterms:created>
  <dcterms:modified xsi:type="dcterms:W3CDTF">2026-03-13T15:50:17Z</dcterms:modified>
</cp:coreProperties>
</file>