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BYRNE SUSAN M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of the Board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23.9522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248,443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23.7796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249,793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251,293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-3314065</wp:posOffset>
            </wp:positionV>
            <wp:extent cx="7031355" cy="3359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Amended to correct footnote to reflect purchase. Price reflected is the weighted-average purchase price for shares purchased. The range of purchase prices for the transactions reported was $23.80 to $24.10 per share. Full information regarding the number of shares purchased at each separate price will be provided to the Commission staff, the issuer, or a security holder of the issuer upon request.</w:t>
      </w:r>
    </w:p>
    <w:p>
      <w:pPr>
        <w:ind w:left="40" w:right="360" w:firstLine="7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Amended to correct footnote to reflect purchase. Price reflected is the weighted-average purchase price for shares purchased. The range of purchase prices for the transactions reported was $23.25 to $24.25 per share. Full information regarding the number of shares purchased at each separate price will be provided to the Commission staff, the issuer, or a security holder of the issuer upon request.</w:t>
      </w:r>
    </w:p>
    <w:p>
      <w:pPr>
        <w:ind w:left="40" w:right="360" w:firstLine="7"/>
        <w:spacing w:after="0" w:line="31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Amended to correct footnote to reflect purchase. Price reflected is the weighted-average purchase price for shares purchased. The range of purchase prices for the transactions reported was $22.30 to $22.65 per share. Full information regarding the number of shares purchased at each separate price will be provided to the Commission staff, the issuer, or a security holder of the issuer upon request.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Julie K. Gerron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2020-04-30T15:18:39Z</dcterms:created>
  <dcterms:modified xsi:type="dcterms:W3CDTF">2020-04-30T15:18:39Z</dcterms:modified>
</cp:coreProperties>
</file>