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__)</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color w:val="auto"/>
        </w:rPr>
        <w:t>Vital Energy, Inc.</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color w:val="auto"/>
        </w:rPr>
        <w:t>516806205</w:t>
      </w: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44" w:lineRule="exact"/>
        <w:rPr>
          <w:sz w:val="24"/>
          <w:szCs w:val="24"/>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44" w:lineRule="exact"/>
        <w:rPr>
          <w:sz w:val="24"/>
          <w:szCs w:val="24"/>
          <w:color w:val="auto"/>
        </w:rPr>
      </w:pPr>
    </w:p>
    <w:p>
      <w:pPr>
        <w:ind w:left="24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13d-1(c)</w:t>
      </w:r>
    </w:p>
    <w:p>
      <w:pPr>
        <w:spacing w:after="0" w:line="144" w:lineRule="exact"/>
        <w:rPr>
          <w:sz w:val="24"/>
          <w:szCs w:val="24"/>
          <w:color w:val="auto"/>
        </w:rPr>
      </w:pPr>
    </w:p>
    <w:p>
      <w:pPr>
        <w:ind w:left="24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13d-1(d)</w:t>
      </w:r>
    </w:p>
    <w:p>
      <w:pPr>
        <w:spacing w:after="0" w:line="144" w:lineRule="exact"/>
        <w:rPr>
          <w:sz w:val="24"/>
          <w:szCs w:val="24"/>
          <w:color w:val="auto"/>
        </w:rPr>
      </w:pPr>
    </w:p>
    <w:p>
      <w:pPr>
        <w:ind w:firstLine="8"/>
        <w:spacing w:after="0" w:line="329"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40" w:lineRule="exact"/>
        <w:rPr>
          <w:sz w:val="24"/>
          <w:szCs w:val="24"/>
          <w:color w:val="auto"/>
        </w:rPr>
      </w:pPr>
    </w:p>
    <w:p>
      <w:pPr>
        <w:ind w:right="20"/>
        <w:spacing w:after="0" w:line="313"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20"/>
          </w:cols>
          <w:pgMar w:left="320" w:top="1015" w:right="359" w:bottom="1440" w:gutter="0" w:footer="0" w:header="0"/>
        </w:sectPr>
      </w:pPr>
    </w:p>
    <w:bookmarkStart w:id="1" w:name="page2"/>
    <w:bookmarkEnd w:id="1"/>
    <w:p>
      <w:pPr>
        <w:spacing w:after="0" w:line="33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516806205</w:t>
      </w:r>
    </w:p>
    <w:p>
      <w:pPr>
        <w:spacing w:after="0" w:line="221" w:lineRule="auto"/>
        <w:tabs>
          <w:tab w:leader="none" w:pos="8200" w:val="left"/>
          <w:tab w:leader="none" w:pos="9360" w:val="left"/>
          <w:tab w:leader="none" w:pos="9860" w:val="left"/>
          <w:tab w:leader="none" w:pos="1072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Page</w:t>
      </w:r>
      <w:r>
        <w:rPr>
          <w:sz w:val="20"/>
          <w:szCs w:val="20"/>
          <w:color w:val="auto"/>
        </w:rPr>
        <w:tab/>
      </w:r>
      <w:r>
        <w:rPr>
          <w:rFonts w:ascii="Times New Roman" w:cs="Times New Roman" w:eastAsia="Times New Roman" w:hAnsi="Times New Roman"/>
          <w:sz w:val="29"/>
          <w:szCs w:val="29"/>
          <w:color w:val="auto"/>
          <w:vertAlign w:val="subscript"/>
        </w:rPr>
        <w:t>2</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24"/>
          <w:szCs w:val="24"/>
          <w:color w:val="auto"/>
          <w:vertAlign w:val="sub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454660</wp:posOffset>
            </wp:positionV>
            <wp:extent cx="6489065" cy="2228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340" w:right="6740" w:hanging="703"/>
        <w:spacing w:after="0" w:line="223" w:lineRule="auto"/>
        <w:tabs>
          <w:tab w:leader="none" w:pos="1298" w:val="left"/>
        </w:tabs>
        <w:numPr>
          <w:ilvl w:val="0"/>
          <w:numId w:val="3"/>
        </w:numPr>
        <w:rPr>
          <w:rFonts w:ascii="Times New Roman" w:cs="Times New Roman" w:eastAsia="Times New Roman" w:hAnsi="Times New Roman"/>
          <w:sz w:val="30"/>
          <w:szCs w:val="30"/>
          <w:b w:val="1"/>
          <w:bCs w:val="1"/>
          <w:color w:val="auto"/>
        </w:rPr>
      </w:pPr>
      <w:r>
        <w:rPr>
          <w:rFonts w:ascii="Times New Roman" w:cs="Times New Roman" w:eastAsia="Times New Roman" w:hAnsi="Times New Roman"/>
          <w:sz w:val="17"/>
          <w:szCs w:val="17"/>
          <w:color w:val="auto"/>
        </w:rPr>
        <w:t>NAMES OF REPORTING PERSONS Westwood Management Corp.</w:t>
      </w:r>
    </w:p>
    <w:p>
      <w:pPr>
        <w:spacing w:after="0" w:line="200" w:lineRule="exact"/>
        <w:rPr>
          <w:sz w:val="20"/>
          <w:szCs w:val="20"/>
          <w:color w:val="auto"/>
        </w:rPr>
      </w:pPr>
    </w:p>
    <w:p>
      <w:pPr>
        <w:spacing w:after="0" w:line="252" w:lineRule="exact"/>
        <w:rPr>
          <w:sz w:val="20"/>
          <w:szCs w:val="20"/>
          <w:color w:val="auto"/>
        </w:rPr>
      </w:pPr>
    </w:p>
    <w:p>
      <w:pPr>
        <w:ind w:left="1640" w:hanging="343"/>
        <w:spacing w:after="0"/>
        <w:tabs>
          <w:tab w:leader="none" w:pos="164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ind w:left="1300" w:hanging="663"/>
        <w:spacing w:after="0" w:line="214" w:lineRule="auto"/>
        <w:tabs>
          <w:tab w:leader="none" w:pos="130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p>
      <w:pPr>
        <w:spacing w:after="0" w:line="131" w:lineRule="exact"/>
        <w:rPr>
          <w:rFonts w:ascii="Times New Roman" w:cs="Times New Roman" w:eastAsia="Times New Roman" w:hAnsi="Times New Roman"/>
          <w:sz w:val="32"/>
          <w:szCs w:val="32"/>
          <w:b w:val="1"/>
          <w:bCs w:val="1"/>
          <w:color w:val="auto"/>
        </w:rPr>
      </w:pPr>
    </w:p>
    <w:p>
      <w:pPr>
        <w:ind w:left="130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SEC USE ONLY</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83" w:lineRule="exact"/>
        <w:rPr>
          <w:sz w:val="20"/>
          <w:szCs w:val="20"/>
          <w:color w:val="auto"/>
        </w:rPr>
      </w:pPr>
    </w:p>
    <w:tbl>
      <w:tblPr>
        <w:tblLayout w:type="fixed"/>
        <w:tblInd w:w="380" w:type="dxa"/>
        <w:tblCellMar>
          <w:top w:w="0" w:type="dxa"/>
          <w:left w:w="0" w:type="dxa"/>
          <w:bottom w:w="0" w:type="dxa"/>
          <w:right w:w="0" w:type="dxa"/>
        </w:tblCellMar>
      </w:tblPr>
      <w:tr>
        <w:trPr>
          <w:trHeight w:val="412"/>
        </w:trPr>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32"/>
                <w:szCs w:val="32"/>
                <w:b w:val="1"/>
                <w:bCs w:val="1"/>
                <w:color w:val="auto"/>
              </w:rPr>
              <w:t>4</w:t>
            </w:r>
          </w:p>
        </w:tc>
        <w:tc>
          <w:tcPr>
            <w:tcW w:w="11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USA</w:t>
            </w:r>
          </w:p>
        </w:tc>
        <w:tc>
          <w:tcPr>
            <w:tcW w:w="34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567"/>
        </w:trPr>
        <w:tc>
          <w:tcPr>
            <w:tcW w:w="16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32"/>
                <w:szCs w:val="32"/>
                <w:b w:val="1"/>
                <w:bCs w:val="1"/>
                <w:color w:val="auto"/>
              </w:rPr>
              <w:t>5</w:t>
            </w:r>
          </w:p>
        </w:tc>
        <w:tc>
          <w:tcPr>
            <w:tcW w:w="8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2,092,252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rPr>
              <w:t>SHARES</w:t>
            </w: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19"/>
        </w:trPr>
        <w:tc>
          <w:tcPr>
            <w:tcW w:w="16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rPr>
              <w:t>6</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right w:val="single" w:sz="8" w:color="auto"/>
            </w:tcBorders>
            <w:vMerge w:val="continue"/>
          </w:tcPr>
          <w:p>
            <w:pPr>
              <w:spacing w:after="0"/>
              <w:rPr>
                <w:sz w:val="24"/>
                <w:szCs w:val="24"/>
                <w:color w:val="auto"/>
              </w:rPr>
            </w:pPr>
          </w:p>
        </w:tc>
        <w:tc>
          <w:tcPr>
            <w:tcW w:w="8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rPr>
              <w:t>EACH</w:t>
            </w: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70"/>
        </w:trPr>
        <w:tc>
          <w:tcPr>
            <w:tcW w:w="16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rPr>
              <w:t>7</w:t>
            </w:r>
          </w:p>
        </w:tc>
        <w:tc>
          <w:tcPr>
            <w:tcW w:w="8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rPr>
              <w:t>PERSON</w:t>
            </w:r>
          </w:p>
        </w:tc>
        <w:tc>
          <w:tcPr>
            <w:tcW w:w="340" w:type="dxa"/>
            <w:vAlign w:val="bottom"/>
            <w:tcBorders>
              <w:bottom w:val="single" w:sz="8" w:color="auto"/>
              <w:right w:val="single" w:sz="8" w:color="auto"/>
            </w:tcBorders>
            <w:vMerge w:val="continue"/>
          </w:tcPr>
          <w:p>
            <w:pPr>
              <w:spacing w:after="0"/>
              <w:rPr>
                <w:sz w:val="24"/>
                <w:szCs w:val="24"/>
                <w:color w:val="auto"/>
              </w:rPr>
            </w:pPr>
          </w:p>
        </w:tc>
        <w:tc>
          <w:tcPr>
            <w:tcW w:w="8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2,092,252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526"/>
        </w:trPr>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32"/>
                <w:szCs w:val="32"/>
                <w:b w:val="1"/>
                <w:bCs w:val="1"/>
                <w:color w:val="auto"/>
              </w:rPr>
              <w:t>8</w:t>
            </w:r>
          </w:p>
        </w:tc>
        <w:tc>
          <w:tcPr>
            <w:tcW w:w="8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-8255</wp:posOffset>
            </wp:positionV>
            <wp:extent cx="6489065" cy="2305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9065" cy="2305685"/>
                    </a:xfrm>
                    <a:prstGeom prst="rect">
                      <a:avLst/>
                    </a:prstGeom>
                    <a:noFill/>
                  </pic:spPr>
                </pic:pic>
              </a:graphicData>
            </a:graphic>
          </wp:anchor>
        </w:drawing>
      </w:r>
    </w:p>
    <w:p>
      <w:pPr>
        <w:spacing w:after="0" w:line="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86" w:lineRule="exact"/>
        <w:rPr>
          <w:sz w:val="20"/>
          <w:szCs w:val="20"/>
          <w:color w:val="auto"/>
        </w:rPr>
      </w:pPr>
    </w:p>
    <w:p>
      <w:pPr>
        <w:ind w:left="1300" w:hanging="663"/>
        <w:spacing w:after="0"/>
        <w:tabs>
          <w:tab w:leader="none" w:pos="1300" w:val="left"/>
        </w:tabs>
        <w:numPr>
          <w:ilvl w:val="0"/>
          <w:numId w:val="6"/>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2,092,252</w:t>
      </w:r>
    </w:p>
    <w:p>
      <w:pPr>
        <w:spacing w:after="0" w:line="238" w:lineRule="exact"/>
        <w:rPr>
          <w:rFonts w:ascii="Times New Roman" w:cs="Times New Roman" w:eastAsia="Times New Roman" w:hAnsi="Times New Roman"/>
          <w:sz w:val="32"/>
          <w:szCs w:val="32"/>
          <w:b w:val="1"/>
          <w:bCs w:val="1"/>
          <w:color w:val="auto"/>
        </w:rPr>
      </w:pPr>
    </w:p>
    <w:p>
      <w:pPr>
        <w:ind w:left="130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83" w:lineRule="exact"/>
        <w:rPr>
          <w:sz w:val="20"/>
          <w:szCs w:val="20"/>
          <w:color w:val="auto"/>
        </w:rPr>
      </w:pPr>
    </w:p>
    <w:tbl>
      <w:tblPr>
        <w:tblLayout w:type="fixed"/>
        <w:tblInd w:w="380" w:type="dxa"/>
        <w:tblCellMar>
          <w:top w:w="0" w:type="dxa"/>
          <w:left w:w="0" w:type="dxa"/>
          <w:bottom w:w="0" w:type="dxa"/>
          <w:right w:w="0" w:type="dxa"/>
        </w:tblCellMar>
      </w:tblPr>
      <w:tr>
        <w:trPr>
          <w:trHeight w:val="412"/>
        </w:trPr>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520" w:type="dxa"/>
            <w:vAlign w:val="bottom"/>
            <w:tcBorders>
              <w:bottom w:val="single" w:sz="8" w:color="auto"/>
            </w:tcBorders>
          </w:tcPr>
          <w:p>
            <w:pPr>
              <w:ind w:left="220"/>
              <w:spacing w:after="0"/>
              <w:rPr>
                <w:sz w:val="20"/>
                <w:szCs w:val="20"/>
                <w:color w:val="auto"/>
              </w:rPr>
            </w:pPr>
            <w:r>
              <w:rPr>
                <w:rFonts w:ascii="Wingdings" w:cs="Wingdings" w:eastAsia="Wingdings" w:hAnsi="Wingdings"/>
                <w:sz w:val="18"/>
                <w:szCs w:val="18"/>
                <w:b w:val="1"/>
                <w:bCs w:val="1"/>
                <w:color w:val="auto"/>
              </w:rPr>
              <w:t>o</w:t>
            </w:r>
          </w:p>
        </w:tc>
      </w:tr>
      <w:tr>
        <w:trPr>
          <w:trHeight w:val="304"/>
        </w:trPr>
        <w:tc>
          <w:tcPr>
            <w:tcW w:w="700" w:type="dxa"/>
            <w:vAlign w:val="bottom"/>
          </w:tcPr>
          <w:p>
            <w:pPr>
              <w:spacing w:after="0"/>
              <w:rPr>
                <w:sz w:val="24"/>
                <w:szCs w:val="24"/>
                <w:color w:val="auto"/>
              </w:rPr>
            </w:pPr>
          </w:p>
        </w:tc>
        <w:tc>
          <w:tcPr>
            <w:tcW w:w="9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r>
      <w:tr>
        <w:trPr>
          <w:trHeight w:val="527"/>
        </w:trPr>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11</w:t>
            </w:r>
          </w:p>
        </w:tc>
        <w:tc>
          <w:tcPr>
            <w:tcW w:w="9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5.92%</w:t>
            </w:r>
          </w:p>
        </w:tc>
      </w:tr>
      <w:tr>
        <w:trPr>
          <w:trHeight w:val="304"/>
        </w:trPr>
        <w:tc>
          <w:tcPr>
            <w:tcW w:w="700" w:type="dxa"/>
            <w:vAlign w:val="bottom"/>
          </w:tcPr>
          <w:p>
            <w:pPr>
              <w:spacing w:after="0"/>
              <w:rPr>
                <w:sz w:val="24"/>
                <w:szCs w:val="24"/>
                <w:color w:val="auto"/>
              </w:rPr>
            </w:pPr>
          </w:p>
        </w:tc>
        <w:tc>
          <w:tcPr>
            <w:tcW w:w="9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r>
      <w:tr>
        <w:trPr>
          <w:trHeight w:val="584"/>
        </w:trPr>
        <w:tc>
          <w:tcPr>
            <w:tcW w:w="70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IA</w:t>
            </w:r>
          </w:p>
        </w:tc>
      </w:tr>
    </w:tbl>
    <w:p>
      <w:pPr>
        <w:sectPr>
          <w:pgSz w:w="11900" w:h="16838" w:orient="portrait"/>
          <w:cols w:equalWidth="0" w:num="1">
            <w:col w:w="10820"/>
          </w:cols>
          <w:pgMar w:left="460" w:top="1440" w:right="619" w:bottom="1440" w:gutter="0" w:footer="0" w:header="0"/>
        </w:sectPr>
      </w:pPr>
    </w:p>
    <w:bookmarkStart w:id="2" w:name="page3"/>
    <w:bookmarkEnd w:id="2"/>
    <w:p>
      <w:pPr>
        <w:spacing w:after="0" w:line="200" w:lineRule="exact"/>
        <w:rPr>
          <w:sz w:val="20"/>
          <w:szCs w:val="20"/>
          <w:color w:val="auto"/>
        </w:rPr>
      </w:pPr>
    </w:p>
    <w:p>
      <w:pPr>
        <w:spacing w:after="0" w:line="3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516806205</w:t>
      </w:r>
    </w:p>
    <w:tbl>
      <w:tblPr>
        <w:tblLayout w:type="fixed"/>
        <w:tblInd w:w="0" w:type="dxa"/>
        <w:tblCellMar>
          <w:top w:w="0" w:type="dxa"/>
          <w:left w:w="0" w:type="dxa"/>
          <w:bottom w:w="0" w:type="dxa"/>
          <w:right w:w="0" w:type="dxa"/>
        </w:tblCellMar>
      </w:tblPr>
      <w:tr>
        <w:trPr>
          <w:trHeight w:val="255"/>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7220" w:type="dxa"/>
            <w:vAlign w:val="bottom"/>
          </w:tcPr>
          <w:p>
            <w:pPr>
              <w:ind w:left="6420"/>
              <w:spacing w:after="0"/>
              <w:rPr>
                <w:sz w:val="20"/>
                <w:szCs w:val="20"/>
                <w:color w:val="auto"/>
              </w:rPr>
            </w:pPr>
            <w:r>
              <w:rPr>
                <w:rFonts w:ascii="Times New Roman" w:cs="Times New Roman" w:eastAsia="Times New Roman" w:hAnsi="Times New Roman"/>
                <w:sz w:val="18"/>
                <w:szCs w:val="18"/>
                <w:color w:val="auto"/>
              </w:rPr>
              <w:t>Page</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026"/>
        </w:trPr>
        <w:tc>
          <w:tcPr>
            <w:tcW w:w="1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Item 1(a)</w:t>
            </w:r>
          </w:p>
        </w:tc>
        <w:tc>
          <w:tcPr>
            <w:tcW w:w="7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Name of Issuer</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Vital Energy, Inc.</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Item 1(b)</w:t>
            </w:r>
          </w:p>
        </w:tc>
        <w:tc>
          <w:tcPr>
            <w:tcW w:w="7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53"/>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521 East 2nd Street Suite 1000 Tulsa, OK 74120</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00"/>
        </w:trPr>
        <w:tc>
          <w:tcPr>
            <w:tcW w:w="1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Item 2(a)</w:t>
            </w:r>
          </w:p>
        </w:tc>
        <w:tc>
          <w:tcPr>
            <w:tcW w:w="7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Name of Person Filing:</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Westwood Management Corp.</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Item 2(b)</w:t>
            </w:r>
          </w:p>
        </w:tc>
        <w:tc>
          <w:tcPr>
            <w:tcW w:w="7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200 Crescent Court, Suite 1200</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1800" w:type="dxa"/>
            <w:vAlign w:val="bottom"/>
          </w:tcPr>
          <w:p>
            <w:pPr>
              <w:spacing w:after="0"/>
              <w:rPr>
                <w:sz w:val="23"/>
                <w:szCs w:val="23"/>
                <w:color w:val="auto"/>
              </w:rPr>
            </w:pPr>
          </w:p>
        </w:tc>
        <w:tc>
          <w:tcPr>
            <w:tcW w:w="7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Dallas, Texas 75201</w:t>
            </w: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527"/>
        </w:trPr>
        <w:tc>
          <w:tcPr>
            <w:tcW w:w="1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Item 2(c)</w:t>
            </w:r>
          </w:p>
        </w:tc>
        <w:tc>
          <w:tcPr>
            <w:tcW w:w="7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Citizenship:</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USA</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Item 2(d)</w:t>
            </w:r>
          </w:p>
        </w:tc>
        <w:tc>
          <w:tcPr>
            <w:tcW w:w="7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Title of Class of Securities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Common stock</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Item 2(e)</w:t>
            </w:r>
          </w:p>
        </w:tc>
        <w:tc>
          <w:tcPr>
            <w:tcW w:w="7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CUSIP Number:</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67"/>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516806205</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720"/>
          </w:cols>
          <w:pgMar w:left="500" w:top="1440" w:right="679" w:bottom="1440" w:gutter="0" w:footer="0" w:header="0"/>
        </w:sectPr>
      </w:pPr>
    </w:p>
    <w:bookmarkStart w:id="3" w:name="page4"/>
    <w:bookmarkEnd w:id="3"/>
    <w:p>
      <w:pPr>
        <w:ind w:left="148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7254875</wp:posOffset>
            </wp:positionH>
            <wp:positionV relativeFrom="page">
              <wp:posOffset>817880</wp:posOffset>
            </wp:positionV>
            <wp:extent cx="825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817880</wp:posOffset>
            </wp:positionV>
            <wp:extent cx="8255"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325755"/>
                    </a:xfrm>
                    <a:prstGeom prst="rect">
                      <a:avLst/>
                    </a:prstGeom>
                    <a:noFill/>
                  </pic:spPr>
                </pic:pic>
              </a:graphicData>
            </a:graphic>
          </wp:anchor>
        </w:drawing>
        <w:t>516806205</w:t>
      </w:r>
    </w:p>
    <w:p>
      <w:pPr>
        <w:spacing w:after="0" w:line="183" w:lineRule="auto"/>
        <w:tabs>
          <w:tab w:leader="none" w:pos="8180" w:val="left"/>
          <w:tab w:leader="none" w:pos="9420" w:val="left"/>
          <w:tab w:leader="none" w:pos="9940" w:val="left"/>
          <w:tab w:leader="none" w:pos="1066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Page</w:t>
      </w:r>
      <w:r>
        <w:rPr>
          <w:sz w:val="20"/>
          <w:szCs w:val="20"/>
          <w:color w:val="auto"/>
        </w:rPr>
        <w:tab/>
      </w:r>
      <w:r>
        <w:rPr>
          <w:rFonts w:ascii="Times New Roman" w:cs="Times New Roman" w:eastAsia="Times New Roman" w:hAnsi="Times New Roman"/>
          <w:sz w:val="29"/>
          <w:szCs w:val="29"/>
          <w:color w:val="auto"/>
          <w:vertAlign w:val="subscript"/>
        </w:rPr>
        <w:t>4</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29"/>
          <w:szCs w:val="29"/>
          <w:color w:val="auto"/>
          <w:vertAlign w:val="subscript"/>
        </w:rPr>
        <w:t>6</w:t>
      </w:r>
    </w:p>
    <w:p>
      <w:pPr>
        <w:spacing w:after="0" w:line="389" w:lineRule="exact"/>
        <w:rPr>
          <w:sz w:val="20"/>
          <w:szCs w:val="20"/>
          <w:color w:val="auto"/>
        </w:rPr>
      </w:pPr>
    </w:p>
    <w:p>
      <w:pPr>
        <w:ind w:left="3500" w:hanging="253"/>
        <w:spacing w:after="0"/>
        <w:tabs>
          <w:tab w:leader="none" w:pos="3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Broker or dealer registered under section 15 of the Act.</w:t>
      </w:r>
    </w:p>
    <w:p>
      <w:pPr>
        <w:ind w:left="3500" w:hanging="253"/>
        <w:spacing w:after="0" w:line="219" w:lineRule="auto"/>
        <w:tabs>
          <w:tab w:leader="none" w:pos="3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Bank as defined in section 3(a)(6) of the Act.</w:t>
      </w:r>
    </w:p>
    <w:p>
      <w:pPr>
        <w:ind w:left="3500" w:hanging="253"/>
        <w:spacing w:after="0" w:line="203" w:lineRule="auto"/>
        <w:tabs>
          <w:tab w:leader="none" w:pos="3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Insurance company as defined in section 3(a)(19) of the Act.</w:t>
      </w:r>
    </w:p>
    <w:p>
      <w:pPr>
        <w:ind w:left="3500" w:hanging="253"/>
        <w:spacing w:after="0" w:line="203" w:lineRule="auto"/>
        <w:tabs>
          <w:tab w:leader="none" w:pos="3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Investment company registered under section 8 of the Investment Company Act.</w:t>
      </w:r>
    </w:p>
    <w:p>
      <w:pPr>
        <w:ind w:left="3500" w:hanging="253"/>
        <w:spacing w:after="0" w:line="219" w:lineRule="auto"/>
        <w:tabs>
          <w:tab w:leader="none" w:pos="3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 investment adviser in accordance with §240.13d-1(b)(1)(ii)(E);</w:t>
      </w:r>
    </w:p>
    <w:p>
      <w:pPr>
        <w:ind w:left="3480" w:hanging="233"/>
        <w:spacing w:after="0" w:line="203" w:lineRule="auto"/>
        <w:tabs>
          <w:tab w:leader="none" w:pos="3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An employee benefit plan or endowment fund in accordance with §240.13d-1(b)(1)(ii)(F);</w:t>
      </w:r>
    </w:p>
    <w:p>
      <w:pPr>
        <w:ind w:left="3500" w:hanging="253"/>
        <w:spacing w:after="0" w:line="203" w:lineRule="auto"/>
        <w:tabs>
          <w:tab w:leader="none" w:pos="3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parent holding company or control person in accordance with §240.13d-1(b)(1)(ii)(G);</w:t>
      </w:r>
    </w:p>
    <w:p>
      <w:pPr>
        <w:ind w:left="3500" w:hanging="253"/>
        <w:spacing w:after="0" w:line="219" w:lineRule="auto"/>
        <w:tabs>
          <w:tab w:leader="none" w:pos="3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savings associations as defined in Section 3(b) of the Federal Deposit Insurance Act (12</w:t>
      </w:r>
    </w:p>
    <w:p>
      <w:pPr>
        <w:ind w:left="3240"/>
        <w:spacing w:after="0" w:line="203" w:lineRule="auto"/>
        <w:rPr>
          <w:sz w:val="20"/>
          <w:szCs w:val="20"/>
          <w:color w:val="auto"/>
        </w:rPr>
      </w:pPr>
      <w:r>
        <w:rPr>
          <w:rFonts w:ascii="Times New Roman" w:cs="Times New Roman" w:eastAsia="Times New Roman" w:hAnsi="Times New Roman"/>
          <w:sz w:val="18"/>
          <w:szCs w:val="18"/>
          <w:color w:val="auto"/>
        </w:rPr>
        <w:t>U.S.C. 1813);</w:t>
      </w:r>
    </w:p>
    <w:p>
      <w:pPr>
        <w:spacing w:after="0" w:line="1" w:lineRule="exact"/>
        <w:rPr>
          <w:sz w:val="20"/>
          <w:szCs w:val="20"/>
          <w:color w:val="auto"/>
        </w:rPr>
      </w:pPr>
    </w:p>
    <w:p>
      <w:pPr>
        <w:ind w:left="3240" w:right="220" w:firstLine="7"/>
        <w:spacing w:after="0" w:line="203" w:lineRule="auto"/>
        <w:tabs>
          <w:tab w:leader="none" w:pos="3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church plan that is excluded from the definition of an investment company under section 3(c) (14) of the Investment Company Act of 1940 (15 U.S.C. 80a-3);</w:t>
      </w:r>
    </w:p>
    <w:p>
      <w:pPr>
        <w:spacing w:after="0" w:line="1" w:lineRule="exact"/>
        <w:rPr>
          <w:sz w:val="20"/>
          <w:szCs w:val="20"/>
          <w:color w:val="auto"/>
        </w:rPr>
      </w:pPr>
    </w:p>
    <w:p>
      <w:pPr>
        <w:ind w:left="440"/>
        <w:spacing w:after="0"/>
        <w:tabs>
          <w:tab w:leader="none" w:pos="3220" w:val="left"/>
        </w:tabs>
        <w:rPr>
          <w:sz w:val="20"/>
          <w:szCs w:val="20"/>
          <w:color w:val="auto"/>
        </w:rPr>
      </w:pPr>
      <w:r>
        <w:rPr>
          <w:rFonts w:ascii="Times New Roman" w:cs="Times New Roman" w:eastAsia="Times New Roman" w:hAnsi="Times New Roman"/>
          <w:sz w:val="18"/>
          <w:szCs w:val="18"/>
          <w:color w:val="auto"/>
        </w:rPr>
        <w:t>Item 3 .</w:t>
      </w:r>
      <w:r>
        <w:rPr>
          <w:sz w:val="20"/>
          <w:szCs w:val="20"/>
          <w:color w:val="auto"/>
        </w:rPr>
        <w:tab/>
      </w:r>
      <w:r>
        <w:rPr>
          <w:rFonts w:ascii="Times New Roman" w:cs="Times New Roman" w:eastAsia="Times New Roman" w:hAnsi="Times New Roman"/>
          <w:sz w:val="18"/>
          <w:szCs w:val="18"/>
          <w:color w:val="auto"/>
        </w:rPr>
        <w:t>(j) [ ] Group, in accordance with Rule 13d-1(b)(1)(ii)(J).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0"/>
        <w:spacing w:after="0"/>
        <w:tabs>
          <w:tab w:leader="none" w:pos="322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92" w:lineRule="exact"/>
        <w:rPr>
          <w:sz w:val="20"/>
          <w:szCs w:val="20"/>
          <w:color w:val="auto"/>
        </w:rPr>
      </w:pPr>
    </w:p>
    <w:p>
      <w:pPr>
        <w:ind w:left="3500" w:hanging="253"/>
        <w:spacing w:after="0"/>
        <w:tabs>
          <w:tab w:leader="none" w:pos="3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2,092,252.</w:t>
      </w:r>
    </w:p>
    <w:p>
      <w:pPr>
        <w:ind w:left="3500" w:hanging="253"/>
        <w:spacing w:after="0" w:line="219" w:lineRule="auto"/>
        <w:tabs>
          <w:tab w:leader="none" w:pos="3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5.92%.</w:t>
      </w:r>
    </w:p>
    <w:p>
      <w:pPr>
        <w:ind w:left="3500" w:hanging="253"/>
        <w:spacing w:after="0" w:line="203" w:lineRule="auto"/>
        <w:tabs>
          <w:tab w:leader="none" w:pos="3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ind w:left="3460" w:hanging="213"/>
        <w:spacing w:after="0" w:line="203" w:lineRule="auto"/>
        <w:tabs>
          <w:tab w:leader="none" w:pos="3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2,092,252.</w:t>
      </w:r>
    </w:p>
    <w:p>
      <w:pPr>
        <w:ind w:left="3520" w:hanging="273"/>
        <w:spacing w:after="0" w:line="219" w:lineRule="auto"/>
        <w:tabs>
          <w:tab w:leader="none" w:pos="3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ind w:left="3560" w:hanging="313"/>
        <w:spacing w:after="0" w:line="203" w:lineRule="auto"/>
        <w:tabs>
          <w:tab w:leader="none" w:pos="3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2,092,252.</w:t>
      </w:r>
    </w:p>
    <w:p>
      <w:pPr>
        <w:ind w:left="3560" w:hanging="313"/>
        <w:spacing w:after="0"/>
        <w:tabs>
          <w:tab w:leader="none" w:pos="3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0"/>
        <w:spacing w:after="0"/>
        <w:tabs>
          <w:tab w:leader="none" w:pos="322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Ownership of Five Percent or Less of a Class:</w:t>
      </w:r>
    </w:p>
    <w:p>
      <w:pPr>
        <w:spacing w:after="0" w:line="360" w:lineRule="exact"/>
        <w:rPr>
          <w:sz w:val="20"/>
          <w:szCs w:val="20"/>
          <w:color w:val="auto"/>
        </w:rPr>
      </w:pPr>
    </w:p>
    <w:p>
      <w:pPr>
        <w:ind w:left="3240" w:right="560"/>
        <w:spacing w:after="0" w:line="235" w:lineRule="auto"/>
        <w:rPr>
          <w:sz w:val="20"/>
          <w:szCs w:val="20"/>
          <w:color w:val="auto"/>
        </w:rPr>
      </w:pPr>
      <w:r>
        <w:rPr>
          <w:rFonts w:ascii="Times New Roman" w:cs="Times New Roman" w:eastAsia="Times New Roman" w:hAnsi="Times New Roman"/>
          <w:sz w:val="17"/>
          <w:szCs w:val="17"/>
          <w:color w:val="auto"/>
        </w:rPr>
        <w:t>If this statement is being filed to report the fact that as of the date hereof the reporting person has ceased to be the beneficial owner of more than five percent of the class of securities, check the</w:t>
      </w:r>
    </w:p>
    <w:p>
      <w:pPr>
        <w:ind w:left="3240"/>
        <w:spacing w:after="0"/>
        <w:rPr>
          <w:sz w:val="20"/>
          <w:szCs w:val="20"/>
          <w:color w:val="auto"/>
        </w:rPr>
      </w:pPr>
      <w:r>
        <w:rPr>
          <w:rFonts w:ascii="Times New Roman" w:cs="Times New Roman" w:eastAsia="Times New Roman" w:hAnsi="Times New Roman"/>
          <w:sz w:val="18"/>
          <w:szCs w:val="18"/>
          <w:color w:val="auto"/>
        </w:rPr>
        <w:t xml:space="preserve">following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Ownership of More than Five Percent on Behalf of Another Person:</w:t>
      </w:r>
    </w:p>
    <w:p>
      <w:pPr>
        <w:spacing w:after="0" w:line="21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6.</w:t>
      </w:r>
    </w:p>
    <w:p>
      <w:pPr>
        <w:sectPr>
          <w:pgSz w:w="11900" w:h="16838" w:orient="portrait"/>
          <w:cols w:equalWidth="0" w:num="1">
            <w:col w:w="10780"/>
          </w:cols>
          <w:pgMar w:left="440" w:top="1315" w:right="679" w:bottom="1440" w:gutter="0" w:footer="0" w:header="0"/>
        </w:sectPr>
      </w:pPr>
    </w:p>
    <w:bookmarkStart w:id="4" w:name="page5"/>
    <w:bookmarkEnd w:id="4"/>
    <w:p>
      <w:pPr>
        <w:ind w:left="1500"/>
        <w:spacing w:after="0"/>
        <w:rPr>
          <w:sz w:val="20"/>
          <w:szCs w:val="20"/>
          <w:color w:val="auto"/>
        </w:rPr>
      </w:pPr>
      <w:r>
        <w:rPr>
          <w:rFonts w:ascii="Times New Roman" w:cs="Times New Roman" w:eastAsia="Times New Roman" w:hAnsi="Times New Roman"/>
          <w:sz w:val="20"/>
          <w:szCs w:val="20"/>
          <w:color w:val="auto"/>
        </w:rPr>
        <w:t>516806205</w:t>
      </w:r>
    </w:p>
    <w:p>
      <w:pPr>
        <w:spacing w:after="0" w:line="183" w:lineRule="auto"/>
        <w:tabs>
          <w:tab w:leader="none" w:pos="7960" w:val="left"/>
          <w:tab w:leader="none" w:pos="8900" w:val="left"/>
          <w:tab w:leader="none" w:pos="9380" w:val="left"/>
          <w:tab w:leader="none" w:pos="1014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Page</w:t>
      </w:r>
      <w:r>
        <w:rPr>
          <w:sz w:val="20"/>
          <w:szCs w:val="20"/>
          <w:color w:val="auto"/>
        </w:rPr>
        <w:tab/>
      </w:r>
      <w:r>
        <w:rPr>
          <w:rFonts w:ascii="Times New Roman" w:cs="Times New Roman" w:eastAsia="Times New Roman" w:hAnsi="Times New Roman"/>
          <w:sz w:val="29"/>
          <w:szCs w:val="29"/>
          <w:color w:val="auto"/>
          <w:vertAlign w:val="subscript"/>
        </w:rPr>
        <w:t>5</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29"/>
          <w:szCs w:val="29"/>
          <w:color w:val="auto"/>
          <w:vertAlign w:val="subscript"/>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7.</w:t>
            </w:r>
          </w:p>
        </w:tc>
        <w:tc>
          <w:tcPr>
            <w:tcW w:w="828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Identification and Classification of the Subsidiary That Acquired the Security Being Reported on By</w:t>
            </w:r>
          </w:p>
        </w:tc>
        <w:tc>
          <w:tcPr>
            <w:tcW w:w="0" w:type="dxa"/>
            <w:vAlign w:val="bottom"/>
          </w:tcPr>
          <w:p>
            <w:pPr>
              <w:spacing w:after="0"/>
              <w:rPr>
                <w:sz w:val="1"/>
                <w:szCs w:val="1"/>
                <w:color w:val="auto"/>
              </w:rPr>
            </w:pPr>
          </w:p>
        </w:tc>
      </w:tr>
      <w:tr>
        <w:trPr>
          <w:trHeight w:val="234"/>
        </w:trPr>
        <w:tc>
          <w:tcPr>
            <w:tcW w:w="1620" w:type="dxa"/>
            <w:vAlign w:val="bottom"/>
            <w:vMerge w:val="continue"/>
          </w:tcPr>
          <w:p>
            <w:pPr>
              <w:spacing w:after="0"/>
              <w:rPr>
                <w:sz w:val="20"/>
                <w:szCs w:val="20"/>
                <w:color w:val="auto"/>
              </w:rPr>
            </w:pPr>
          </w:p>
        </w:tc>
        <w:tc>
          <w:tcPr>
            <w:tcW w:w="8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Parent Holding Company:</w:t>
            </w:r>
          </w:p>
        </w:tc>
        <w:tc>
          <w:tcPr>
            <w:tcW w:w="0" w:type="dxa"/>
            <w:vAlign w:val="bottom"/>
          </w:tcPr>
          <w:p>
            <w:pPr>
              <w:spacing w:after="0"/>
              <w:rPr>
                <w:sz w:val="1"/>
                <w:szCs w:val="1"/>
                <w:color w:val="auto"/>
              </w:rPr>
            </w:pPr>
          </w:p>
        </w:tc>
      </w:tr>
      <w:tr>
        <w:trPr>
          <w:trHeight w:val="522"/>
        </w:trPr>
        <w:tc>
          <w:tcPr>
            <w:tcW w:w="1620" w:type="dxa"/>
            <w:vAlign w:val="bottom"/>
          </w:tcPr>
          <w:p>
            <w:pPr>
              <w:spacing w:after="0"/>
              <w:rPr>
                <w:sz w:val="24"/>
                <w:szCs w:val="24"/>
                <w:color w:val="auto"/>
              </w:rPr>
            </w:pPr>
          </w:p>
        </w:tc>
        <w:tc>
          <w:tcPr>
            <w:tcW w:w="8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8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4"/>
                <w:szCs w:val="24"/>
                <w:color w:val="auto"/>
              </w:rPr>
            </w:pPr>
          </w:p>
        </w:tc>
        <w:tc>
          <w:tcPr>
            <w:tcW w:w="8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52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8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Notice of Dissolution of Group:</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4"/>
                <w:szCs w:val="24"/>
                <w:color w:val="auto"/>
              </w:rPr>
            </w:pPr>
          </w:p>
        </w:tc>
        <w:tc>
          <w:tcPr>
            <w:tcW w:w="8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Certification:</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8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bl>
    <w:p>
      <w:pPr>
        <w:sectPr>
          <w:pgSz w:w="11900" w:h="16838" w:orient="portrait"/>
          <w:cols w:equalWidth="0" w:num="1">
            <w:col w:w="10260"/>
          </w:cols>
          <w:pgMar w:left="720" w:top="1437" w:right="919" w:bottom="1440" w:gutter="0" w:footer="0" w:header="0"/>
        </w:sectPr>
      </w:pPr>
    </w:p>
    <w:bookmarkStart w:id="5" w:name="page6"/>
    <w:bookmarkEnd w:id="5"/>
    <w:p>
      <w:pPr>
        <w:spacing w:after="0" w:line="33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516806205</w:t>
      </w:r>
    </w:p>
    <w:p>
      <w:pPr>
        <w:ind w:left="140"/>
        <w:spacing w:after="0" w:line="183" w:lineRule="auto"/>
        <w:tabs>
          <w:tab w:leader="none" w:pos="8360" w:val="left"/>
          <w:tab w:leader="none" w:pos="9540" w:val="left"/>
          <w:tab w:leader="none" w:pos="10060" w:val="left"/>
          <w:tab w:leader="none" w:pos="1084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Page</w:t>
      </w:r>
      <w:r>
        <w:rPr>
          <w:sz w:val="20"/>
          <w:szCs w:val="20"/>
          <w:color w:val="auto"/>
        </w:rPr>
        <w:tab/>
      </w:r>
      <w:r>
        <w:rPr>
          <w:rFonts w:ascii="Times New Roman" w:cs="Times New Roman" w:eastAsia="Times New Roman" w:hAnsi="Times New Roman"/>
          <w:sz w:val="29"/>
          <w:szCs w:val="29"/>
          <w:color w:val="auto"/>
          <w:vertAlign w:val="subscript"/>
        </w:rPr>
        <w:t>6</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29"/>
          <w:szCs w:val="29"/>
          <w:color w:val="auto"/>
          <w:vertAlign w:val="subscript"/>
        </w:rPr>
        <w:t>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63" w:lineRule="exact"/>
        <w:rPr>
          <w:sz w:val="20"/>
          <w:szCs w:val="20"/>
          <w:color w:val="auto"/>
        </w:rPr>
      </w:pPr>
    </w:p>
    <w:p>
      <w:pPr>
        <w:ind w:right="40" w:firstLine="445"/>
        <w:spacing w:after="0" w:line="329"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80" w:lineRule="exact"/>
        <w:rPr>
          <w:sz w:val="20"/>
          <w:szCs w:val="20"/>
          <w:color w:val="auto"/>
        </w:rPr>
      </w:pPr>
    </w:p>
    <w:p>
      <w:pPr>
        <w:ind w:left="480"/>
        <w:spacing w:after="0"/>
        <w:tabs>
          <w:tab w:leader="none" w:pos="5240" w:val="left"/>
          <w:tab w:leader="none" w:pos="5900" w:val="left"/>
        </w:tabs>
        <w:rPr>
          <w:sz w:val="20"/>
          <w:szCs w:val="20"/>
          <w:color w:val="auto"/>
        </w:rPr>
      </w:pPr>
      <w:r>
        <w:rPr>
          <w:rFonts w:ascii="Times New Roman" w:cs="Times New Roman" w:eastAsia="Times New Roman" w:hAnsi="Times New Roman"/>
          <w:sz w:val="18"/>
          <w:szCs w:val="18"/>
          <w:color w:val="auto"/>
        </w:rPr>
        <w:t>Date: November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43180</wp:posOffset>
            </wp:positionV>
            <wp:extent cx="2263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2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Murray Forbes III</w:t>
      </w: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960"/>
      </w:cols>
      <w:pgMar w:left="320" w:top="14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2024-11-14T15:22:44Z</dcterms:created>
  <dcterms:modified xsi:type="dcterms:W3CDTF">2024-11-14T15:22:44Z</dcterms:modified>
</cp:coreProperties>
</file>