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April 26, 2022</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976"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976"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976"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8"/>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76" w:right="539" w:bottom="1440" w:gutter="0" w:footer="0" w:header="0"/>
          <w:type w:val="continuous"/>
        </w:sectPr>
      </w:pPr>
    </w:p>
    <w:bookmarkStart w:id="1" w:name="page2"/>
    <w:bookmarkEnd w:id="1"/>
    <w:p>
      <w:pPr>
        <w:spacing w:after="0"/>
        <w:tabs>
          <w:tab w:leader="none" w:pos="1040" w:val="left"/>
        </w:tabs>
        <w:rPr>
          <w:sz w:val="20"/>
          <w:szCs w:val="20"/>
          <w:color w:val="auto"/>
        </w:rPr>
      </w:pPr>
      <w:r>
        <w:rPr>
          <w:rFonts w:ascii="Arial" w:cs="Arial" w:eastAsia="Arial" w:hAnsi="Arial"/>
          <w:sz w:val="20"/>
          <w:szCs w:val="20"/>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 Dismissal of Independent Registered Public Accounting Firm</w:t>
      </w:r>
    </w:p>
    <w:p>
      <w:pPr>
        <w:spacing w:after="0" w:line="10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Audit Committee of the Board of Directors (the "Audit Committee") of Westwood Holdings Group, Inc. (the "Company") recently completed a comprehensive process to determine which audit firm would serve as the Company’s independent registered public accounting firm. As a result of this process and following careful deliberation, the Company, with the approval of the Audit Committee, dismissed Deloitte &amp; Touche LLP ("Deloitte") as the Company’s independent registered public accounting firm on April 26, 2022, which was effective immediately upon filing of the Company's Quarterly Report on Form 10-Q for the quarterly period ended March 31, 2022.</w:t>
      </w:r>
    </w:p>
    <w:p>
      <w:pPr>
        <w:spacing w:after="0" w:line="57" w:lineRule="exact"/>
        <w:rPr>
          <w:sz w:val="20"/>
          <w:szCs w:val="20"/>
          <w:color w:val="auto"/>
        </w:rPr>
      </w:pPr>
    </w:p>
    <w:p>
      <w:pPr>
        <w:jc w:val="both"/>
        <w:ind w:right="600"/>
        <w:spacing w:after="0" w:line="250" w:lineRule="auto"/>
        <w:rPr>
          <w:sz w:val="20"/>
          <w:szCs w:val="20"/>
          <w:color w:val="auto"/>
        </w:rPr>
      </w:pPr>
      <w:r>
        <w:rPr>
          <w:rFonts w:ascii="Arial" w:cs="Arial" w:eastAsia="Arial" w:hAnsi="Arial"/>
          <w:sz w:val="20"/>
          <w:szCs w:val="20"/>
          <w:color w:val="auto"/>
        </w:rPr>
        <w:t>Deloitte’s reports on the Company’s consolidated financial statements for the years ended December 31, 2021 and December 31, 2020 contained no adverse opinion or disclaimer of opinion and were not qualified or modified as to uncertainty, audit scope or accounting principles.</w:t>
      </w:r>
    </w:p>
    <w:p>
      <w:pPr>
        <w:spacing w:after="0" w:line="7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During the years ended December 31, 2021 and December 31, 2020 and the subsequent interim period preceding Deloitte’s dismissal, there were:</w:t>
      </w:r>
    </w:p>
    <w:p>
      <w:pPr>
        <w:spacing w:after="0" w:line="69" w:lineRule="exact"/>
        <w:rPr>
          <w:sz w:val="20"/>
          <w:szCs w:val="20"/>
          <w:color w:val="auto"/>
        </w:rPr>
      </w:pPr>
    </w:p>
    <w:p>
      <w:pPr>
        <w:ind w:left="660" w:right="420" w:hanging="4"/>
        <w:spacing w:after="0" w:line="246" w:lineRule="auto"/>
        <w:tabs>
          <w:tab w:leader="none" w:pos="896" w:val="left"/>
        </w:tabs>
        <w:numPr>
          <w:ilvl w:val="0"/>
          <w:numId w:val="2"/>
        </w:numPr>
        <w:rPr>
          <w:rFonts w:ascii="Arial" w:cs="Arial" w:eastAsia="Arial" w:hAnsi="Arial"/>
          <w:sz w:val="20"/>
          <w:szCs w:val="20"/>
          <w:color w:val="auto"/>
        </w:rPr>
      </w:pPr>
      <w:r>
        <w:rPr>
          <w:rFonts w:ascii="Arial" w:cs="Arial" w:eastAsia="Arial" w:hAnsi="Arial"/>
          <w:sz w:val="20"/>
          <w:szCs w:val="20"/>
          <w:color w:val="auto"/>
        </w:rPr>
        <w:t>no disagreements (within the meaning of Item 304(a)(1)(iv) of Regulation S-K) with Deloitte on any matter of accounting principles or practices, financial statement disclosure or auditing scope or procedure, which disagreements, if not resolved to the satisfaction of Deloitte, would have caused it to make reference to the subject matter of the disagreements in its reports on the consolidated financial statements of the Company; and</w:t>
      </w:r>
    </w:p>
    <w:p>
      <w:pPr>
        <w:spacing w:after="0" w:line="83"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 reportable events (as such term is defined in Item 304(a)(1)(v) of Regulation S-K).</w:t>
      </w:r>
    </w:p>
    <w:p>
      <w:pPr>
        <w:spacing w:after="0" w:line="108"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Company previously provided Deloitte with a copy of this Form 8-K. Attached as Exhibit 16.1 is a copy of a letter from Deloitte dated May 2, 2022.</w:t>
      </w:r>
    </w:p>
    <w:p>
      <w:pPr>
        <w:spacing w:after="0" w:line="69"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Appointment of New Independent Registered Public Accounting Firm</w:t>
      </w:r>
    </w:p>
    <w:p>
      <w:pPr>
        <w:spacing w:after="0" w:line="108"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On April 26, 2022, the Company appointed BDO USA LLP ("BDO"), as the Company’s new independent registered public accounting firm for the year ending December 31, 2022 subject to BDO's completion of its client acceptance process. The Audit Committee approved the appointment.</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During the years ended December 31, 2021 and December 31, 2020 and the subsequent interim period preceding BDO’s engagement, neither the Company nor anyone on its behalf consulted BDO regarding either:</w:t>
      </w:r>
    </w:p>
    <w:p>
      <w:pPr>
        <w:spacing w:after="0" w:line="69" w:lineRule="exact"/>
        <w:rPr>
          <w:sz w:val="20"/>
          <w:szCs w:val="20"/>
          <w:color w:val="auto"/>
        </w:rPr>
      </w:pPr>
    </w:p>
    <w:p>
      <w:pPr>
        <w:ind w:left="660" w:right="180" w:hanging="4"/>
        <w:spacing w:after="0" w:line="246" w:lineRule="auto"/>
        <w:tabs>
          <w:tab w:leader="none" w:pos="896"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application of accounting principles to a specified transaction, either completed or proposed, or the type of audit opinion that might be rendered on the Company’s consolidated financial statements, and no written report or oral advice was provided to the Company that BDO concluded was an important factor considered by the Company in reaching a decision as to the accounting, auditing or financial reporting issue; or</w:t>
      </w:r>
    </w:p>
    <w:p>
      <w:pPr>
        <w:spacing w:after="0" w:line="83" w:lineRule="exact"/>
        <w:rPr>
          <w:rFonts w:ascii="Arial" w:cs="Arial" w:eastAsia="Arial" w:hAnsi="Arial"/>
          <w:sz w:val="20"/>
          <w:szCs w:val="20"/>
          <w:color w:val="auto"/>
        </w:rPr>
      </w:pPr>
    </w:p>
    <w:p>
      <w:pPr>
        <w:ind w:left="660" w:right="400" w:hanging="4"/>
        <w:spacing w:after="0" w:line="260" w:lineRule="auto"/>
        <w:tabs>
          <w:tab w:leader="none" w:pos="951"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matter that was the subject of a disagreement (within the meaning of Item 304(a)(1)(iv) of Regulation S-K) or reportable event (within the meaning of Item 304(a)(1)(v) of Regulation S-K).</w:t>
      </w: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2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16.1</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4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Letter from Deloitte dated May 2, 2022</w:t>
              </w:r>
            </w:hyperlink>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33"/>
        </w:trPr>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Arial" w:cs="Arial" w:eastAsia="Arial" w:hAnsi="Arial"/>
                <w:sz w:val="18"/>
                <w:szCs w:val="18"/>
                <w:color w:val="auto"/>
              </w:rPr>
              <w:t>Date: May 2, 2022</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66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0760"/>
          </w:cols>
          <w:pgMar w:left="320" w:top="891" w:right="819" w:bottom="1440" w:gutter="0" w:footer="0" w:header="0"/>
        </w:sectPr>
      </w:pPr>
    </w:p>
    <w:bookmarkStart w:id="3" w:name="page4"/>
    <w:bookmarkEnd w:id="3"/>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May 2, 2022</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20549-7561</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We have read Item 4.01 of Westwood Holdings Group, Inc.’s Form 8-K dated May 2, 2022, and have the following comments:</w:t>
      </w:r>
    </w:p>
    <w:p>
      <w:pPr>
        <w:spacing w:after="0" w:line="11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agree with the statements made in the second, third, and fourth paragraphs of Item 4.01(a).</w:t>
      </w:r>
    </w:p>
    <w:p>
      <w:pPr>
        <w:spacing w:after="0" w:line="10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have no basis on which to agree or disagree with the statements made in the first paragraph of Item 4.01(a) and the statements made in Item 4.01(b).</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Yours truly,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Deloitte &amp; Touche LLP</w:t>
      </w:r>
    </w:p>
    <w:sectPr>
      <w:pgSz w:w="11900" w:h="16838" w:orient="portrait"/>
      <w:cols w:equalWidth="0" w:num="1">
        <w:col w:w="10920"/>
      </w:cols>
      <w:pgMar w:left="32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2022-05-02T15:45:18Z</dcterms:created>
  <dcterms:modified xsi:type="dcterms:W3CDTF">2022-05-02T15:45:18Z</dcterms:modified>
</cp:coreProperties>
</file>