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April 27, 2022</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1043"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1043"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1043"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8"/>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43"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4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On April 27, 2022, Westwood Holdings Group, Inc. (“Westwood”) announced its financial results for the quarter ended March 31, 2022, a copy of which is furnished with this Current Report on Form 8-K as Exhibit 99.1.</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8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10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$0.15 per common share, payable on July 1, 2022 to stockholders of record on June 3, 2022.</w:t>
      </w: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4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243"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6"/>
            <w:szCs w:val="16"/>
            <w:u w:val="single" w:color="auto"/>
            <w:color w:val="0000FF"/>
          </w:rPr>
          <w:t>Press Release Dated April 27, 2022</w:t>
        </w:r>
      </w:hyperlink>
    </w:p>
    <w:p>
      <w:pPr>
        <w:spacing w:after="0" w:line="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1470660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2"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April 27, 2022</w:t>
      </w:r>
    </w:p>
    <w:p>
      <w:pPr>
        <w:spacing w:after="0" w:line="200" w:lineRule="exact"/>
        <w:rPr>
          <w:sz w:val="20"/>
          <w:szCs w:val="20"/>
          <w:color w:val="auto"/>
        </w:rPr>
      </w:pPr>
    </w:p>
    <w:p>
      <w:pPr>
        <w:spacing w:after="0" w:line="315"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WESTWOOD HOLDINGS GROUP, INC.</w:t>
      </w:r>
    </w:p>
    <w:p>
      <w:pPr>
        <w:spacing w:after="0" w:line="200" w:lineRule="exact"/>
        <w:rPr>
          <w:sz w:val="20"/>
          <w:szCs w:val="20"/>
          <w:color w:val="auto"/>
        </w:rPr>
      </w:pPr>
    </w:p>
    <w:p>
      <w:pPr>
        <w:spacing w:after="0" w:line="37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320" w:top="892"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First Quarter 2022 Results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Multi-Asset's suite of products performed well against benchmarks and peers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Intermediary and Institutional channels posted positive net flows in the quarter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Dallas, TX, April 27, 2022 – Westwood Holdings Group, Inc. (NYSE: WHG) today reported first quarter 2022 earnings.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Significant items include:</w:t>
      </w:r>
    </w:p>
    <w:p>
      <w:pPr>
        <w:spacing w:after="0" w:line="175" w:lineRule="exact"/>
        <w:rPr>
          <w:sz w:val="20"/>
          <w:szCs w:val="20"/>
          <w:color w:val="auto"/>
        </w:rPr>
      </w:pPr>
    </w:p>
    <w:p>
      <w:pPr>
        <w:ind w:left="660" w:right="72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totaled $17.2 million vs. the fourth quarter's $19.4 million and $18.3 million a year ago reflecting lower performance fees.</w:t>
      </w:r>
    </w:p>
    <w:p>
      <w:pPr>
        <w:spacing w:after="0" w:line="66" w:lineRule="exact"/>
        <w:rPr>
          <w:rFonts w:ascii="Arial" w:cs="Arial" w:eastAsia="Arial" w:hAnsi="Arial"/>
          <w:sz w:val="22"/>
          <w:szCs w:val="22"/>
          <w:color w:val="auto"/>
        </w:rPr>
      </w:pPr>
    </w:p>
    <w:p>
      <w:pPr>
        <w:ind w:left="660" w:right="32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LargeCap Value and our three Multi-Asset strategies, Income Opportunity, Total Return and High Income all beat their primary benchmarks for the quarter.</w:t>
      </w:r>
    </w:p>
    <w:p>
      <w:pPr>
        <w:spacing w:after="0" w:line="66" w:lineRule="exact"/>
        <w:rPr>
          <w:rFonts w:ascii="Arial" w:cs="Arial" w:eastAsia="Arial" w:hAnsi="Arial"/>
          <w:sz w:val="22"/>
          <w:szCs w:val="22"/>
          <w:color w:val="auto"/>
        </w:rPr>
      </w:pPr>
    </w:p>
    <w:p>
      <w:pPr>
        <w:ind w:left="660" w:hanging="328"/>
        <w:spacing w:after="0" w:line="263" w:lineRule="auto"/>
        <w:tabs>
          <w:tab w:leader="none" w:pos="696" w:val="left"/>
        </w:tabs>
        <w:numPr>
          <w:ilvl w:val="0"/>
          <w:numId w:val="2"/>
        </w:numPr>
        <w:rPr>
          <w:rFonts w:ascii="Arial" w:cs="Arial" w:eastAsia="Arial" w:hAnsi="Arial"/>
          <w:sz w:val="22"/>
          <w:szCs w:val="22"/>
          <w:color w:val="auto"/>
        </w:rPr>
      </w:pPr>
      <w:r>
        <w:rPr>
          <w:rFonts w:ascii="Arial" w:cs="Arial" w:eastAsia="Arial" w:hAnsi="Arial"/>
          <w:sz w:val="22"/>
          <w:szCs w:val="22"/>
          <w:color w:val="auto"/>
        </w:rPr>
        <w:t>Quarterly peer rankings for our Multi-Asset products included Total Return and High Income achieving top third rankings, Income Opportunity ranking 36th and our Income Opportunity Mutual Fund ranking 17th.</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income of $0.1 million vs. $2.8 million in the fourth quarter and $4.1 million in last year's first quarter.</w:t>
      </w:r>
    </w:p>
    <w:p>
      <w:pPr>
        <w:spacing w:after="0" w:line="111" w:lineRule="exact"/>
        <w:rPr>
          <w:rFonts w:ascii="Arial" w:cs="Arial" w:eastAsia="Arial" w:hAnsi="Arial"/>
          <w:sz w:val="22"/>
          <w:szCs w:val="22"/>
          <w:color w:val="auto"/>
        </w:rPr>
      </w:pPr>
    </w:p>
    <w:p>
      <w:pPr>
        <w:ind w:left="660" w:right="26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Economic Earnings of $1.9 million compared with the fourth quarter's $4.7 million and $6.3 million a year ago.</w:t>
      </w:r>
    </w:p>
    <w:p>
      <w:pPr>
        <w:spacing w:after="0" w:line="66" w:lineRule="exact"/>
        <w:rPr>
          <w:rFonts w:ascii="Arial" w:cs="Arial" w:eastAsia="Arial" w:hAnsi="Arial"/>
          <w:sz w:val="22"/>
          <w:szCs w:val="22"/>
          <w:color w:val="auto"/>
        </w:rPr>
      </w:pPr>
    </w:p>
    <w:p>
      <w:pPr>
        <w:ind w:left="660" w:right="32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Westwood held $73.5 million in cash and short-term investments as of March 31, 2022, down $6.7 million from fourth quarter 2021.</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Stockholders' equity totaled $117.3 million as of March 31, 2022 and we continue to have no debt.</w:t>
      </w:r>
    </w:p>
    <w:p>
      <w:pPr>
        <w:spacing w:after="0" w:line="111" w:lineRule="exact"/>
        <w:rPr>
          <w:rFonts w:ascii="Arial" w:cs="Arial" w:eastAsia="Arial" w:hAnsi="Arial"/>
          <w:sz w:val="22"/>
          <w:szCs w:val="22"/>
          <w:color w:val="auto"/>
        </w:rPr>
      </w:pPr>
    </w:p>
    <w:p>
      <w:pPr>
        <w:ind w:left="660" w:right="38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declared a cash dividend of $0.15 per common share, payable on July 1, 2022 to stockholders of record on June 3, 2022.</w:t>
      </w:r>
    </w:p>
    <w:p>
      <w:pPr>
        <w:spacing w:after="0" w:line="67"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Brian Casey, Westwood’s President and CEO, commented, "I am pleased to report that several of our strategies outperformed versus benchmarks and obtained competitive peer rankings despite the difficult market environment we all confronted in the first quarter. Performance remained strong in our Multi-Asset product suite and our flagship strategy, LargeCap Value, continues to improve. We believe that a market refocused on quality and the fundamental strength of companies should provide an opportunity for all of our strategies to outperform. Our institutional and intermediary sales teams continued to build on their 2021 strength, generating positive net cash flows, and our pipelines look promising. Westwood’s solid financial position with over $70 million in cash and no debt continues to be a source of strength that enables us to move forward and grow with confidence."</w:t>
      </w:r>
    </w:p>
    <w:p>
      <w:pPr>
        <w:spacing w:after="0" w:line="43"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Revenues were lower than the fourth quarter reflecting lower performance fees. Revenues were lower than last year's first quarter reflecting lower performance fees, partially offset by higher average assets under management ("AUM").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AUM of $13.9 billion decreased from $14.5 billion at December 31, 2021, primarily due to market depreciation.</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2"/>
          <w:szCs w:val="22"/>
          <w:color w:val="auto"/>
        </w:rPr>
        <w:t>The first quarter net income of $0.1 million compared unfavorably with $2.8 million in last year's fourth quarter due to lower performance-based revenues. Diluted earnings per share ("EPS") of $0.01 compared with $0.36 for the fourth quarter. Non-GAAP Economic Earnings of $1.9 million, or $0.24 per share, compared with $4.7 million, or $0.59 per share, in the fourth quarter.</w:t>
      </w:r>
    </w:p>
    <w:p>
      <w:pPr>
        <w:spacing w:after="0" w:line="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first quarter net income of $0.1 million compared unfavorably with last year's first quarter of $4.1 million primarily due to lower performance-based revenues and private investment gains in the prior year's first quarter. Diluted EPS was $0.01 compared with $0.52 per share for the first quarter of 2021. Non-GAAP Economic Earnings were $1.9 million, or $0.24 per share, compared with $6.3 million, or $0.79 per share, in the first quarter of 2021.</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Economic Earnings and Economic EPS are non-GAAP performance measures and are explained and reconciled with the most comparable GAAP numbers in the attached tables.</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first quarter 2022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May 4, 2022 by dialing 855-859-2056 (U.S. and Canada) or 404-537-3406 (international) and entering the passcode 1664499.</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 HOLDINGS GROUP</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Westwood Holdings Group, Inc. is an investment management boutique and wealth management firm. Westwood offers high-conviction equity and outcome-oriented solutions to institutional investors, private wealth clients and financial intermediaries. The firm specializes in the following distinct investment capabilities: U.S. Value Equity, Multi-Asset, and Liquid Alternatives, available through separate accounts, the Westwood Funds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family of mutual funds and other pooled vehicles. Westwood benefits from significant, broad-based employee ownership and trades on the New York Stock Exchange under the symbol “WHG.” Based in Dallas, Westwood also maintains offices in Houston.</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w:t>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composition and market value of our AUM; our ability to maintain our fee structure in light of competitive fee pressures; our stockholder rights agreement may make it more difficult for others to obtain control over us, even if it would be beneficial to our stockholders;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in addition to our stockholder rights agreement, our organizational</w:t>
      </w:r>
    </w:p>
    <w:p>
      <w:pPr>
        <w:sectPr>
          <w:pgSz w:w="11900" w:h="16838" w:orient="portrait"/>
          <w:cols w:equalWidth="0" w:num="1">
            <w:col w:w="11240"/>
          </w:cols>
          <w:pgMar w:left="320" w:top="1009"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9"/>
          <w:szCs w:val="19"/>
          <w:color w:val="auto"/>
        </w:rPr>
        <w:t>documents contain provisions that may prevent or deter another group from paying a premium over the market price to our stockholders to acquire our stock; competition in the investment management industry; our ability to avoid termination of client agreements and the related investment redemptions; the significant concentration of our revenues in a small number of customers; our relationships with investment consulting firms; the impact of the COVID-19 pandemic;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2021 and its quarterly report on Form 10-Q for the quarter ended March 31, 2022.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240"/>
          </w:cols>
          <w:pgMar w:left="320" w:top="88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7" w:lineRule="exact"/>
        <w:rPr>
          <w:sz w:val="20"/>
          <w:szCs w:val="20"/>
          <w:color w:val="auto"/>
        </w:rPr>
      </w:pPr>
    </w:p>
    <w:p>
      <w:pPr>
        <w:ind w:right="3280"/>
        <w:spacing w:after="0"/>
        <w:rPr>
          <w:sz w:val="20"/>
          <w:szCs w:val="20"/>
          <w:color w:val="auto"/>
        </w:rPr>
      </w:pPr>
      <w:r>
        <w:rPr>
          <w:rFonts w:ascii="Arial" w:cs="Arial" w:eastAsia="Arial" w:hAnsi="Arial"/>
          <w:sz w:val="22"/>
          <w:szCs w:val="22"/>
          <w:b w:val="1"/>
          <w:bCs w:val="1"/>
          <w:color w:val="auto"/>
        </w:rPr>
        <w:t xml:space="preserve">CONDENSED CONSOLIDATED STATEMENTS OF COMPREHENSIVE INCOME </w:t>
      </w:r>
      <w:r>
        <w:rPr>
          <w:rFonts w:ascii="Arial" w:cs="Arial" w:eastAsia="Arial" w:hAnsi="Arial"/>
          <w:sz w:val="19"/>
          <w:szCs w:val="19"/>
          <w:b w:val="1"/>
          <w:bCs w:val="1"/>
          <w:color w:val="auto"/>
        </w:rPr>
        <w:t>(in thousands, except per share and share amounts)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December 31, 2021</w:t>
            </w:r>
          </w:p>
        </w:tc>
        <w:tc>
          <w:tcPr>
            <w:tcW w:w="240" w:type="dxa"/>
            <w:vAlign w:val="bottom"/>
          </w:tcPr>
          <w:p>
            <w:pPr>
              <w:spacing w:after="0"/>
              <w:rPr>
                <w:sz w:val="18"/>
                <w:szCs w:val="18"/>
                <w:color w:val="auto"/>
              </w:rPr>
            </w:pPr>
          </w:p>
        </w:tc>
        <w:tc>
          <w:tcPr>
            <w:tcW w:w="1560" w:type="dxa"/>
            <w:vAlign w:val="bottom"/>
          </w:tcPr>
          <w:p>
            <w:pPr>
              <w:jc w:val="right"/>
              <w:ind w:right="288"/>
              <w:spacing w:after="0"/>
              <w:rPr>
                <w:sz w:val="20"/>
                <w:szCs w:val="20"/>
                <w:color w:val="auto"/>
              </w:rPr>
            </w:pPr>
            <w:r>
              <w:rPr>
                <w:rFonts w:ascii="Arial" w:cs="Arial" w:eastAsia="Arial" w:hAnsi="Arial"/>
                <w:sz w:val="16"/>
                <w:szCs w:val="16"/>
                <w:b w:val="1"/>
                <w:bCs w:val="1"/>
                <w:color w:val="auto"/>
              </w:rPr>
              <w:t>March 31, 2021</w:t>
            </w:r>
          </w:p>
        </w:tc>
      </w:tr>
      <w:tr>
        <w:trPr>
          <w:trHeight w:val="172"/>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2"/>
        </w:trPr>
        <w:tc>
          <w:tcPr>
            <w:tcW w:w="56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10,450</w:t>
            </w:r>
          </w:p>
        </w:tc>
      </w:tr>
      <w:tr>
        <w:trPr>
          <w:trHeight w:val="186"/>
        </w:trPr>
        <w:tc>
          <w:tcPr>
            <w:tcW w:w="5660" w:type="dxa"/>
            <w:vAlign w:val="bottom"/>
          </w:tcPr>
          <w:p>
            <w:pPr>
              <w:ind w:left="680"/>
              <w:spacing w:after="0"/>
              <w:rPr>
                <w:sz w:val="20"/>
                <w:szCs w:val="20"/>
                <w:color w:val="auto"/>
              </w:rPr>
            </w:pPr>
            <w:r>
              <w:rPr>
                <w:rFonts w:ascii="Arial" w:cs="Arial" w:eastAsia="Arial" w:hAnsi="Arial"/>
                <w:sz w:val="14"/>
                <w:szCs w:val="14"/>
                <w:color w:val="auto"/>
              </w:rPr>
              <w:t>Performance-based</w:t>
            </w:r>
          </w:p>
        </w:tc>
        <w:tc>
          <w:tcPr>
            <w:tcW w:w="22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1,959</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Trust fees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6,065</w:t>
            </w: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Trust performance-based fees</w:t>
            </w:r>
          </w:p>
        </w:tc>
        <w:tc>
          <w:tcPr>
            <w:tcW w:w="220" w:type="dxa"/>
            <w:vAlign w:val="bottom"/>
          </w:tcPr>
          <w:p>
            <w:pPr>
              <w:spacing w:after="0"/>
              <w:rPr>
                <w:sz w:val="16"/>
                <w:szCs w:val="16"/>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79"/>
        </w:trPr>
        <w:tc>
          <w:tcPr>
            <w:tcW w:w="566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17,216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19,391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18,319</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Employee compensation and benefits</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10,334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10,479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11,548</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Sales and marketing</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Westwood mutual funds</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391</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Information technology</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w:t>
            </w: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Professional services</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1,317</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w:t>
            </w:r>
          </w:p>
        </w:tc>
      </w:tr>
      <w:tr>
        <w:trPr>
          <w:trHeight w:val="179"/>
        </w:trPr>
        <w:tc>
          <w:tcPr>
            <w:tcW w:w="56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17,550</w:t>
            </w:r>
          </w:p>
        </w:tc>
      </w:tr>
      <w:tr>
        <w:trPr>
          <w:trHeight w:val="18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r>
      <w:tr>
        <w:trPr>
          <w:trHeight w:val="179"/>
        </w:trPr>
        <w:tc>
          <w:tcPr>
            <w:tcW w:w="5660" w:type="dxa"/>
            <w:vAlign w:val="bottom"/>
          </w:tcPr>
          <w:p>
            <w:pPr>
              <w:ind w:left="360"/>
              <w:spacing w:after="0"/>
              <w:rPr>
                <w:sz w:val="20"/>
                <w:szCs w:val="20"/>
                <w:color w:val="auto"/>
              </w:rPr>
            </w:pPr>
            <w:r>
              <w:rPr>
                <w:rFonts w:ascii="Arial" w:cs="Arial" w:eastAsia="Arial" w:hAnsi="Arial"/>
                <w:sz w:val="14"/>
                <w:szCs w:val="14"/>
                <w:color w:val="auto"/>
              </w:rPr>
              <w:t>Realized gains on private investments</w:t>
            </w: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8,325</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Investment income</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w:t>
            </w:r>
          </w:p>
        </w:tc>
        <w:tc>
          <w:tcPr>
            <w:tcW w:w="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7,014</w:t>
            </w:r>
          </w:p>
        </w:tc>
      </w:tr>
      <w:tr>
        <w:trPr>
          <w:trHeight w:val="186"/>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 expense</w:t>
            </w:r>
          </w:p>
        </w:tc>
        <w:tc>
          <w:tcPr>
            <w:tcW w:w="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2,913</w:t>
            </w:r>
          </w:p>
        </w:tc>
      </w:tr>
      <w:tr>
        <w:trPr>
          <w:trHeight w:val="155"/>
        </w:trPr>
        <w:tc>
          <w:tcPr>
            <w:tcW w:w="56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2,813</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comprehensive income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5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0.52</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r>
      <w:tr>
        <w:trPr>
          <w:trHeight w:val="95"/>
        </w:trPr>
        <w:tc>
          <w:tcPr>
            <w:tcW w:w="5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7,865,174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7,842,867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7,887,044</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7,931,453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7,910,673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7,917,390</w:t>
            </w:r>
          </w:p>
        </w:tc>
      </w:tr>
      <w:tr>
        <w:trPr>
          <w:trHeight w:val="95"/>
        </w:trPr>
        <w:tc>
          <w:tcPr>
            <w:tcW w:w="5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Economic Earnings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6,288</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Economic EPS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0.79</w:t>
            </w:r>
          </w:p>
        </w:tc>
      </w:tr>
      <w:tr>
        <w:trPr>
          <w:trHeight w:val="98"/>
        </w:trPr>
        <w:tc>
          <w:tcPr>
            <w:tcW w:w="5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r>
      <w:tr>
        <w:trPr>
          <w:trHeight w:val="182"/>
        </w:trPr>
        <w:tc>
          <w:tcPr>
            <w:tcW w:w="5660" w:type="dxa"/>
            <w:vAlign w:val="bottom"/>
          </w:tcPr>
          <w:p>
            <w:pPr>
              <w:ind w:left="20"/>
              <w:spacing w:after="0"/>
              <w:rPr>
                <w:sz w:val="20"/>
                <w:szCs w:val="20"/>
                <w:color w:val="auto"/>
              </w:rPr>
            </w:pPr>
            <w:r>
              <w:rPr>
                <w:rFonts w:ascii="Arial" w:cs="Arial" w:eastAsia="Arial" w:hAnsi="Arial"/>
                <w:sz w:val="14"/>
                <w:szCs w:val="14"/>
                <w:color w:val="auto"/>
              </w:rPr>
              <w:t>Dividends declared per share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0.10</w:t>
            </w:r>
          </w:p>
        </w:tc>
      </w:tr>
    </w:tbl>
    <w:p>
      <w:pPr>
        <w:sectPr>
          <w:pgSz w:w="11900" w:h="16838" w:orient="portrait"/>
          <w:cols w:equalWidth="0" w:num="1">
            <w:col w:w="11240"/>
          </w:cols>
          <w:pgMar w:left="320" w:top="895" w:right="339" w:bottom="1440" w:gutter="0" w:footer="0" w:header="0"/>
        </w:sectPr>
      </w:pPr>
    </w:p>
    <w:bookmarkStart w:id="7" w:name="page8"/>
    <w:bookmarkEnd w:id="7"/>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Arial" w:cs="Arial" w:eastAsia="Arial" w:hAnsi="Arial"/>
                <w:sz w:val="16"/>
                <w:szCs w:val="16"/>
                <w:b w:val="1"/>
                <w:bCs w:val="1"/>
                <w:color w:val="auto"/>
                <w:w w:val="92"/>
              </w:rPr>
              <w:t>December 31, 2021</w:t>
            </w:r>
          </w:p>
        </w:tc>
        <w:tc>
          <w:tcPr>
            <w:tcW w:w="0" w:type="dxa"/>
            <w:vAlign w:val="bottom"/>
          </w:tcPr>
          <w:p>
            <w:pPr>
              <w:spacing w:after="0"/>
              <w:rPr>
                <w:sz w:val="1"/>
                <w:szCs w:val="1"/>
                <w:color w:val="auto"/>
              </w:rPr>
            </w:pPr>
          </w:p>
        </w:tc>
      </w:tr>
      <w:tr>
        <w:trPr>
          <w:trHeight w:val="21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15,206</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at fair value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85,871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93,861</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Noncurrent investments at fair value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11,911</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$8,822 and $8,637</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45,744</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139,605</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 payable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15,842</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dividends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180"/>
              <w:spacing w:after="0" w:line="176" w:lineRule="exact"/>
              <w:rPr>
                <w:sz w:val="20"/>
                <w:szCs w:val="20"/>
                <w:color w:val="auto"/>
              </w:rPr>
            </w:pPr>
            <w:r>
              <w:rPr>
                <w:rFonts w:ascii="Arial" w:cs="Arial" w:eastAsia="Arial" w:hAnsi="Arial"/>
                <w:sz w:val="18"/>
                <w:szCs w:val="18"/>
                <w:color w:val="auto"/>
                <w:w w:val="91"/>
              </w:rPr>
              <w:t>Common stock, $0.01 par value, authorized 25,000,000 shares, issued 11,030,410 and outstanding</w:t>
            </w: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360"/>
              <w:spacing w:after="0" w:line="176" w:lineRule="exact"/>
              <w:rPr>
                <w:sz w:val="20"/>
                <w:szCs w:val="20"/>
                <w:color w:val="auto"/>
              </w:rPr>
            </w:pPr>
            <w:r>
              <w:rPr>
                <w:rFonts w:ascii="Arial" w:cs="Arial" w:eastAsia="Arial" w:hAnsi="Arial"/>
                <w:sz w:val="18"/>
                <w:szCs w:val="18"/>
                <w:color w:val="auto"/>
                <w:w w:val="95"/>
              </w:rPr>
              <w:t>8,575,451 shares at March 31, 2022; issued 10,658,644 and outstanding 8,253,491 shares at</w:t>
            </w:r>
          </w:p>
        </w:tc>
        <w:tc>
          <w:tcPr>
            <w:tcW w:w="26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December 31, 2021</w:t>
            </w:r>
          </w:p>
        </w:tc>
        <w:tc>
          <w:tcPr>
            <w:tcW w:w="26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195,187</w:t>
            </w:r>
          </w:p>
        </w:tc>
        <w:tc>
          <w:tcPr>
            <w:tcW w:w="0" w:type="dxa"/>
            <w:vAlign w:val="bottom"/>
          </w:tcPr>
          <w:p>
            <w:pPr>
              <w:spacing w:after="0"/>
              <w:rPr>
                <w:sz w:val="1"/>
                <w:szCs w:val="1"/>
                <w:color w:val="auto"/>
              </w:rPr>
            </w:pPr>
          </w:p>
        </w:tc>
      </w:tr>
      <w:tr>
        <w:trPr>
          <w:trHeight w:val="175"/>
        </w:trPr>
        <w:tc>
          <w:tcPr>
            <w:tcW w:w="7480" w:type="dxa"/>
            <w:vAlign w:val="bottom"/>
          </w:tcPr>
          <w:p>
            <w:pPr>
              <w:ind w:left="180"/>
              <w:spacing w:after="0" w:line="176" w:lineRule="exact"/>
              <w:rPr>
                <w:sz w:val="20"/>
                <w:szCs w:val="20"/>
                <w:color w:val="auto"/>
              </w:rPr>
            </w:pPr>
            <w:r>
              <w:rPr>
                <w:rFonts w:ascii="Arial" w:cs="Arial" w:eastAsia="Arial" w:hAnsi="Arial"/>
                <w:sz w:val="18"/>
                <w:szCs w:val="18"/>
                <w:color w:val="auto"/>
                <w:w w:val="94"/>
              </w:rPr>
              <w:t>Treasury stock, at cost - 2,454,959 shares at March 31, 2022; 2,405,154 shares at December 31,</w:t>
            </w:r>
          </w:p>
        </w:tc>
        <w:tc>
          <w:tcPr>
            <w:tcW w:w="26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(82,576)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(81,750)</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117,906</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3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rPr>
          <w:sz w:val="20"/>
          <w:szCs w:val="20"/>
          <w:color w:val="auto"/>
        </w:rPr>
      </w:pPr>
      <w:r>
        <w:rPr>
          <w:rFonts w:ascii="Arial" w:cs="Arial" w:eastAsia="Arial" w:hAnsi="Arial"/>
          <w:sz w:val="20"/>
          <w:szCs w:val="20"/>
          <w:b w:val="1"/>
          <w:bCs w:val="1"/>
          <w:color w:val="auto"/>
        </w:rPr>
        <w:t>(in thousands)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4,101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Net change in unrealized depreciation on investments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on private investments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(8,325)</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Non-cash lease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asset disposition</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(purchases) sales of trading securities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12,406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Compensation and benefits payable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3,630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provided by (used in) operating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(7,045)</w:t>
            </w:r>
          </w:p>
        </w:tc>
        <w:tc>
          <w:tcPr>
            <w:tcW w:w="0" w:type="dxa"/>
            <w:vAlign w:val="bottom"/>
          </w:tcPr>
          <w:p>
            <w:pPr>
              <w:spacing w:after="0"/>
              <w:rPr>
                <w:sz w:val="1"/>
                <w:szCs w:val="1"/>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Sale of investments</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9,258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 of property and equipment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investments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investing activities</w:t>
            </w: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9,735</w:t>
            </w:r>
          </w:p>
        </w:tc>
        <w:tc>
          <w:tcPr>
            <w:tcW w:w="0" w:type="dxa"/>
            <w:vAlign w:val="bottom"/>
          </w:tcPr>
          <w:p>
            <w:pPr>
              <w:spacing w:after="0"/>
              <w:rPr>
                <w:sz w:val="1"/>
                <w:szCs w:val="1"/>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Purchases of treasury stock</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returned for payment of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dividends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06"/>
        </w:trPr>
        <w:tc>
          <w:tcPr>
            <w:tcW w:w="8000" w:type="dxa"/>
            <w:vAlign w:val="bottom"/>
          </w:tcPr>
          <w:p>
            <w:pPr>
              <w:ind w:left="360"/>
              <w:spacing w:after="0"/>
              <w:rPr>
                <w:sz w:val="20"/>
                <w:szCs w:val="20"/>
                <w:color w:val="auto"/>
              </w:rPr>
            </w:pPr>
            <w:r>
              <w:rPr>
                <w:rFonts w:ascii="Arial" w:cs="Arial" w:eastAsia="Arial" w:hAnsi="Arial"/>
                <w:sz w:val="16"/>
                <w:szCs w:val="16"/>
                <w:color w:val="auto"/>
              </w:rPr>
              <w:t>Effect of currency rate changes on cash</w:t>
            </w:r>
          </w:p>
        </w:tc>
        <w:tc>
          <w:tcPr>
            <w:tcW w:w="10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15,206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13,016</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21,148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period for income taxes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Accrued dividends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2,216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purchases of treasury stock</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9" w:name="page10"/>
    <w:bookmarkEnd w:id="9"/>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2022</w:t>
            </w:r>
          </w:p>
        </w:tc>
        <w:tc>
          <w:tcPr>
            <w:tcW w:w="220" w:type="dxa"/>
            <w:vAlign w:val="bottom"/>
          </w:tcPr>
          <w:p>
            <w:pPr>
              <w:spacing w:after="0"/>
              <w:rPr>
                <w:sz w:val="19"/>
                <w:szCs w:val="19"/>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Pr>
          <w:p>
            <w:pPr>
              <w:spacing w:after="0"/>
              <w:rPr>
                <w:sz w:val="19"/>
                <w:szCs w:val="19"/>
                <w:color w:val="auto"/>
              </w:rPr>
            </w:pPr>
          </w:p>
        </w:tc>
        <w:tc>
          <w:tcPr>
            <w:tcW w:w="17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amortization</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benefit from goodwill amortization</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amortization</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benefit from goodwill amortization</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EPS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weighted average shares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line="204" w:lineRule="exact"/>
              <w:rPr>
                <w:sz w:val="20"/>
                <w:szCs w:val="20"/>
                <w:color w:val="auto"/>
              </w:rPr>
            </w:pPr>
            <w:r>
              <w:rPr>
                <w:rFonts w:ascii="Arial" w:cs="Arial" w:eastAsia="Arial" w:hAnsi="Arial"/>
                <w:sz w:val="18"/>
                <w:szCs w:val="18"/>
                <w:color w:val="auto"/>
              </w:rPr>
              <w:t>7,931,453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spacing w:after="0" w:line="204" w:lineRule="exact"/>
              <w:rPr>
                <w:sz w:val="20"/>
                <w:szCs w:val="20"/>
                <w:color w:val="auto"/>
              </w:rPr>
            </w:pPr>
            <w:r>
              <w:rPr>
                <w:rFonts w:ascii="Arial" w:cs="Arial" w:eastAsia="Arial" w:hAnsi="Arial"/>
                <w:sz w:val="18"/>
                <w:szCs w:val="18"/>
                <w:color w:val="auto"/>
              </w:rPr>
              <w:t>7,910,673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jc w:val="right"/>
              <w:spacing w:after="0" w:line="204" w:lineRule="exact"/>
              <w:rPr>
                <w:sz w:val="20"/>
                <w:szCs w:val="20"/>
                <w:color w:val="auto"/>
              </w:rPr>
            </w:pPr>
            <w:r>
              <w:rPr>
                <w:rFonts w:ascii="Arial" w:cs="Arial" w:eastAsia="Arial" w:hAnsi="Arial"/>
                <w:sz w:val="18"/>
                <w:szCs w:val="18"/>
                <w:color w:val="auto"/>
              </w:rPr>
              <w:t>7,917,390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2022-04-27T15:33:44Z</dcterms:created>
  <dcterms:modified xsi:type="dcterms:W3CDTF">2022-04-27T15:33:44Z</dcterms:modified>
</cp:coreProperties>
</file>