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262"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5"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160" w:type="dxa"/>
            <w:vAlign w:val="bottom"/>
            <w:gridSpan w:val="3"/>
          </w:tcPr>
          <w:p>
            <w:pPr>
              <w:ind w:left="600"/>
              <w:spacing w:after="0"/>
              <w:rPr>
                <w:sz w:val="20"/>
                <w:szCs w:val="20"/>
                <w:color w:val="auto"/>
              </w:rPr>
            </w:pPr>
            <w:r>
              <w:rPr>
                <w:rFonts w:ascii="Arial" w:cs="Arial" w:eastAsia="Arial" w:hAnsi="Arial"/>
                <w:sz w:val="18"/>
                <w:szCs w:val="18"/>
                <w:b w:val="1"/>
                <w:bCs w:val="1"/>
                <w:color w:val="auto"/>
                <w:w w:val="90"/>
              </w:rPr>
              <w:t>Commission file number 1-31234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WESTWOOD HOLDINGS GROUP,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64"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right"/>
              <w:ind w:right="594"/>
              <w:spacing w:after="0"/>
              <w:rPr>
                <w:sz w:val="20"/>
                <w:szCs w:val="20"/>
                <w:color w:val="auto"/>
              </w:rPr>
            </w:pPr>
            <w:r>
              <w:rPr>
                <w:rFonts w:ascii="Arial" w:cs="Arial" w:eastAsia="Arial" w:hAnsi="Arial"/>
                <w:sz w:val="18"/>
                <w:szCs w:val="18"/>
                <w:b w:val="1"/>
                <w:bCs w:val="1"/>
                <w:color w:val="auto"/>
              </w:rPr>
              <w:t>75-2969997</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5"/>
              </w:rPr>
              <w:t>(IRS Employer Identification No.)</w:t>
            </w:r>
          </w:p>
        </w:tc>
      </w:tr>
      <w:tr>
        <w:trPr>
          <w:trHeight w:val="568"/>
        </w:trPr>
        <w:tc>
          <w:tcPr>
            <w:tcW w:w="7000" w:type="dxa"/>
            <w:vAlign w:val="bottom"/>
          </w:tcPr>
          <w:p>
            <w:pPr>
              <w:jc w:val="center"/>
              <w:ind w:right="3035"/>
              <w:spacing w:after="0"/>
              <w:rPr>
                <w:sz w:val="20"/>
                <w:szCs w:val="20"/>
                <w:color w:val="auto"/>
              </w:rPr>
            </w:pPr>
            <w:r>
              <w:rPr>
                <w:rFonts w:ascii="Arial" w:cs="Arial" w:eastAsia="Arial" w:hAnsi="Arial"/>
                <w:sz w:val="18"/>
                <w:szCs w:val="18"/>
                <w:b w:val="1"/>
                <w:bCs w:val="1"/>
                <w:color w:val="auto"/>
                <w:w w:val="96"/>
              </w:rPr>
              <w:t>200 CRESCENT COURT, SUITE 1200</w:t>
            </w:r>
          </w:p>
        </w:tc>
        <w:tc>
          <w:tcPr>
            <w:tcW w:w="2440" w:type="dxa"/>
            <w:vAlign w:val="bottom"/>
          </w:tcPr>
          <w:p>
            <w:pPr>
              <w:spacing w:after="0"/>
              <w:rPr>
                <w:sz w:val="24"/>
                <w:szCs w:val="24"/>
                <w:color w:val="auto"/>
              </w:rPr>
            </w:pPr>
          </w:p>
        </w:tc>
      </w:tr>
      <w:tr>
        <w:trPr>
          <w:trHeight w:val="248"/>
        </w:trPr>
        <w:tc>
          <w:tcPr>
            <w:tcW w:w="7000" w:type="dxa"/>
            <w:vAlign w:val="bottom"/>
          </w:tcPr>
          <w:p>
            <w:pPr>
              <w:jc w:val="center"/>
              <w:ind w:right="3015"/>
              <w:spacing w:after="0"/>
              <w:rPr>
                <w:sz w:val="20"/>
                <w:szCs w:val="20"/>
                <w:color w:val="auto"/>
              </w:rPr>
            </w:pPr>
            <w:r>
              <w:rPr>
                <w:rFonts w:ascii="Arial" w:cs="Arial" w:eastAsia="Arial" w:hAnsi="Arial"/>
                <w:sz w:val="18"/>
                <w:szCs w:val="18"/>
                <w:b w:val="1"/>
                <w:bCs w:val="1"/>
                <w:color w:val="auto"/>
                <w:w w:val="99"/>
              </w:rPr>
              <w:t>DALLAS, TEXAS</w:t>
            </w:r>
          </w:p>
        </w:tc>
        <w:tc>
          <w:tcPr>
            <w:tcW w:w="2440" w:type="dxa"/>
            <w:vAlign w:val="bottom"/>
          </w:tcPr>
          <w:p>
            <w:pPr>
              <w:jc w:val="right"/>
              <w:ind w:right="794"/>
              <w:spacing w:after="0"/>
              <w:rPr>
                <w:sz w:val="20"/>
                <w:szCs w:val="20"/>
                <w:color w:val="auto"/>
              </w:rPr>
            </w:pPr>
            <w:r>
              <w:rPr>
                <w:rFonts w:ascii="Arial" w:cs="Arial" w:eastAsia="Arial" w:hAnsi="Arial"/>
                <w:sz w:val="18"/>
                <w:szCs w:val="18"/>
                <w:b w:val="1"/>
                <w:bCs w:val="1"/>
                <w:color w:val="auto"/>
              </w:rPr>
              <w:t>75201</w:t>
            </w:r>
          </w:p>
        </w:tc>
      </w:tr>
      <w:tr>
        <w:trPr>
          <w:trHeight w:val="251"/>
        </w:trPr>
        <w:tc>
          <w:tcPr>
            <w:tcW w:w="7000" w:type="dxa"/>
            <w:vAlign w:val="bottom"/>
          </w:tcPr>
          <w:p>
            <w:pPr>
              <w:jc w:val="center"/>
              <w:ind w:right="3035"/>
              <w:spacing w:after="0"/>
              <w:rPr>
                <w:sz w:val="20"/>
                <w:szCs w:val="20"/>
                <w:color w:val="auto"/>
              </w:rPr>
            </w:pPr>
            <w:r>
              <w:rPr>
                <w:rFonts w:ascii="Arial" w:cs="Arial" w:eastAsia="Arial" w:hAnsi="Arial"/>
                <w:sz w:val="16"/>
                <w:szCs w:val="16"/>
                <w:color w:val="auto"/>
                <w:w w:val="94"/>
              </w:rPr>
              <w:t>(Address of principal executive office)</w:t>
            </w:r>
          </w:p>
        </w:tc>
        <w:tc>
          <w:tcPr>
            <w:tcW w:w="2440" w:type="dxa"/>
            <w:vAlign w:val="bottom"/>
          </w:tcPr>
          <w:p>
            <w:pPr>
              <w:jc w:val="center"/>
              <w:ind w:left="134"/>
              <w:spacing w:after="0"/>
              <w:rPr>
                <w:sz w:val="20"/>
                <w:szCs w:val="20"/>
                <w:color w:val="auto"/>
              </w:rPr>
            </w:pPr>
            <w:r>
              <w:rPr>
                <w:rFonts w:ascii="Arial" w:cs="Arial" w:eastAsia="Arial" w:hAnsi="Arial"/>
                <w:sz w:val="16"/>
                <w:szCs w:val="16"/>
                <w:color w:val="auto"/>
                <w:w w:val="92"/>
              </w:rPr>
              <w:t>(Zip Code)</w:t>
            </w:r>
          </w:p>
        </w:tc>
      </w:tr>
      <w:tr>
        <w:trPr>
          <w:trHeight w:val="361"/>
        </w:trPr>
        <w:tc>
          <w:tcPr>
            <w:tcW w:w="7000" w:type="dxa"/>
            <w:vAlign w:val="bottom"/>
          </w:tcPr>
          <w:p>
            <w:pPr>
              <w:jc w:val="right"/>
              <w:ind w:right="1335"/>
              <w:spacing w:after="0"/>
              <w:rPr>
                <w:sz w:val="20"/>
                <w:szCs w:val="20"/>
                <w:color w:val="auto"/>
              </w:rPr>
            </w:pPr>
            <w:r>
              <w:rPr>
                <w:rFonts w:ascii="Arial" w:cs="Arial" w:eastAsia="Arial" w:hAnsi="Arial"/>
                <w:sz w:val="16"/>
                <w:szCs w:val="16"/>
                <w:b w:val="1"/>
                <w:bCs w:val="1"/>
                <w:color w:val="auto"/>
              </w:rPr>
              <w:t>(214) 756-6900</w:t>
            </w:r>
          </w:p>
        </w:tc>
        <w:tc>
          <w:tcPr>
            <w:tcW w:w="2440" w:type="dxa"/>
            <w:vAlign w:val="bottom"/>
          </w:tcPr>
          <w:p>
            <w:pPr>
              <w:spacing w:after="0"/>
              <w:rPr>
                <w:sz w:val="24"/>
                <w:szCs w:val="24"/>
                <w:color w:val="auto"/>
              </w:rPr>
            </w:pPr>
          </w:p>
        </w:tc>
      </w:tr>
      <w:tr>
        <w:trPr>
          <w:trHeight w:val="201"/>
        </w:trPr>
        <w:tc>
          <w:tcPr>
            <w:tcW w:w="7000" w:type="dxa"/>
            <w:vAlign w:val="bottom"/>
          </w:tcPr>
          <w:p>
            <w:pPr>
              <w:jc w:val="center"/>
              <w:ind w:left="3075"/>
              <w:spacing w:after="0"/>
              <w:rPr>
                <w:sz w:val="20"/>
                <w:szCs w:val="20"/>
                <w:color w:val="auto"/>
              </w:rPr>
            </w:pPr>
            <w:r>
              <w:rPr>
                <w:rFonts w:ascii="Arial" w:cs="Arial" w:eastAsia="Arial" w:hAnsi="Arial"/>
                <w:sz w:val="16"/>
                <w:szCs w:val="16"/>
                <w:color w:val="auto"/>
                <w:w w:val="91"/>
              </w:rPr>
              <w:t>(Registrant’s telephone number, including area code)</w:t>
            </w:r>
          </w:p>
        </w:tc>
        <w:tc>
          <w:tcPr>
            <w:tcW w:w="2440" w:type="dxa"/>
            <w:vAlign w:val="bottom"/>
          </w:tcPr>
          <w:p>
            <w:pPr>
              <w:spacing w:after="0"/>
              <w:rPr>
                <w:sz w:val="17"/>
                <w:szCs w:val="17"/>
                <w:color w:val="auto"/>
              </w:rPr>
            </w:pPr>
          </w:p>
        </w:tc>
      </w:tr>
    </w:tbl>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pacing w:after="0" w:line="13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2" w:lineRule="exact"/>
        <w:rPr>
          <w:sz w:val="24"/>
          <w:szCs w:val="24"/>
          <w:color w:val="auto"/>
        </w:rPr>
      </w:pPr>
    </w:p>
    <w:p>
      <w:pPr>
        <w:ind w:right="14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39"/>
        <w:spacing w:after="0" w:line="184" w:lineRule="exact"/>
        <w:tabs>
          <w:tab w:leader="none" w:pos="140"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5" w:lineRule="exact"/>
        <w:rPr>
          <w:sz w:val="24"/>
          <w:szCs w:val="24"/>
          <w:color w:val="auto"/>
        </w:rPr>
      </w:pPr>
    </w:p>
    <w:p>
      <w:pPr>
        <w:jc w:val="center"/>
        <w:ind w:right="-39"/>
        <w:spacing w:after="0" w:line="184" w:lineRule="exact"/>
        <w:tabs>
          <w:tab w:leader="none" w:pos="140" w:val="left"/>
        </w:tabs>
        <w:rPr>
          <w:sz w:val="20"/>
          <w:szCs w:val="20"/>
          <w:color w:val="auto"/>
        </w:rPr>
      </w:pPr>
      <w:r>
        <w:rPr>
          <w:rFonts w:ascii="Arial" w:cs="Arial" w:eastAsia="Arial" w:hAnsi="Arial"/>
          <w:sz w:val="16"/>
          <w:szCs w:val="16"/>
          <w:color w:val="auto"/>
        </w:rPr>
        <w:t>Yes x</w:t>
        <w:tab/>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jc w:val="both"/>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and “smaller reporting company”, and “emerging growth company” in Rule 12b-2 of the Exchange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8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28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92"/>
        </w:trPr>
        <w:tc>
          <w:tcPr>
            <w:tcW w:w="192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840" w:type="dxa"/>
            <w:vAlign w:val="bottom"/>
          </w:tcPr>
          <w:p>
            <w:pPr>
              <w:ind w:left="420"/>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color w:val="auto"/>
                <w:w w:val="99"/>
              </w:rPr>
              <w:t xml:space="preserve"> (Do not check if a smaller reporting company)</w:t>
            </w:r>
          </w:p>
        </w:tc>
        <w:tc>
          <w:tcPr>
            <w:tcW w:w="5140" w:type="dxa"/>
            <w:vAlign w:val="bottom"/>
          </w:tcPr>
          <w:p>
            <w:pPr>
              <w:ind w:left="228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40" w:type="dxa"/>
            <w:vAlign w:val="bottom"/>
            <w:vMerge w:val="restart"/>
          </w:tcPr>
          <w:p>
            <w:pPr>
              <w:ind w:left="228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900" w:type="dxa"/>
            <w:vAlign w:val="bottom"/>
            <w:gridSpan w:val="3"/>
          </w:tcPr>
          <w:p>
            <w:pPr>
              <w:ind w:left="40"/>
              <w:spacing w:after="0"/>
              <w:rPr>
                <w:sz w:val="20"/>
                <w:szCs w:val="20"/>
                <w:color w:val="auto"/>
              </w:rPr>
            </w:pPr>
            <w:r>
              <w:rPr>
                <w:rFonts w:ascii="Arial" w:cs="Arial" w:eastAsia="Arial" w:hAnsi="Arial"/>
                <w:sz w:val="16"/>
                <w:szCs w:val="16"/>
                <w:color w:val="auto"/>
                <w:w w:val="93"/>
              </w:rPr>
              <w:t>If an emerging growth company, indicate by check mark if the registrant has elected not to use the extended transition period for complying with any new or revised</w:t>
            </w:r>
          </w:p>
        </w:tc>
        <w:tc>
          <w:tcPr>
            <w:tcW w:w="36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4"/>
        </w:trPr>
        <w:tc>
          <w:tcPr>
            <w:tcW w:w="5760" w:type="dxa"/>
            <w:vAlign w:val="bottom"/>
            <w:gridSpan w:val="2"/>
          </w:tcPr>
          <w:p>
            <w:pPr>
              <w:ind w:left="40"/>
              <w:spacing w:after="0"/>
              <w:rPr>
                <w:sz w:val="20"/>
                <w:szCs w:val="20"/>
                <w:color w:val="auto"/>
              </w:rPr>
            </w:pPr>
            <w:r>
              <w:rPr>
                <w:rFonts w:ascii="Arial" w:cs="Arial" w:eastAsia="Arial" w:hAnsi="Arial"/>
                <w:sz w:val="16"/>
                <w:szCs w:val="16"/>
                <w:color w:val="auto"/>
              </w:rPr>
              <w:t>accounting standards provided pursuant to Section 13(a) of the Exchange Act.</w:t>
            </w:r>
          </w:p>
        </w:tc>
        <w:tc>
          <w:tcPr>
            <w:tcW w:w="51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10900" w:type="dxa"/>
            <w:vAlign w:val="bottom"/>
            <w:gridSpan w:val="3"/>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920" w:type="dxa"/>
            <w:vAlign w:val="bottom"/>
          </w:tcPr>
          <w:p>
            <w:pPr>
              <w:spacing w:after="0"/>
              <w:rPr>
                <w:sz w:val="22"/>
                <w:szCs w:val="22"/>
                <w:color w:val="auto"/>
              </w:rPr>
            </w:pPr>
          </w:p>
        </w:tc>
        <w:tc>
          <w:tcPr>
            <w:tcW w:w="3840" w:type="dxa"/>
            <w:vAlign w:val="bottom"/>
          </w:tcPr>
          <w:p>
            <w:pPr>
              <w:ind w:left="33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5140" w:type="dxa"/>
            <w:vAlign w:val="bottom"/>
          </w:tcPr>
          <w:p>
            <w:pPr>
              <w:ind w:left="80"/>
              <w:spacing w:after="0"/>
              <w:rPr>
                <w:sz w:val="20"/>
                <w:szCs w:val="20"/>
                <w:color w:val="auto"/>
              </w:rPr>
            </w:pPr>
            <w:r>
              <w:rPr>
                <w:rFonts w:ascii="Arial" w:cs="Arial" w:eastAsia="Arial" w:hAnsi="Arial"/>
                <w:sz w:val="16"/>
                <w:szCs w:val="16"/>
                <w:color w:val="auto"/>
              </w:rPr>
              <w:t>No x</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Shares of common stock, par value $0.01 per share, outstanding as of April 20, 2018: 9,016,436.</w:t>
      </w:r>
    </w:p>
    <w:p>
      <w:pPr>
        <w:spacing w:after="0" w:line="1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w:t>
      </w:r>
    </w:p>
    <w:p>
      <w:pPr>
        <w:sectPr>
          <w:pgSz w:w="11900" w:h="16838" w:orient="portrait"/>
          <w:cols w:equalWidth="0" w:num="1">
            <w:col w:w="11380"/>
          </w:cols>
          <w:pgMar w:left="240" w:top="233"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040" w:type="dxa"/>
            <w:vAlign w:val="bottom"/>
            <w:gridSpan w:val="2"/>
          </w:tcPr>
          <w:p>
            <w:pPr>
              <w:spacing w:after="0"/>
              <w:rPr>
                <w:sz w:val="20"/>
                <w:szCs w:val="20"/>
                <w:color w:val="auto"/>
              </w:rPr>
            </w:pPr>
            <w:r>
              <w:rPr>
                <w:rFonts w:ascii="Arial" w:cs="Arial" w:eastAsia="Arial" w:hAnsi="Arial"/>
                <w:sz w:val="16"/>
                <w:szCs w:val="16"/>
                <w:color w:val="auto"/>
              </w:rPr>
              <w:t>PART I</w:t>
            </w:r>
          </w:p>
        </w:tc>
        <w:tc>
          <w:tcPr>
            <w:tcW w:w="8700" w:type="dxa"/>
            <w:vAlign w:val="bottom"/>
            <w:gridSpan w:val="14"/>
          </w:tcPr>
          <w:p>
            <w:pPr>
              <w:spacing w:after="0"/>
              <w:rPr>
                <w:sz w:val="20"/>
                <w:szCs w:val="20"/>
                <w:color w:val="auto"/>
              </w:rPr>
            </w:pPr>
            <w:r>
              <w:rPr>
                <w:rFonts w:ascii="Arial" w:cs="Arial" w:eastAsia="Arial" w:hAnsi="Arial"/>
                <w:sz w:val="16"/>
                <w:szCs w:val="16"/>
                <w:color w:val="auto"/>
              </w:rPr>
              <w:t>FINANCIAL INFORMATION</w:t>
            </w:r>
          </w:p>
        </w:tc>
        <w:tc>
          <w:tcPr>
            <w:tcW w:w="1620" w:type="dxa"/>
            <w:vAlign w:val="bottom"/>
          </w:tcPr>
          <w:p>
            <w:pPr>
              <w:jc w:val="right"/>
              <w:ind w:right="139"/>
              <w:spacing w:after="0"/>
              <w:rPr>
                <w:sz w:val="20"/>
                <w:szCs w:val="20"/>
                <w:color w:val="auto"/>
              </w:rPr>
            </w:pPr>
            <w:r>
              <w:rPr>
                <w:rFonts w:ascii="Arial" w:cs="Arial" w:eastAsia="Arial" w:hAnsi="Arial"/>
                <w:sz w:val="16"/>
                <w:szCs w:val="16"/>
                <w:color w:val="auto"/>
              </w:rPr>
              <w:t>PAGE</w:t>
            </w:r>
          </w:p>
        </w:tc>
      </w:tr>
      <w:tr>
        <w:trPr>
          <w:trHeight w:val="43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8700" w:type="dxa"/>
            <w:vAlign w:val="bottom"/>
            <w:gridSpan w:val="14"/>
          </w:tcPr>
          <w:p>
            <w:pPr>
              <w:spacing w:after="0"/>
              <w:rPr>
                <w:sz w:val="20"/>
                <w:szCs w:val="20"/>
                <w:color w:val="auto"/>
              </w:rPr>
            </w:pPr>
            <w:r>
              <w:rPr>
                <w:rFonts w:ascii="Arial" w:cs="Arial" w:eastAsia="Arial" w:hAnsi="Arial"/>
                <w:sz w:val="16"/>
                <w:szCs w:val="16"/>
                <w:color w:val="auto"/>
              </w:rPr>
              <w:t>Financial Statements</w:t>
            </w:r>
          </w:p>
        </w:tc>
        <w:tc>
          <w:tcPr>
            <w:tcW w:w="1620" w:type="dxa"/>
            <w:vAlign w:val="bottom"/>
          </w:tcPr>
          <w:p>
            <w:pPr>
              <w:spacing w:after="0"/>
              <w:rPr>
                <w:sz w:val="24"/>
                <w:szCs w:val="24"/>
                <w:color w:val="auto"/>
              </w:rPr>
            </w:pPr>
          </w:p>
        </w:tc>
      </w:tr>
      <w:tr>
        <w:trPr>
          <w:trHeight w:val="39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00" w:type="dxa"/>
            <w:vAlign w:val="bottom"/>
            <w:gridSpan w:val="14"/>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March 31, 2018 and December 31, 2017</w:t>
              </w:r>
            </w:hyperlink>
          </w:p>
        </w:tc>
        <w:tc>
          <w:tcPr>
            <w:tcW w:w="1620" w:type="dxa"/>
            <w:vAlign w:val="bottom"/>
          </w:tcPr>
          <w:p>
            <w:pPr>
              <w:jc w:val="right"/>
              <w:spacing w:after="0"/>
              <w:rPr>
                <w:rFonts w:ascii="Arial" w:cs="Arial" w:eastAsia="Arial" w:hAnsi="Arial"/>
                <w:sz w:val="16"/>
                <w:szCs w:val="16"/>
                <w:color w:val="auto"/>
              </w:rPr>
            </w:pPr>
            <w:hyperlink w:anchor="page3">
              <w:r>
                <w:rPr>
                  <w:rFonts w:ascii="Arial" w:cs="Arial" w:eastAsia="Arial" w:hAnsi="Arial"/>
                  <w:sz w:val="16"/>
                  <w:szCs w:val="16"/>
                  <w:color w:val="auto"/>
                </w:rPr>
                <w:t>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00" w:type="dxa"/>
            <w:vAlign w:val="bottom"/>
            <w:gridSpan w:val="14"/>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Comprehensive Income for the Three Months Ended March 31, 2018 and 2017</w:t>
              </w:r>
            </w:hyperlink>
          </w:p>
        </w:tc>
        <w:tc>
          <w:tcPr>
            <w:tcW w:w="162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91"/>
              </w:rPr>
            </w:pPr>
            <w:hyperlink w:anchor="page5">
              <w:r>
                <w:rPr>
                  <w:rFonts w:ascii="Arial" w:cs="Arial" w:eastAsia="Arial" w:hAnsi="Arial"/>
                  <w:sz w:val="16"/>
                  <w:szCs w:val="16"/>
                  <w:color w:val="0000EE"/>
                  <w:w w:val="91"/>
                </w:rPr>
                <w:t>Condensed Consolidated Statement of Stockholders’ Equity for the Three Months Ended March 31, 2018</w:t>
              </w:r>
            </w:hyperlink>
          </w:p>
        </w:tc>
        <w:tc>
          <w:tcPr>
            <w:tcW w:w="860" w:type="dxa"/>
            <w:vAlign w:val="bottom"/>
            <w:tcBorders>
              <w:top w:val="single" w:sz="8" w:color="0000EE"/>
            </w:tcBorders>
            <w:gridSpan w:val="2"/>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jc w:val="right"/>
              <w:spacing w:after="0"/>
              <w:rPr>
                <w:rFonts w:ascii="Arial" w:cs="Arial" w:eastAsia="Arial" w:hAnsi="Arial"/>
                <w:sz w:val="16"/>
                <w:szCs w:val="16"/>
                <w:color w:val="auto"/>
              </w:rPr>
            </w:pPr>
            <w:hyperlink w:anchor="page5">
              <w:r>
                <w:rPr>
                  <w:rFonts w:ascii="Arial" w:cs="Arial" w:eastAsia="Arial" w:hAnsi="Arial"/>
                  <w:sz w:val="16"/>
                  <w:szCs w:val="16"/>
                  <w:color w:val="auto"/>
                </w:rPr>
                <w:t>3</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00" w:type="dxa"/>
            <w:vAlign w:val="bottom"/>
            <w:gridSpan w:val="14"/>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Cash Flows for the Three Months Ended March 31, 2018 and 2017</w:t>
              </w:r>
            </w:hyperlink>
          </w:p>
        </w:tc>
        <w:tc>
          <w:tcPr>
            <w:tcW w:w="1620" w:type="dxa"/>
            <w:vAlign w:val="bottom"/>
          </w:tcPr>
          <w:p>
            <w:pPr>
              <w:jc w:val="right"/>
              <w:spacing w:after="0"/>
              <w:rPr>
                <w:rFonts w:ascii="Arial" w:cs="Arial" w:eastAsia="Arial" w:hAnsi="Arial"/>
                <w:sz w:val="16"/>
                <w:szCs w:val="16"/>
                <w:color w:val="auto"/>
              </w:rPr>
            </w:pPr>
            <w:hyperlink w:anchor="page6">
              <w:r>
                <w:rPr>
                  <w:rFonts w:ascii="Arial" w:cs="Arial" w:eastAsia="Arial" w:hAnsi="Arial"/>
                  <w:sz w:val="16"/>
                  <w:szCs w:val="16"/>
                  <w:color w:val="auto"/>
                </w:rPr>
                <w:t>4</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Notes to Condensed Consolidated Financial Statements</w:t>
              </w:r>
            </w:hyperlink>
          </w:p>
        </w:tc>
        <w:tc>
          <w:tcPr>
            <w:tcW w:w="3320" w:type="dxa"/>
            <w:vAlign w:val="bottom"/>
            <w:tcBorders>
              <w:top w:val="single" w:sz="8" w:color="0000EE"/>
            </w:tcBorders>
            <w:gridSpan w:val="6"/>
          </w:tcPr>
          <w:p>
            <w:pPr>
              <w:spacing w:after="0"/>
              <w:rPr>
                <w:sz w:val="24"/>
                <w:szCs w:val="24"/>
                <w:color w:val="auto"/>
              </w:rPr>
            </w:pPr>
          </w:p>
        </w:tc>
        <w:tc>
          <w:tcPr>
            <w:tcW w:w="1780" w:type="dxa"/>
            <w:vAlign w:val="bottom"/>
            <w:gridSpan w:val="2"/>
          </w:tcPr>
          <w:p>
            <w:pPr>
              <w:spacing w:after="0"/>
              <w:rPr>
                <w:sz w:val="24"/>
                <w:szCs w:val="24"/>
                <w:color w:val="auto"/>
              </w:rPr>
            </w:pPr>
          </w:p>
        </w:tc>
        <w:tc>
          <w:tcPr>
            <w:tcW w:w="1620" w:type="dxa"/>
            <w:vAlign w:val="bottom"/>
          </w:tcPr>
          <w:p>
            <w:pPr>
              <w:jc w:val="right"/>
              <w:spacing w:after="0"/>
              <w:rPr>
                <w:rFonts w:ascii="Arial" w:cs="Arial" w:eastAsia="Arial" w:hAnsi="Arial"/>
                <w:sz w:val="16"/>
                <w:szCs w:val="16"/>
                <w:color w:val="auto"/>
              </w:rPr>
            </w:pPr>
            <w:hyperlink w:anchor="page7">
              <w:r>
                <w:rPr>
                  <w:rFonts w:ascii="Arial" w:cs="Arial" w:eastAsia="Arial" w:hAnsi="Arial"/>
                  <w:sz w:val="16"/>
                  <w:szCs w:val="16"/>
                  <w:color w:val="auto"/>
                </w:rPr>
                <w:t>5</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000EE"/>
            </w:tcBorders>
            <w:gridSpan w:val="10"/>
          </w:tcPr>
          <w:p>
            <w:pPr>
              <w:spacing w:after="0"/>
              <w:rPr>
                <w:rFonts w:ascii="Arial" w:cs="Arial" w:eastAsia="Arial" w:hAnsi="Arial"/>
                <w:sz w:val="16"/>
                <w:szCs w:val="16"/>
                <w:color w:val="0000EE"/>
                <w:w w:val="92"/>
              </w:rPr>
            </w:pPr>
            <w:hyperlink w:anchor="page21">
              <w:r>
                <w:rPr>
                  <w:rFonts w:ascii="Arial" w:cs="Arial" w:eastAsia="Arial" w:hAnsi="Arial"/>
                  <w:sz w:val="16"/>
                  <w:szCs w:val="16"/>
                  <w:color w:val="0000EE"/>
                  <w:w w:val="92"/>
                </w:rPr>
                <w:t>Management’s Discussion and Analysis of Financial Condition and Results of Operations</w:t>
              </w:r>
            </w:hyperlink>
          </w:p>
        </w:tc>
        <w:tc>
          <w:tcPr>
            <w:tcW w:w="2880" w:type="dxa"/>
            <w:vAlign w:val="bottom"/>
            <w:gridSpan w:val="4"/>
          </w:tcPr>
          <w:p>
            <w:pPr>
              <w:spacing w:after="0"/>
              <w:rPr>
                <w:sz w:val="24"/>
                <w:szCs w:val="24"/>
                <w:color w:val="auto"/>
              </w:rPr>
            </w:pPr>
          </w:p>
        </w:tc>
        <w:tc>
          <w:tcPr>
            <w:tcW w:w="1620" w:type="dxa"/>
            <w:vAlign w:val="bottom"/>
          </w:tcPr>
          <w:p>
            <w:pPr>
              <w:jc w:val="right"/>
              <w:spacing w:after="0"/>
              <w:rPr>
                <w:rFonts w:ascii="Arial" w:cs="Arial" w:eastAsia="Arial" w:hAnsi="Arial"/>
                <w:sz w:val="16"/>
                <w:szCs w:val="16"/>
                <w:color w:val="auto"/>
              </w:rPr>
            </w:pPr>
            <w:hyperlink w:anchor="page21">
              <w:r>
                <w:rPr>
                  <w:rFonts w:ascii="Arial" w:cs="Arial" w:eastAsia="Arial" w:hAnsi="Arial"/>
                  <w:sz w:val="16"/>
                  <w:szCs w:val="16"/>
                  <w:color w:val="auto"/>
                </w:rPr>
                <w:t>19</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940" w:type="dxa"/>
            <w:vAlign w:val="bottom"/>
            <w:tcBorders>
              <w:bottom w:val="single" w:sz="8" w:color="0000EE"/>
            </w:tcBorders>
            <w:gridSpan w:val="8"/>
          </w:tcPr>
          <w:p>
            <w:pPr>
              <w:spacing w:after="0"/>
              <w:rPr>
                <w:rFonts w:ascii="Arial" w:cs="Arial" w:eastAsia="Arial" w:hAnsi="Arial"/>
                <w:sz w:val="16"/>
                <w:szCs w:val="16"/>
                <w:color w:val="0000EE"/>
                <w:w w:val="93"/>
              </w:rPr>
            </w:pPr>
            <w:hyperlink w:anchor="page29">
              <w:r>
                <w:rPr>
                  <w:rFonts w:ascii="Arial" w:cs="Arial" w:eastAsia="Arial" w:hAnsi="Arial"/>
                  <w:sz w:val="16"/>
                  <w:szCs w:val="16"/>
                  <w:color w:val="0000EE"/>
                  <w:w w:val="93"/>
                </w:rPr>
                <w:t>Quantitative and Qualitative Disclosures About Market Risk</w:t>
              </w:r>
            </w:hyperlink>
          </w:p>
        </w:tc>
        <w:tc>
          <w:tcPr>
            <w:tcW w:w="4760" w:type="dxa"/>
            <w:vAlign w:val="bottom"/>
            <w:gridSpan w:val="6"/>
          </w:tcPr>
          <w:p>
            <w:pPr>
              <w:spacing w:after="0"/>
              <w:rPr>
                <w:sz w:val="24"/>
                <w:szCs w:val="24"/>
                <w:color w:val="auto"/>
              </w:rPr>
            </w:pPr>
          </w:p>
        </w:tc>
        <w:tc>
          <w:tcPr>
            <w:tcW w:w="1620" w:type="dxa"/>
            <w:vAlign w:val="bottom"/>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27</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8700" w:type="dxa"/>
            <w:vAlign w:val="bottom"/>
            <w:gridSpan w:val="14"/>
          </w:tcPr>
          <w:p>
            <w:pPr>
              <w:spacing w:after="0"/>
              <w:rPr>
                <w:rFonts w:ascii="Arial" w:cs="Arial" w:eastAsia="Arial" w:hAnsi="Arial"/>
                <w:sz w:val="16"/>
                <w:szCs w:val="16"/>
                <w:color w:val="0000EE"/>
              </w:rPr>
            </w:pPr>
            <w:hyperlink w:anchor="page29">
              <w:r>
                <w:rPr>
                  <w:rFonts w:ascii="Arial" w:cs="Arial" w:eastAsia="Arial" w:hAnsi="Arial"/>
                  <w:sz w:val="16"/>
                  <w:szCs w:val="16"/>
                  <w:color w:val="0000EE"/>
                </w:rPr>
                <w:t>Controls and Procedures</w:t>
              </w:r>
            </w:hyperlink>
          </w:p>
        </w:tc>
        <w:tc>
          <w:tcPr>
            <w:tcW w:w="1620" w:type="dxa"/>
            <w:vAlign w:val="bottom"/>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27</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PART II</w:t>
            </w:r>
          </w:p>
        </w:tc>
        <w:tc>
          <w:tcPr>
            <w:tcW w:w="1700" w:type="dxa"/>
            <w:vAlign w:val="bottom"/>
            <w:tcBorders>
              <w:bottom w:val="single" w:sz="8" w:color="0000EE"/>
            </w:tcBorders>
            <w:gridSpan w:val="5"/>
          </w:tcPr>
          <w:p>
            <w:pPr>
              <w:spacing w:after="0"/>
              <w:rPr>
                <w:rFonts w:ascii="Arial" w:cs="Arial" w:eastAsia="Arial" w:hAnsi="Arial"/>
                <w:sz w:val="16"/>
                <w:szCs w:val="16"/>
                <w:color w:val="0000EE"/>
                <w:w w:val="97"/>
              </w:rPr>
            </w:pPr>
            <w:hyperlink w:anchor="page30">
              <w:r>
                <w:rPr>
                  <w:rFonts w:ascii="Arial" w:cs="Arial" w:eastAsia="Arial" w:hAnsi="Arial"/>
                  <w:sz w:val="16"/>
                  <w:szCs w:val="16"/>
                  <w:color w:val="0000EE"/>
                  <w:w w:val="97"/>
                </w:rPr>
                <w:t>OTHER INFORMATION</w:t>
              </w:r>
            </w:hyperlink>
          </w:p>
        </w:tc>
        <w:tc>
          <w:tcPr>
            <w:tcW w:w="7000" w:type="dxa"/>
            <w:vAlign w:val="bottom"/>
            <w:gridSpan w:val="9"/>
          </w:tcPr>
          <w:p>
            <w:pPr>
              <w:spacing w:after="0"/>
              <w:rPr>
                <w:sz w:val="24"/>
                <w:szCs w:val="24"/>
                <w:color w:val="auto"/>
              </w:rPr>
            </w:pPr>
          </w:p>
        </w:tc>
        <w:tc>
          <w:tcPr>
            <w:tcW w:w="162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Legal Proceedings</w:t>
              </w:r>
            </w:hyperlink>
          </w:p>
        </w:tc>
        <w:tc>
          <w:tcPr>
            <w:tcW w:w="7500" w:type="dxa"/>
            <w:vAlign w:val="bottom"/>
            <w:gridSpan w:val="11"/>
          </w:tcPr>
          <w:p>
            <w:pPr>
              <w:spacing w:after="0"/>
              <w:rPr>
                <w:sz w:val="24"/>
                <w:szCs w:val="24"/>
                <w:color w:val="auto"/>
              </w:rPr>
            </w:pPr>
          </w:p>
        </w:tc>
        <w:tc>
          <w:tcPr>
            <w:tcW w:w="162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8700" w:type="dxa"/>
            <w:vAlign w:val="bottom"/>
            <w:gridSpan w:val="14"/>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Risk Factors</w:t>
              </w:r>
            </w:hyperlink>
          </w:p>
        </w:tc>
        <w:tc>
          <w:tcPr>
            <w:tcW w:w="162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3920" w:type="dxa"/>
            <w:vAlign w:val="bottom"/>
            <w:tcBorders>
              <w:bottom w:val="single" w:sz="8" w:color="0000EE"/>
            </w:tcBorders>
            <w:gridSpan w:val="7"/>
          </w:tcPr>
          <w:p>
            <w:pPr>
              <w:spacing w:after="0"/>
              <w:rPr>
                <w:rFonts w:ascii="Arial" w:cs="Arial" w:eastAsia="Arial" w:hAnsi="Arial"/>
                <w:sz w:val="16"/>
                <w:szCs w:val="16"/>
                <w:color w:val="0000EE"/>
                <w:w w:val="90"/>
              </w:rPr>
            </w:pPr>
            <w:hyperlink w:anchor="page30">
              <w:r>
                <w:rPr>
                  <w:rFonts w:ascii="Arial" w:cs="Arial" w:eastAsia="Arial" w:hAnsi="Arial"/>
                  <w:sz w:val="16"/>
                  <w:szCs w:val="16"/>
                  <w:color w:val="0000EE"/>
                  <w:w w:val="90"/>
                </w:rPr>
                <w:t>Unregistered Sales of Equity Securities and Use of Proceeds</w:t>
              </w:r>
            </w:hyperlink>
          </w:p>
        </w:tc>
        <w:tc>
          <w:tcPr>
            <w:tcW w:w="4780" w:type="dxa"/>
            <w:vAlign w:val="bottom"/>
            <w:gridSpan w:val="7"/>
          </w:tcPr>
          <w:p>
            <w:pPr>
              <w:spacing w:after="0"/>
              <w:rPr>
                <w:sz w:val="24"/>
                <w:szCs w:val="24"/>
                <w:color w:val="auto"/>
              </w:rPr>
            </w:pPr>
          </w:p>
        </w:tc>
        <w:tc>
          <w:tcPr>
            <w:tcW w:w="162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28</w:t>
              </w:r>
            </w:hyperlink>
          </w:p>
        </w:tc>
      </w:tr>
      <w:tr>
        <w:trPr>
          <w:trHeight w:val="372"/>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8700" w:type="dxa"/>
            <w:vAlign w:val="bottom"/>
            <w:gridSpan w:val="14"/>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Exhibits</w:t>
              </w:r>
            </w:hyperlink>
          </w:p>
        </w:tc>
        <w:tc>
          <w:tcPr>
            <w:tcW w:w="1620" w:type="dxa"/>
            <w:vAlign w:val="bottom"/>
          </w:tcPr>
          <w:p>
            <w:pPr>
              <w:jc w:val="right"/>
              <w:spacing w:after="0"/>
              <w:rPr>
                <w:rFonts w:ascii="Arial" w:cs="Arial" w:eastAsia="Arial" w:hAnsi="Arial"/>
                <w:sz w:val="16"/>
                <w:szCs w:val="16"/>
                <w:color w:val="auto"/>
              </w:rPr>
            </w:pPr>
            <w:hyperlink w:anchor="page31">
              <w:r>
                <w:rPr>
                  <w:rFonts w:ascii="Arial" w:cs="Arial" w:eastAsia="Arial" w:hAnsi="Arial"/>
                  <w:sz w:val="16"/>
                  <w:szCs w:val="16"/>
                  <w:color w:val="auto"/>
                </w:rPr>
                <w:t>29</w:t>
              </w:r>
            </w:hyperlink>
          </w:p>
        </w:tc>
      </w:tr>
      <w:tr>
        <w:trPr>
          <w:trHeight w:val="358"/>
        </w:trPr>
        <w:tc>
          <w:tcPr>
            <w:tcW w:w="680" w:type="dxa"/>
            <w:vAlign w:val="bottom"/>
            <w:tcBorders>
              <w:bottom w:val="single" w:sz="8" w:color="0000EE"/>
            </w:tcBorders>
          </w:tcPr>
          <w:p>
            <w:pPr>
              <w:spacing w:after="0"/>
              <w:rPr>
                <w:rFonts w:ascii="Arial" w:cs="Arial" w:eastAsia="Arial" w:hAnsi="Arial"/>
                <w:sz w:val="16"/>
                <w:szCs w:val="16"/>
                <w:color w:val="0000EE"/>
                <w:w w:val="86"/>
              </w:rPr>
            </w:pPr>
            <w:hyperlink w:anchor="page32">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jc w:val="right"/>
              <w:spacing w:after="0"/>
              <w:rPr>
                <w:rFonts w:ascii="Arial" w:cs="Arial" w:eastAsia="Arial" w:hAnsi="Arial"/>
                <w:sz w:val="16"/>
                <w:szCs w:val="16"/>
                <w:color w:val="auto"/>
              </w:rPr>
            </w:pPr>
            <w:hyperlink w:anchor="page32">
              <w:r>
                <w:rPr>
                  <w:rFonts w:ascii="Arial" w:cs="Arial" w:eastAsia="Arial" w:hAnsi="Arial"/>
                  <w:sz w:val="16"/>
                  <w:szCs w:val="16"/>
                  <w:color w:val="auto"/>
                </w:rPr>
                <w:t>30</w:t>
              </w:r>
            </w:hyperlink>
          </w:p>
        </w:tc>
      </w:tr>
    </w:tbl>
    <w:p>
      <w:pPr>
        <w:sectPr>
          <w:pgSz w:w="11900" w:h="16838" w:orient="portrait"/>
          <w:cols w:equalWidth="0" w:num="1">
            <w:col w:w="11400"/>
          </w:cols>
          <w:pgMar w:left="240" w:top="364"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376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23,945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Investments,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51,324</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129,629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138,114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 of $5,848 and $5,673</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192,659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Compensation and benefits payable</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Income taxes payable</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16,313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31,531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dividends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Noncurrent income taxes payable</w:t>
            </w: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19,096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36,263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Common stock, $0.01 par value, authorized 25,000,000 shares, issued 10,195,216 and outstanding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9,017,274 shares at March 31, 2018; issued 9,980,827 and outstanding 8,899,587 shares at December</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31, 2017</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183,591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179,241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5"/>
              </w:rPr>
              <w:t>Treasury stock, at cost - 1,177,942 shares at March 31, 2018; 1,081,240 shares at December 31, 2017</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(49,788)</w:t>
            </w:r>
          </w:p>
        </w:tc>
        <w:tc>
          <w:tcPr>
            <w:tcW w:w="0" w:type="dxa"/>
            <w:vAlign w:val="bottom"/>
          </w:tcPr>
          <w:p>
            <w:pPr>
              <w:spacing w:after="0"/>
              <w:rPr>
                <w:sz w:val="1"/>
                <w:szCs w:val="1"/>
                <w:color w:val="auto"/>
              </w:rPr>
            </w:pPr>
          </w:p>
        </w:tc>
      </w:tr>
      <w:tr>
        <w:trPr>
          <w:trHeight w:val="243"/>
        </w:trPr>
        <w:tc>
          <w:tcPr>
            <w:tcW w:w="830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30,491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28,607</w:t>
            </w:r>
          </w:p>
        </w:tc>
        <w:tc>
          <w:tcPr>
            <w:tcW w:w="0" w:type="dxa"/>
            <w:vAlign w:val="bottom"/>
          </w:tcPr>
          <w:p>
            <w:pPr>
              <w:spacing w:after="0"/>
              <w:rPr>
                <w:sz w:val="1"/>
                <w:szCs w:val="1"/>
                <w:color w:val="auto"/>
              </w:rPr>
            </w:pPr>
          </w:p>
        </w:tc>
      </w:tr>
      <w:tr>
        <w:trPr>
          <w:trHeight w:val="237"/>
        </w:trPr>
        <w:tc>
          <w:tcPr>
            <w:tcW w:w="8300" w:type="dxa"/>
            <w:vAlign w:val="bottom"/>
          </w:tcPr>
          <w:p>
            <w:pPr>
              <w:ind w:left="8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156,020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156,396</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175,116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192,659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80" w:top="486" w:right="259" w:bottom="144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Three Months Ended March 31,</w:t>
            </w:r>
          </w:p>
        </w:tc>
      </w:tr>
      <w:tr>
        <w:trPr>
          <w:trHeight w:val="47"/>
        </w:trPr>
        <w:tc>
          <w:tcPr>
            <w:tcW w:w="3440" w:type="dxa"/>
            <w:vAlign w:val="bottom"/>
          </w:tcPr>
          <w:p>
            <w:pPr>
              <w:spacing w:after="0"/>
              <w:rPr>
                <w:sz w:val="4"/>
                <w:szCs w:val="4"/>
                <w:color w:val="auto"/>
              </w:rPr>
            </w:pPr>
          </w:p>
        </w:tc>
        <w:tc>
          <w:tcPr>
            <w:tcW w:w="48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17"/>
        </w:trPr>
        <w:tc>
          <w:tcPr>
            <w:tcW w:w="34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30"/>
              <w:spacing w:after="0"/>
              <w:rPr>
                <w:sz w:val="20"/>
                <w:szCs w:val="20"/>
                <w:color w:val="auto"/>
              </w:rPr>
            </w:pPr>
            <w:r>
              <w:rPr>
                <w:rFonts w:ascii="Arial" w:cs="Arial" w:eastAsia="Arial" w:hAnsi="Arial"/>
                <w:sz w:val="16"/>
                <w:szCs w:val="16"/>
                <w:b w:val="1"/>
                <w:bCs w:val="1"/>
                <w:color w:val="auto"/>
              </w:rPr>
              <w:t>2017</w:t>
            </w:r>
          </w:p>
        </w:tc>
      </w:tr>
      <w:tr>
        <w:trPr>
          <w:trHeight w:val="47"/>
        </w:trPr>
        <w:tc>
          <w:tcPr>
            <w:tcW w:w="3440" w:type="dxa"/>
            <w:vAlign w:val="bottom"/>
            <w:tcBorders>
              <w:bottom w:val="single" w:sz="8" w:color="CCEEFF"/>
            </w:tcBorders>
          </w:tcPr>
          <w:p>
            <w:pPr>
              <w:spacing w:after="0"/>
              <w:rPr>
                <w:sz w:val="4"/>
                <w:szCs w:val="4"/>
                <w:color w:val="auto"/>
              </w:rPr>
            </w:pPr>
          </w:p>
        </w:tc>
        <w:tc>
          <w:tcPr>
            <w:tcW w:w="4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51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23,789</w:t>
            </w:r>
          </w:p>
        </w:tc>
      </w:tr>
      <w:tr>
        <w:trPr>
          <w:trHeight w:val="243"/>
        </w:trPr>
        <w:tc>
          <w:tcPr>
            <w:tcW w:w="34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7,795</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653</w:t>
            </w:r>
          </w:p>
        </w:tc>
      </w:tr>
      <w:tr>
        <w:trPr>
          <w:trHeight w:val="27"/>
        </w:trPr>
        <w:tc>
          <w:tcPr>
            <w:tcW w:w="34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revenues</w:t>
            </w: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32,623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17,717</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477</w:t>
            </w: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1,756</w:t>
            </w: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2,544</w:t>
            </w:r>
          </w:p>
        </w:tc>
      </w:tr>
      <w:tr>
        <w:trPr>
          <w:trHeight w:val="27"/>
        </w:trPr>
        <w:tc>
          <w:tcPr>
            <w:tcW w:w="34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expenses</w:t>
            </w:r>
          </w:p>
        </w:tc>
        <w:tc>
          <w:tcPr>
            <w:tcW w:w="4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24,853</w:t>
            </w: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7,770</w:t>
            </w:r>
          </w:p>
        </w:tc>
      </w:tr>
      <w:tr>
        <w:trPr>
          <w:trHeight w:val="27"/>
        </w:trPr>
        <w:tc>
          <w:tcPr>
            <w:tcW w:w="34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operations</w:t>
            </w:r>
          </w:p>
        </w:tc>
        <w:tc>
          <w:tcPr>
            <w:tcW w:w="4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48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7,770</w:t>
            </w:r>
          </w:p>
        </w:tc>
      </w:tr>
      <w:tr>
        <w:trPr>
          <w:trHeight w:val="27"/>
        </w:trPr>
        <w:tc>
          <w:tcPr>
            <w:tcW w:w="34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4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1,706</w:t>
            </w: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8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6,064</w:t>
            </w:r>
          </w:p>
        </w:tc>
      </w:tr>
      <w:tr>
        <w:trPr>
          <w:trHeight w:val="67"/>
        </w:trPr>
        <w:tc>
          <w:tcPr>
            <w:tcW w:w="3440" w:type="dxa"/>
            <w:vAlign w:val="bottom"/>
            <w:tcBorders>
              <w:bottom w:val="single" w:sz="8" w:color="CCEEFF"/>
            </w:tcBorders>
          </w:tcPr>
          <w:p>
            <w:pPr>
              <w:spacing w:after="0"/>
              <w:rPr>
                <w:sz w:val="5"/>
                <w:szCs w:val="5"/>
                <w:color w:val="auto"/>
              </w:rPr>
            </w:pPr>
          </w:p>
        </w:tc>
        <w:tc>
          <w:tcPr>
            <w:tcW w:w="48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4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w w:val="93"/>
              </w:rPr>
              <w:t>Foreign currency translation adjustments</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344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51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344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500"/>
              <w:spacing w:after="0"/>
              <w:rPr>
                <w:sz w:val="20"/>
                <w:szCs w:val="20"/>
                <w:color w:val="auto"/>
              </w:rPr>
            </w:pPr>
            <w:r>
              <w:rPr>
                <w:rFonts w:ascii="Arial" w:cs="Arial" w:eastAsia="Arial" w:hAnsi="Arial"/>
                <w:sz w:val="18"/>
                <w:szCs w:val="18"/>
                <w:color w:val="auto"/>
              </w:rPr>
              <w:t>Basic</w:t>
            </w:r>
          </w:p>
        </w:tc>
        <w:tc>
          <w:tcPr>
            <w:tcW w:w="5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0.75</w:t>
            </w: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51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8,270,793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8,065,825</w:t>
            </w:r>
          </w:p>
        </w:tc>
      </w:tr>
      <w:tr>
        <w:trPr>
          <w:trHeight w:val="243"/>
        </w:trPr>
        <w:tc>
          <w:tcPr>
            <w:tcW w:w="3440" w:type="dxa"/>
            <w:vAlign w:val="bottom"/>
          </w:tcPr>
          <w:p>
            <w:pPr>
              <w:ind w:left="500"/>
              <w:spacing w:after="0"/>
              <w:rPr>
                <w:sz w:val="20"/>
                <w:szCs w:val="20"/>
                <w:color w:val="auto"/>
              </w:rPr>
            </w:pPr>
            <w:r>
              <w:rPr>
                <w:rFonts w:ascii="Arial" w:cs="Arial" w:eastAsia="Arial" w:hAnsi="Arial"/>
                <w:sz w:val="18"/>
                <w:szCs w:val="18"/>
                <w:color w:val="auto"/>
              </w:rPr>
              <w:t>Diluted</w:t>
            </w:r>
          </w:p>
        </w:tc>
        <w:tc>
          <w:tcPr>
            <w:tcW w:w="4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8,539,545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8,311,382</w:t>
            </w:r>
          </w:p>
        </w:tc>
      </w:tr>
      <w:tr>
        <w:trPr>
          <w:trHeight w:val="27"/>
        </w:trPr>
        <w:tc>
          <w:tcPr>
            <w:tcW w:w="34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3440" w:type="dxa"/>
            <w:vAlign w:val="bottom"/>
            <w:shd w:val="clear" w:color="auto" w:fill="CCEEFF"/>
          </w:tcPr>
          <w:p>
            <w:pPr>
              <w:spacing w:after="0"/>
              <w:rPr>
                <w:sz w:val="24"/>
                <w:szCs w:val="24"/>
                <w:color w:val="auto"/>
              </w:rPr>
            </w:pPr>
          </w:p>
        </w:tc>
        <w:tc>
          <w:tcPr>
            <w:tcW w:w="4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Cash dividends declared per share</w:t>
            </w:r>
          </w:p>
        </w:tc>
        <w:tc>
          <w:tcPr>
            <w:tcW w:w="51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0.62</w:t>
            </w:r>
          </w:p>
        </w:tc>
      </w:tr>
      <w:tr>
        <w:trPr>
          <w:trHeight w:val="702"/>
        </w:trPr>
        <w:tc>
          <w:tcPr>
            <w:tcW w:w="3440" w:type="dxa"/>
            <w:vAlign w:val="bottom"/>
          </w:tcPr>
          <w:p>
            <w:pPr>
              <w:spacing w:after="0"/>
              <w:rPr>
                <w:sz w:val="24"/>
                <w:szCs w:val="24"/>
                <w:color w:val="auto"/>
              </w:rPr>
            </w:pPr>
          </w:p>
        </w:tc>
        <w:tc>
          <w:tcPr>
            <w:tcW w:w="5100" w:type="dxa"/>
            <w:vAlign w:val="bottom"/>
            <w:gridSpan w:val="2"/>
          </w:tcPr>
          <w:p>
            <w:pPr>
              <w:jc w:val="center"/>
              <w:ind w:right="47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3440" w:type="dxa"/>
            <w:vAlign w:val="bottom"/>
          </w:tcPr>
          <w:p>
            <w:pPr>
              <w:spacing w:after="0"/>
              <w:rPr>
                <w:sz w:val="24"/>
                <w:szCs w:val="24"/>
                <w:color w:val="auto"/>
              </w:rPr>
            </w:pPr>
          </w:p>
        </w:tc>
        <w:tc>
          <w:tcPr>
            <w:tcW w:w="4800" w:type="dxa"/>
            <w:vAlign w:val="bottom"/>
          </w:tcPr>
          <w:p>
            <w:pPr>
              <w:jc w:val="right"/>
              <w:ind w:right="239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34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Common Stock, Par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line="182" w:lineRule="exact"/>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1"/>
              </w:rPr>
              <w:t>Treasury</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5"/>
                <w:szCs w:val="15"/>
                <w:color w:val="auto"/>
              </w:rPr>
            </w:pPr>
          </w:p>
        </w:tc>
        <w:tc>
          <w:tcPr>
            <w:tcW w:w="960" w:type="dxa"/>
            <w:vAlign w:val="bottom"/>
            <w:gridSpan w:val="2"/>
          </w:tcPr>
          <w:p>
            <w:pPr>
              <w:ind w:left="40"/>
              <w:spacing w:after="0" w:line="182" w:lineRule="exact"/>
              <w:rPr>
                <w:sz w:val="20"/>
                <w:szCs w:val="20"/>
                <w:color w:val="auto"/>
              </w:rPr>
            </w:pPr>
            <w:r>
              <w:rPr>
                <w:rFonts w:ascii="Arial" w:cs="Arial" w:eastAsia="Arial" w:hAnsi="Arial"/>
                <w:sz w:val="16"/>
                <w:szCs w:val="16"/>
                <w:b w:val="1"/>
                <w:bCs w:val="1"/>
                <w:color w:val="auto"/>
              </w:rPr>
              <w:t>Retained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22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8,899,587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179,241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156,396</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7,978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7,978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w w:val="95"/>
              </w:rPr>
              <w:t>Issuance of restricted stock, net of forfeitures</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214,389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(6,094)</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Stock based compensation expense</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4,187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compensation liability to</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be paid in shares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Purchases of treasury stock</w:t>
            </w:r>
          </w:p>
        </w:tc>
        <w:tc>
          <w:tcPr>
            <w:tcW w:w="1160" w:type="dxa"/>
            <w:vAlign w:val="bottom"/>
          </w:tcPr>
          <w:p>
            <w:pPr>
              <w:jc w:val="right"/>
              <w:spacing w:after="0"/>
              <w:rPr>
                <w:sz w:val="20"/>
                <w:szCs w:val="20"/>
                <w:color w:val="auto"/>
              </w:rPr>
            </w:pPr>
            <w:r>
              <w:rPr>
                <w:rFonts w:ascii="Arial" w:cs="Arial" w:eastAsia="Arial" w:hAnsi="Arial"/>
                <w:sz w:val="16"/>
                <w:szCs w:val="16"/>
                <w:color w:val="auto"/>
              </w:rPr>
              <w:t>(13,031)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stock returned for payment of</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(4,687)</w:t>
            </w:r>
          </w:p>
        </w:tc>
        <w:tc>
          <w:tcPr>
            <w:tcW w:w="0" w:type="dxa"/>
            <w:vAlign w:val="bottom"/>
          </w:tcPr>
          <w:p>
            <w:pPr>
              <w:spacing w:after="0"/>
              <w:rPr>
                <w:sz w:val="1"/>
                <w:szCs w:val="1"/>
                <w:color w:val="auto"/>
              </w:rPr>
            </w:pP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rPr>
              <w:t>BALANCE, March 31, 2018</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9,017,274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183,591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(55,201)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30,491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156,020</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gridSpan w:val="5"/>
          </w:tcPr>
          <w:p>
            <w:pPr>
              <w:jc w:val="right"/>
              <w:ind w:right="443"/>
              <w:spacing w:after="0"/>
              <w:rPr>
                <w:sz w:val="20"/>
                <w:szCs w:val="20"/>
                <w:color w:val="auto"/>
              </w:rPr>
            </w:pPr>
            <w:r>
              <w:rPr>
                <w:rFonts w:ascii="Arial" w:cs="Arial" w:eastAsia="Arial" w:hAnsi="Arial"/>
                <w:sz w:val="16"/>
                <w:szCs w:val="16"/>
                <w:b w:val="1"/>
                <w:bCs w:val="1"/>
                <w:color w:val="auto"/>
              </w:rPr>
              <w:t>Three Months Ended March 31,</w:t>
            </w:r>
          </w:p>
        </w:tc>
      </w:tr>
      <w:tr>
        <w:trPr>
          <w:trHeight w:val="47"/>
        </w:trPr>
        <w:tc>
          <w:tcPr>
            <w:tcW w:w="8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17"/>
        </w:trPr>
        <w:tc>
          <w:tcPr>
            <w:tcW w:w="8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43"/>
              <w:spacing w:after="0"/>
              <w:rPr>
                <w:sz w:val="20"/>
                <w:szCs w:val="20"/>
                <w:color w:val="auto"/>
              </w:rPr>
            </w:pPr>
            <w:r>
              <w:rPr>
                <w:rFonts w:ascii="Arial" w:cs="Arial" w:eastAsia="Arial" w:hAnsi="Arial"/>
                <w:sz w:val="16"/>
                <w:szCs w:val="16"/>
                <w:b w:val="1"/>
                <w:bCs w:val="1"/>
                <w:color w:val="auto"/>
              </w:rPr>
              <w:t>2017</w:t>
            </w:r>
          </w:p>
        </w:tc>
      </w:tr>
      <w:tr>
        <w:trPr>
          <w:trHeight w:val="47"/>
        </w:trPr>
        <w:tc>
          <w:tcPr>
            <w:tcW w:w="8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Net income</w:t>
            </w:r>
          </w:p>
        </w:tc>
        <w:tc>
          <w:tcPr>
            <w:tcW w:w="1000" w:type="dxa"/>
            <w:vAlign w:val="bottom"/>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7,978</w:t>
            </w:r>
          </w:p>
        </w:tc>
        <w:tc>
          <w:tcPr>
            <w:tcW w:w="100" w:type="dxa"/>
            <w:vAlign w:val="bottom"/>
          </w:tcPr>
          <w:p>
            <w:pPr>
              <w:spacing w:after="0"/>
              <w:rPr>
                <w:sz w:val="23"/>
                <w:szCs w:val="23"/>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6,064</w:t>
            </w:r>
          </w:p>
        </w:tc>
      </w:tr>
      <w:tr>
        <w:trPr>
          <w:trHeight w:val="25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Depreciation</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213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240</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Amortization of intangible assets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490</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Unrealized (gains) losses on trading investments</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232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(303)</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Stock based compensation expense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4,187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3,897</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Deferred income taxes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26</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Gain on sale of operations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Other</w:t>
            </w:r>
          </w:p>
        </w:tc>
        <w:tc>
          <w:tcPr>
            <w:tcW w:w="10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5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Change in operating assets and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Net sales of investments - trading securities</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2,175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12,002</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Accounts receivable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(1,721)</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Other current assets</w:t>
            </w:r>
          </w:p>
        </w:tc>
        <w:tc>
          <w:tcPr>
            <w:tcW w:w="1000" w:type="dxa"/>
            <w:vAlign w:val="bottom"/>
          </w:tcPr>
          <w:p>
            <w:pPr>
              <w:spacing w:after="0"/>
              <w:rPr>
                <w:sz w:val="23"/>
                <w:szCs w:val="23"/>
                <w:color w:val="auto"/>
              </w:rPr>
            </w:pP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3,027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Accounts payable and accrued liabilities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r>
      <w:tr>
        <w:trPr>
          <w:trHeight w:val="266"/>
        </w:trPr>
        <w:tc>
          <w:tcPr>
            <w:tcW w:w="8120" w:type="dxa"/>
            <w:vAlign w:val="bottom"/>
          </w:tcPr>
          <w:p>
            <w:pPr>
              <w:ind w:left="720"/>
              <w:spacing w:after="0"/>
              <w:rPr>
                <w:sz w:val="20"/>
                <w:szCs w:val="20"/>
                <w:color w:val="auto"/>
              </w:rPr>
            </w:pPr>
            <w:r>
              <w:rPr>
                <w:rFonts w:ascii="Arial" w:cs="Arial" w:eastAsia="Arial" w:hAnsi="Arial"/>
                <w:sz w:val="15"/>
                <w:szCs w:val="15"/>
                <w:color w:val="auto"/>
              </w:rPr>
              <w:t>Compensation and benefits payable</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6"/>
              </w:rPr>
              <w:t>(13,712)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(11,394)</w:t>
            </w:r>
          </w:p>
        </w:tc>
      </w:tr>
      <w:tr>
        <w:trPr>
          <w:trHeight w:val="274"/>
        </w:trPr>
        <w:tc>
          <w:tcPr>
            <w:tcW w:w="8120" w:type="dxa"/>
            <w:vAlign w:val="bottom"/>
            <w:shd w:val="clear" w:color="auto" w:fill="CCEEFF"/>
          </w:tcPr>
          <w:p>
            <w:pPr>
              <w:ind w:left="720"/>
              <w:spacing w:after="0"/>
              <w:rPr>
                <w:sz w:val="20"/>
                <w:szCs w:val="20"/>
                <w:color w:val="auto"/>
              </w:rPr>
            </w:pPr>
            <w:r>
              <w:rPr>
                <w:rFonts w:ascii="Arial" w:cs="Arial" w:eastAsia="Arial" w:hAnsi="Arial"/>
                <w:sz w:val="15"/>
                <w:szCs w:val="15"/>
                <w:color w:val="auto"/>
              </w:rPr>
              <w:t>Prepaid income taxes/income taxes payable</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871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859</w:t>
            </w:r>
          </w:p>
        </w:tc>
      </w:tr>
      <w:tr>
        <w:trPr>
          <w:trHeight w:val="266"/>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5"/>
                <w:szCs w:val="15"/>
                <w:color w:val="auto"/>
              </w:rPr>
              <w:t>Other liabilities</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r>
      <w:tr>
        <w:trPr>
          <w:trHeight w:val="254"/>
        </w:trPr>
        <w:tc>
          <w:tcPr>
            <w:tcW w:w="812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cash provided by operating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1,352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9,941</w:t>
            </w:r>
          </w:p>
        </w:tc>
      </w:tr>
      <w:tr>
        <w:trPr>
          <w:trHeight w:val="215"/>
        </w:trPr>
        <w:tc>
          <w:tcPr>
            <w:tcW w:w="812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9"/>
        </w:trPr>
        <w:tc>
          <w:tcPr>
            <w:tcW w:w="8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 of property and equipment</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r>
      <w:tr>
        <w:trPr>
          <w:trHeight w:val="266"/>
        </w:trPr>
        <w:tc>
          <w:tcPr>
            <w:tcW w:w="812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Proceeds from Omaha divestiture</w:t>
            </w:r>
          </w:p>
        </w:tc>
        <w:tc>
          <w:tcPr>
            <w:tcW w:w="10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10,013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4"/>
        </w:trPr>
        <w:tc>
          <w:tcPr>
            <w:tcW w:w="8120" w:type="dxa"/>
            <w:vAlign w:val="bottom"/>
            <w:shd w:val="clear" w:color="auto" w:fill="CCEEFF"/>
          </w:tcPr>
          <w:p>
            <w:pPr>
              <w:ind w:left="920"/>
              <w:spacing w:after="0"/>
              <w:rPr>
                <w:sz w:val="20"/>
                <w:szCs w:val="20"/>
                <w:color w:val="auto"/>
              </w:rPr>
            </w:pPr>
            <w:r>
              <w:rPr>
                <w:rFonts w:ascii="Arial" w:cs="Arial" w:eastAsia="Arial" w:hAnsi="Arial"/>
                <w:sz w:val="15"/>
                <w:szCs w:val="15"/>
                <w:color w:val="auto"/>
              </w:rPr>
              <w:t>Net cash provided by (used in) investing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9,714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(150)</w:t>
            </w:r>
          </w:p>
        </w:tc>
      </w:tr>
      <w:tr>
        <w:trPr>
          <w:trHeight w:val="215"/>
        </w:trPr>
        <w:tc>
          <w:tcPr>
            <w:tcW w:w="812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9"/>
        </w:trPr>
        <w:tc>
          <w:tcPr>
            <w:tcW w:w="8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 of treasury stock under employee stock plans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(1,326)</w:t>
            </w: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Restricted stock returned for payment of taxes</w:t>
            </w:r>
          </w:p>
        </w:tc>
        <w:tc>
          <w:tcPr>
            <w:tcW w:w="10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(4,687)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(5,189)</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dividends paid</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(7,332)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(6,564)</w:t>
            </w:r>
          </w:p>
        </w:tc>
      </w:tr>
      <w:tr>
        <w:trPr>
          <w:trHeight w:val="246"/>
        </w:trPr>
        <w:tc>
          <w:tcPr>
            <w:tcW w:w="8120" w:type="dxa"/>
            <w:vAlign w:val="bottom"/>
            <w:tcBorders>
              <w:bottom w:val="single" w:sz="8" w:color="CCEEFF"/>
            </w:tcBorders>
          </w:tcPr>
          <w:p>
            <w:pPr>
              <w:ind w:left="920"/>
              <w:spacing w:after="0"/>
              <w:rPr>
                <w:sz w:val="20"/>
                <w:szCs w:val="20"/>
                <w:color w:val="auto"/>
              </w:rPr>
            </w:pPr>
            <w:r>
              <w:rPr>
                <w:rFonts w:ascii="Arial" w:cs="Arial" w:eastAsia="Arial" w:hAnsi="Arial"/>
                <w:sz w:val="15"/>
                <w:szCs w:val="15"/>
                <w:color w:val="auto"/>
              </w:rPr>
              <w:t>Net cash used in financing activities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(12,745)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(13,079)</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currency rate changes on cash</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235</w:t>
            </w:r>
          </w:p>
        </w:tc>
      </w:tr>
      <w:tr>
        <w:trPr>
          <w:trHeight w:val="246"/>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Net Change in Cash and Cash Equivalents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(3,053)</w:t>
            </w:r>
          </w:p>
        </w:tc>
      </w:tr>
      <w:tr>
        <w:trPr>
          <w:trHeight w:val="254"/>
        </w:trPr>
        <w:tc>
          <w:tcPr>
            <w:tcW w:w="8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and cash equivalents, beginning of period</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54,249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33,679</w:t>
            </w:r>
          </w:p>
        </w:tc>
      </w:tr>
      <w:tr>
        <w:trPr>
          <w:trHeight w:val="27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Cash and cash equivalents, end of period</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51,550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30,626</w:t>
            </w:r>
          </w:p>
        </w:tc>
      </w:tr>
      <w:tr>
        <w:trPr>
          <w:trHeight w:val="282"/>
        </w:trPr>
        <w:tc>
          <w:tcPr>
            <w:tcW w:w="8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35"/>
        </w:trPr>
        <w:tc>
          <w:tcPr>
            <w:tcW w:w="8120" w:type="dxa"/>
            <w:vAlign w:val="bottom"/>
          </w:tcPr>
          <w:p>
            <w:pPr>
              <w:ind w:left="40"/>
              <w:spacing w:after="0"/>
              <w:rPr>
                <w:sz w:val="20"/>
                <w:szCs w:val="20"/>
                <w:color w:val="auto"/>
              </w:rPr>
            </w:pPr>
            <w:r>
              <w:rPr>
                <w:rFonts w:ascii="Arial" w:cs="Arial" w:eastAsia="Arial" w:hAnsi="Arial"/>
                <w:sz w:val="15"/>
                <w:szCs w:val="15"/>
                <w:color w:val="auto"/>
              </w:rPr>
              <w:t>Supplemental cash flow information:</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
        </w:trPr>
        <w:tc>
          <w:tcPr>
            <w:tcW w:w="8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0"/>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paid during the period for income taxes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95"/>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828</w:t>
            </w:r>
          </w:p>
        </w:tc>
      </w:tr>
      <w:tr>
        <w:trPr>
          <w:trHeight w:val="266"/>
        </w:trPr>
        <w:tc>
          <w:tcPr>
            <w:tcW w:w="8120" w:type="dxa"/>
            <w:vAlign w:val="bottom"/>
          </w:tcPr>
          <w:p>
            <w:pPr>
              <w:ind w:left="380"/>
              <w:spacing w:after="0"/>
              <w:rPr>
                <w:sz w:val="20"/>
                <w:szCs w:val="20"/>
                <w:color w:val="auto"/>
              </w:rPr>
            </w:pPr>
            <w:r>
              <w:rPr>
                <w:rFonts w:ascii="Arial" w:cs="Arial" w:eastAsia="Arial" w:hAnsi="Arial"/>
                <w:sz w:val="15"/>
                <w:szCs w:val="15"/>
                <w:color w:val="auto"/>
              </w:rPr>
              <w:t>Accrued dividends</w:t>
            </w:r>
          </w:p>
        </w:tc>
        <w:tc>
          <w:tcPr>
            <w:tcW w:w="1000" w:type="dxa"/>
            <w:vAlign w:val="bottom"/>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43"/>
              <w:spacing w:after="0"/>
              <w:rPr>
                <w:sz w:val="20"/>
                <w:szCs w:val="20"/>
                <w:color w:val="auto"/>
              </w:rPr>
            </w:pPr>
            <w:r>
              <w:rPr>
                <w:rFonts w:ascii="Arial" w:cs="Arial" w:eastAsia="Arial" w:hAnsi="Arial"/>
                <w:sz w:val="15"/>
                <w:szCs w:val="15"/>
                <w:color w:val="auto"/>
              </w:rPr>
              <w:t>7,836</w:t>
            </w:r>
          </w:p>
        </w:tc>
        <w:tc>
          <w:tcPr>
            <w:tcW w:w="100" w:type="dxa"/>
            <w:vAlign w:val="bottom"/>
          </w:tcPr>
          <w:p>
            <w:pPr>
              <w:spacing w:after="0"/>
              <w:rPr>
                <w:sz w:val="23"/>
                <w:szCs w:val="23"/>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7,358</w:t>
            </w:r>
          </w:p>
        </w:tc>
      </w:tr>
      <w:tr>
        <w:trPr>
          <w:trHeight w:val="274"/>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purchase of property and equipment</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ind w:left="280" w:right="27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75" w:lineRule="exact"/>
        <w:rPr>
          <w:sz w:val="20"/>
          <w:szCs w:val="20"/>
          <w:color w:val="auto"/>
        </w:rPr>
      </w:pPr>
    </w:p>
    <w:p>
      <w:pPr>
        <w:ind w:right="340" w:firstLine="500"/>
        <w:spacing w:after="0" w:line="297"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provides investment management services to institutional investors, private wealth clients and financial intermediaries through its subsidiaries, Westwood Management Corp. and Westwood Advisors, L.L.C. (together “Westwood Management”), Westwood Trust, and Westwood International Advisors Inc. (“Westwood International”). Revenue is largely dependent on the total value and composition of assets under management (“AUM”). Accordingly, fluctuations in financial markets and in the composition of AUM impact revenues and results of operations.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 of our Omaha Operations</w:t>
      </w:r>
    </w:p>
    <w:p>
      <w:pPr>
        <w:spacing w:after="0" w:line="175" w:lineRule="exact"/>
        <w:rPr>
          <w:sz w:val="20"/>
          <w:szCs w:val="20"/>
          <w:color w:val="auto"/>
        </w:rPr>
      </w:pPr>
    </w:p>
    <w:p>
      <w:pPr>
        <w:ind w:right="140" w:firstLine="500"/>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Private Wealth business. The sale closed on January 12, 2018. We received proceeds of $10.0 million, net of working capital requirements, and recorded a $524,000 gain on the sale, which is included as “Gain on sale of operations” on our Consolidated Statement of Comprehensive Income. The sale reduced our goodwill and intangible assets but did not have a material impact on our Condensed Consolidated Balance Sheet. The following table presents cash proceeds received and net assets sold (in thousands):</w:t>
      </w:r>
    </w:p>
    <w:p>
      <w:pPr>
        <w:spacing w:after="0" w:line="250" w:lineRule="exact"/>
        <w:rPr>
          <w:sz w:val="20"/>
          <w:szCs w:val="20"/>
          <w:color w:val="auto"/>
        </w:rPr>
      </w:pPr>
    </w:p>
    <w:tbl>
      <w:tblPr>
        <w:tblLayout w:type="fixed"/>
        <w:tblInd w:w="2620" w:type="dxa"/>
        <w:tblCellMar>
          <w:top w:w="0" w:type="dxa"/>
          <w:left w:w="0" w:type="dxa"/>
          <w:bottom w:w="0" w:type="dxa"/>
          <w:right w:w="0" w:type="dxa"/>
        </w:tblCellMar>
      </w:tblPr>
      <w:tr>
        <w:trPr>
          <w:trHeight w:val="27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10,013</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Net assets sold:</w:t>
            </w: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7,340</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2,170</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8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4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4020" w:type="dxa"/>
            <w:vAlign w:val="bottom"/>
          </w:tcPr>
          <w:p>
            <w:pPr>
              <w:ind w:left="20"/>
              <w:spacing w:after="0"/>
              <w:rPr>
                <w:sz w:val="20"/>
                <w:szCs w:val="20"/>
                <w:color w:val="auto"/>
              </w:rPr>
            </w:pPr>
            <w:r>
              <w:rPr>
                <w:rFonts w:ascii="Arial" w:cs="Arial" w:eastAsia="Arial" w:hAnsi="Arial"/>
                <w:sz w:val="18"/>
                <w:szCs w:val="18"/>
                <w:color w:val="auto"/>
              </w:rPr>
              <w:t>Gain on sale of operations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r>
      <w:tr>
        <w:trPr>
          <w:trHeight w:val="20"/>
        </w:trPr>
        <w:tc>
          <w:tcPr>
            <w:tcW w:w="4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The component is reported within both our Advisory and Trust segments. The sale did not represent a major strategic shift in our business and did not qualify for discontinued operations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Securities and Exchange Commission (“SEC”).</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364" w:right="27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15" w:lineRule="exact"/>
        <w:rPr>
          <w:sz w:val="20"/>
          <w:szCs w:val="20"/>
          <w:color w:val="auto"/>
        </w:rPr>
      </w:pPr>
    </w:p>
    <w:p>
      <w:pPr>
        <w:ind w:right="120" w:firstLine="500"/>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2017, filed with the SEC. Operating results for the periods in these condensed consolidated financial statements are not necessarily indicative of the results for any future period. The accompanying Condensed Consolidated Financial Statements include the accounts of Westwood and its subsidiaries. All intercompany accounts and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2480" w:firstLine="486"/>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resulted from a joint project by the FASB and the International Accounting Standards Board to clarify the principles for recognizing revenue and to develop a common revenue standard for GAAP and International Financial Reporting Standards</w:t>
      </w:r>
    </w:p>
    <w:p>
      <w:pPr>
        <w:ind w:right="100"/>
        <w:spacing w:after="0" w:line="254" w:lineRule="auto"/>
        <w:rPr>
          <w:sz w:val="20"/>
          <w:szCs w:val="20"/>
          <w:color w:val="auto"/>
        </w:rPr>
      </w:pPr>
      <w:r>
        <w:rPr>
          <w:rFonts w:ascii="Arial" w:cs="Arial" w:eastAsia="Arial" w:hAnsi="Arial"/>
          <w:sz w:val="18"/>
          <w:szCs w:val="18"/>
          <w:color w:val="auto"/>
        </w:rPr>
        <w:t>(“IFRS”). The ASU is effective for annual reporting periods beginning after December 15, 2017, including interim reporting periods within that reporting period. Retrospective application is required, with the entity either applying the change to each prior reporting period presented or applying the cumulative effect of each prior reporting period presented at the date of initial application. We adopted ASU 2014-09 effective January 1, 2018. See further discussion in Note 9 “Revenue.”</w:t>
      </w:r>
    </w:p>
    <w:p>
      <w:pPr>
        <w:spacing w:after="0" w:line="8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In March 2018, the FASB issued ASU 2018-05, </w:t>
      </w:r>
      <w:r>
        <w:rPr>
          <w:rFonts w:ascii="Arial" w:cs="Arial" w:eastAsia="Arial" w:hAnsi="Arial"/>
          <w:sz w:val="18"/>
          <w:szCs w:val="18"/>
          <w:i w:val="1"/>
          <w:iCs w:val="1"/>
          <w:color w:val="auto"/>
        </w:rPr>
        <w:t>Income Taxes: Amendments to SEC Paragraphs Pursuant to SEC Staff Accounting Bulletin No. 118</w:t>
      </w:r>
      <w:r>
        <w:rPr>
          <w:rFonts w:ascii="Arial" w:cs="Arial" w:eastAsia="Arial" w:hAnsi="Arial"/>
          <w:sz w:val="18"/>
          <w:szCs w:val="18"/>
          <w:color w:val="auto"/>
        </w:rPr>
        <w:t>, to address the application of U.S. GAAP in situations when a registrant does not have the necessary information available, prepared or analyzed (including computations) in reasonable detail to complete the accounting for certain income tax effects of the Tax Cuts and Jobs Act (“Tax Reform Act”). See further discussion in Note 11 “Income Taxes.”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75" w:lineRule="exact"/>
        <w:rPr>
          <w:sz w:val="20"/>
          <w:szCs w:val="20"/>
          <w:color w:val="auto"/>
        </w:rPr>
      </w:pPr>
    </w:p>
    <w:p>
      <w:pPr>
        <w:ind w:right="80" w:firstLine="500"/>
        <w:spacing w:after="0" w:line="279" w:lineRule="auto"/>
        <w:rPr>
          <w:sz w:val="20"/>
          <w:szCs w:val="20"/>
          <w:color w:val="auto"/>
        </w:rPr>
      </w:pPr>
      <w:r>
        <w:rPr>
          <w:rFonts w:ascii="Arial" w:cs="Arial" w:eastAsia="Arial" w:hAnsi="Arial"/>
          <w:sz w:val="17"/>
          <w:szCs w:val="17"/>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10,000 and 20,000 anti-dilutive restricted shares outstanding for the three months ended March 31, 2018 and 2017, respectively.</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4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4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47"/>
        </w:trPr>
        <w:tc>
          <w:tcPr>
            <w:tcW w:w="4880" w:type="dxa"/>
            <w:vAlign w:val="bottom"/>
            <w:tcBorders>
              <w:bottom w:val="single" w:sz="8" w:color="CCEEFF"/>
            </w:tcBorders>
          </w:tcPr>
          <w:p>
            <w:pPr>
              <w:spacing w:after="0"/>
              <w:rPr>
                <w:sz w:val="4"/>
                <w:szCs w:val="4"/>
                <w:color w:val="auto"/>
              </w:rPr>
            </w:pPr>
          </w:p>
        </w:tc>
        <w:tc>
          <w:tcPr>
            <w:tcW w:w="34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6,064</w:t>
            </w:r>
          </w:p>
        </w:tc>
      </w:tr>
      <w:tr>
        <w:trPr>
          <w:trHeight w:val="297"/>
        </w:trPr>
        <w:tc>
          <w:tcPr>
            <w:tcW w:w="4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8,270,793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8,065,825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Dilutive potential shares from unvested restricted shares</w:t>
            </w:r>
          </w:p>
        </w:tc>
        <w:tc>
          <w:tcPr>
            <w:tcW w:w="3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268,752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245,557</w:t>
            </w:r>
          </w:p>
        </w:tc>
      </w:tr>
      <w:tr>
        <w:trPr>
          <w:trHeight w:val="27"/>
        </w:trPr>
        <w:tc>
          <w:tcPr>
            <w:tcW w:w="488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8,539,545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8,311,382</w:t>
            </w:r>
          </w:p>
        </w:tc>
      </w:tr>
      <w:tr>
        <w:trPr>
          <w:trHeight w:val="297"/>
        </w:trPr>
        <w:tc>
          <w:tcPr>
            <w:tcW w:w="4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500"/>
              <w:spacing w:after="0"/>
              <w:rPr>
                <w:sz w:val="20"/>
                <w:szCs w:val="20"/>
                <w:color w:val="auto"/>
              </w:rPr>
            </w:pPr>
            <w:r>
              <w:rPr>
                <w:rFonts w:ascii="Arial" w:cs="Arial" w:eastAsia="Arial" w:hAnsi="Arial"/>
                <w:sz w:val="18"/>
                <w:szCs w:val="18"/>
                <w:color w:val="auto"/>
              </w:rPr>
              <w:t>Basic</w:t>
            </w:r>
          </w:p>
        </w:tc>
        <w:tc>
          <w:tcPr>
            <w:tcW w:w="3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0.75</w:t>
            </w:r>
          </w:p>
        </w:tc>
      </w:tr>
      <w:tr>
        <w:trPr>
          <w:trHeight w:val="27"/>
        </w:trPr>
        <w:tc>
          <w:tcPr>
            <w:tcW w:w="48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r>
      <w:tr>
        <w:trPr>
          <w:trHeight w:val="459"/>
        </w:trPr>
        <w:tc>
          <w:tcPr>
            <w:tcW w:w="4880" w:type="dxa"/>
            <w:vAlign w:val="bottom"/>
          </w:tcPr>
          <w:p>
            <w:pPr>
              <w:spacing w:after="0"/>
              <w:rPr>
                <w:sz w:val="24"/>
                <w:szCs w:val="24"/>
                <w:color w:val="auto"/>
              </w:rPr>
            </w:pPr>
          </w:p>
        </w:tc>
        <w:tc>
          <w:tcPr>
            <w:tcW w:w="3480" w:type="dxa"/>
            <w:vAlign w:val="bottom"/>
          </w:tcPr>
          <w:p>
            <w:pPr>
              <w:jc w:val="right"/>
              <w:ind w:right="251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75" w:lineRule="exact"/>
        <w:rPr>
          <w:sz w:val="20"/>
          <w:szCs w:val="20"/>
          <w:color w:val="auto"/>
        </w:rPr>
      </w:pPr>
    </w:p>
    <w:p>
      <w:pPr>
        <w:ind w:right="860" w:firstLine="500"/>
        <w:spacing w:after="0" w:line="277" w:lineRule="auto"/>
        <w:rPr>
          <w:sz w:val="20"/>
          <w:szCs w:val="20"/>
          <w:color w:val="auto"/>
        </w:rPr>
      </w:pPr>
      <w:r>
        <w:rPr>
          <w:rFonts w:ascii="Arial" w:cs="Arial" w:eastAsia="Arial" w:hAnsi="Arial"/>
          <w:sz w:val="18"/>
          <w:szCs w:val="18"/>
          <w:color w:val="auto"/>
        </w:rPr>
        <w:t>All investments are carried at fair value and are accounted for as trading securities. Investment balances are presented in the table below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Estimated</w:t>
            </w:r>
          </w:p>
        </w:tc>
        <w:tc>
          <w:tcPr>
            <w:tcW w:w="0" w:type="dxa"/>
            <w:vAlign w:val="bottom"/>
          </w:tcPr>
          <w:p>
            <w:pPr>
              <w:spacing w:after="0"/>
              <w:rPr>
                <w:sz w:val="1"/>
                <w:szCs w:val="1"/>
                <w:color w:val="auto"/>
              </w:rPr>
            </w:pPr>
          </w:p>
        </w:tc>
      </w:tr>
      <w:tr>
        <w:trPr>
          <w:trHeight w:val="203"/>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rPr>
              <w:t>Market</w:t>
            </w:r>
          </w:p>
        </w:tc>
        <w:tc>
          <w:tcPr>
            <w:tcW w:w="0" w:type="dxa"/>
            <w:vAlign w:val="bottom"/>
          </w:tcPr>
          <w:p>
            <w:pPr>
              <w:spacing w:after="0"/>
              <w:rPr>
                <w:sz w:val="1"/>
                <w:szCs w:val="1"/>
                <w:color w:val="auto"/>
              </w:rPr>
            </w:pPr>
          </w:p>
        </w:tc>
      </w:tr>
      <w:tr>
        <w:trPr>
          <w:trHeight w:val="210"/>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18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2018:</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26,889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26,907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Equity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11,681</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48,917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December 31, 2017: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5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Government agency obligations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29,373</w:t>
            </w: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funds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50,681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51,324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580" w:firstLine="486"/>
        <w:spacing w:after="0" w:line="308" w:lineRule="auto"/>
        <w:rPr>
          <w:sz w:val="20"/>
          <w:szCs w:val="20"/>
          <w:color w:val="auto"/>
        </w:rPr>
      </w:pPr>
      <w:r>
        <w:rPr>
          <w:rFonts w:ascii="Arial" w:cs="Arial" w:eastAsia="Arial" w:hAnsi="Arial"/>
          <w:sz w:val="17"/>
          <w:szCs w:val="17"/>
          <w:color w:val="auto"/>
        </w:rPr>
        <w:t>As of March 31, 2018 and December 31, 2017, approximately $10.7 million in corporate funds were invested in Westwood Funds®, Westwood Common Trust Funds and Westwood Investment Funds PLC (the “UCITS Fund”). See Note 8 “Variable Interest Entities”.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ind w:right="160" w:firstLine="500"/>
        <w:spacing w:after="0" w:line="271" w:lineRule="auto"/>
        <w:rPr>
          <w:sz w:val="20"/>
          <w:szCs w:val="20"/>
          <w:color w:val="auto"/>
        </w:rPr>
      </w:pPr>
      <w:r>
        <w:rPr>
          <w:rFonts w:ascii="Arial" w:cs="Arial" w:eastAsia="Arial" w:hAnsi="Arial"/>
          <w:sz w:val="17"/>
          <w:szCs w:val="17"/>
          <w:color w:val="auto"/>
        </w:rPr>
        <w:t>We determine estimated fair values for our financial instruments using available information. The fair value amounts discussed in our Condensed Consolidated Financial Statements are not necessarily indicative of either amounts realizable upon disposition of these instruments or our intent or ability to dispose of these assets. The estimated fair value of cash and cash equivalents, accounts receivable, prepaid income taxes,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mutual funds, the UCITS Fund and Westwood Trust common trust fund shares, equals their fair value based on prices quoted in active markets and, with respect to common trust funds, the net asset value of the shares held as reported by each fund. Market values of our money market holdings generally do not fluctuate.</w:t>
      </w:r>
    </w:p>
    <w:p>
      <w:pPr>
        <w:spacing w:after="0" w:line="71" w:lineRule="exact"/>
        <w:rPr>
          <w:sz w:val="20"/>
          <w:szCs w:val="20"/>
          <w:color w:val="auto"/>
        </w:rPr>
      </w:pPr>
    </w:p>
    <w:p>
      <w:pPr>
        <w:ind w:right="40" w:firstLine="500"/>
        <w:spacing w:after="0" w:line="258"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1" w:lineRule="exact"/>
        <w:rPr>
          <w:sz w:val="20"/>
          <w:szCs w:val="20"/>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02" w:lineRule="exact"/>
        <w:rPr>
          <w:rFonts w:ascii="Arial" w:cs="Arial" w:eastAsia="Arial" w:hAnsi="Arial"/>
          <w:sz w:val="18"/>
          <w:szCs w:val="18"/>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values of our assets and liabilities as of the dates indicated within the fair value hierarchy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Measured at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 xml:space="preserve">NAV </w:t>
            </w:r>
            <w:r>
              <w:rPr>
                <w:rFonts w:ascii="Arial" w:cs="Arial" w:eastAsia="Arial" w:hAnsi="Arial"/>
                <w:sz w:val="21"/>
                <w:szCs w:val="21"/>
                <w:color w:val="auto"/>
                <w:w w:val="90"/>
                <w:vertAlign w:val="superscript"/>
              </w:rPr>
              <w:t>(1)</w:t>
            </w:r>
          </w:p>
        </w:tc>
        <w:tc>
          <w:tcPr>
            <w:tcW w:w="220" w:type="dxa"/>
            <w:vAlign w:val="bottom"/>
          </w:tcPr>
          <w:p>
            <w:pPr>
              <w:spacing w:after="0"/>
              <w:rPr>
                <w:sz w:val="21"/>
                <w:szCs w:val="21"/>
                <w:color w:val="auto"/>
              </w:rPr>
            </w:pPr>
          </w:p>
        </w:tc>
        <w:tc>
          <w:tcPr>
            <w:tcW w:w="800" w:type="dxa"/>
            <w:vAlign w:val="bottom"/>
          </w:tcPr>
          <w:p>
            <w:pPr>
              <w:jc w:val="right"/>
              <w:ind w:right="232"/>
              <w:spacing w:after="0"/>
              <w:rPr>
                <w:sz w:val="20"/>
                <w:szCs w:val="20"/>
                <w:color w:val="auto"/>
              </w:rPr>
            </w:pPr>
            <w:r>
              <w:rPr>
                <w:rFonts w:ascii="Arial" w:cs="Arial" w:eastAsia="Arial" w:hAnsi="Arial"/>
                <w:sz w:val="16"/>
                <w:szCs w:val="16"/>
                <w:b w:val="1"/>
                <w:bCs w:val="1"/>
                <w:color w:val="auto"/>
              </w:rPr>
              <w:t>Total</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March 31, 2018:</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46,651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48,917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financial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Investments in trading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48,998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2,326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51,324</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financial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51,324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40" w:right="40" w:hanging="5"/>
        <w:spacing w:after="0" w:line="286" w:lineRule="auto"/>
        <w:tabs>
          <w:tab w:leader="none" w:pos="270" w:val="left"/>
        </w:tabs>
        <w:numPr>
          <w:ilvl w:val="1"/>
          <w:numId w:val="4"/>
        </w:numPr>
        <w:rPr>
          <w:rFonts w:ascii="Arial" w:cs="Arial" w:eastAsia="Arial" w:hAnsi="Arial"/>
          <w:sz w:val="16"/>
          <w:szCs w:val="16"/>
          <w:color w:val="auto"/>
        </w:rPr>
      </w:pPr>
      <w:r>
        <w:rPr>
          <w:rFonts w:ascii="Arial" w:cs="Arial" w:eastAsia="Arial" w:hAnsi="Arial"/>
          <w:sz w:val="16"/>
          <w:szCs w:val="16"/>
          <w:color w:val="auto"/>
        </w:rPr>
        <w:t>Comprised of certain investments measured at fair value using net asset value (</w:t>
      </w:r>
      <w:r>
        <w:rPr>
          <w:rFonts w:ascii="Arial" w:cs="Arial" w:eastAsia="Arial" w:hAnsi="Arial"/>
          <w:sz w:val="18"/>
          <w:szCs w:val="18"/>
          <w:color w:val="auto"/>
        </w:rPr>
        <w:t>“</w:t>
      </w:r>
      <w:r>
        <w:rPr>
          <w:rFonts w:ascii="Arial" w:cs="Arial" w:eastAsia="Arial" w:hAnsi="Arial"/>
          <w:sz w:val="16"/>
          <w:szCs w:val="16"/>
          <w:color w:val="auto"/>
        </w:rPr>
        <w:t>NAV</w:t>
      </w:r>
      <w:r>
        <w:rPr>
          <w:rFonts w:ascii="Arial" w:cs="Arial" w:eastAsia="Arial" w:hAnsi="Arial"/>
          <w:sz w:val="18"/>
          <w:szCs w:val="18"/>
          <w:color w:val="auto"/>
        </w:rPr>
        <w:t>”</w:t>
      </w:r>
      <w:r>
        <w:rPr>
          <w:rFonts w:ascii="Arial" w:cs="Arial" w:eastAsia="Arial" w:hAnsi="Arial"/>
          <w:sz w:val="16"/>
          <w:szCs w:val="16"/>
          <w:color w:val="auto"/>
        </w:rPr>
        <w:t>) as a practical expedient. The fair value amounts presented in this table are intended to permit reconciliation of the fair value hierarchy to the amounts presented on our Condensed Consolidated Balance Sheets.</w:t>
      </w:r>
    </w:p>
    <w:p>
      <w:pPr>
        <w:spacing w:after="0" w:line="299" w:lineRule="exact"/>
        <w:rPr>
          <w:rFonts w:ascii="Arial" w:cs="Arial" w:eastAsia="Arial" w:hAnsi="Arial"/>
          <w:sz w:val="16"/>
          <w:szCs w:val="16"/>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firstLine="500"/>
        <w:spacing w:after="0" w:line="312" w:lineRule="auto"/>
        <w:rPr>
          <w:sz w:val="20"/>
          <w:szCs w:val="20"/>
          <w:color w:val="auto"/>
        </w:rPr>
      </w:pPr>
      <w:r>
        <w:rPr>
          <w:rFonts w:ascii="Arial" w:cs="Arial" w:eastAsia="Arial" w:hAnsi="Arial"/>
          <w:sz w:val="16"/>
          <w:szCs w:val="16"/>
          <w:color w:val="auto"/>
        </w:rPr>
        <w:t>Goodwill represents the excess of the cost of acquired assets over the fair value of the underlying identifiable assets at the date of acquisition. Goodwill is not amortized but is tested for impairment at least annually. We completed our annual goodwill impairment assessment during the third quarter of 2017 and determined that no impairment loss was required. No impairments on goodwill were recorded during the three months ended March 31, 2018 or 2017.</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goodwill for the periods presented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72"/>
              <w:spacing w:after="0"/>
              <w:rPr>
                <w:sz w:val="20"/>
                <w:szCs w:val="20"/>
                <w:color w:val="auto"/>
              </w:rPr>
            </w:pPr>
            <w:r>
              <w:rPr>
                <w:rFonts w:ascii="Arial" w:cs="Arial" w:eastAsia="Arial" w:hAnsi="Arial"/>
                <w:sz w:val="16"/>
                <w:szCs w:val="16"/>
                <w:b w:val="1"/>
                <w:bCs w:val="1"/>
                <w:color w:val="auto"/>
              </w:rPr>
              <w:t>Goodwill</w:t>
            </w:r>
          </w:p>
        </w:tc>
      </w:tr>
      <w:tr>
        <w:trPr>
          <w:trHeight w:val="33"/>
        </w:trPr>
        <w:tc>
          <w:tcPr>
            <w:tcW w:w="10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27,144</w:t>
            </w: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Reduction from Omaha divestiture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(7,340)</w:t>
            </w:r>
          </w:p>
        </w:tc>
      </w:tr>
      <w:tr>
        <w:trPr>
          <w:trHeight w:val="27"/>
        </w:trPr>
        <w:tc>
          <w:tcPr>
            <w:tcW w:w="10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19,804</w:t>
            </w:r>
          </w:p>
        </w:tc>
      </w:tr>
      <w:tr>
        <w:trPr>
          <w:trHeight w:val="20"/>
        </w:trPr>
        <w:tc>
          <w:tcPr>
            <w:tcW w:w="10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impairments on intangible assets were recorded during the three months ended March 31, 2018 or 2017.</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the balance of intangible assets for the periods presented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ind w:right="212"/>
              <w:spacing w:after="0"/>
              <w:rPr>
                <w:sz w:val="20"/>
                <w:szCs w:val="20"/>
                <w:color w:val="auto"/>
              </w:rPr>
            </w:pPr>
            <w:r>
              <w:rPr>
                <w:rFonts w:ascii="Arial" w:cs="Arial" w:eastAsia="Arial" w:hAnsi="Arial"/>
                <w:sz w:val="16"/>
                <w:szCs w:val="16"/>
                <w:b w:val="1"/>
                <w:bCs w:val="1"/>
                <w:color w:val="auto"/>
                <w:w w:val="93"/>
              </w:rPr>
              <w:t>Intangible assets, net</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4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5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4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Reduction from Omaha divestiture </w:t>
            </w:r>
            <w:r>
              <w:rPr>
                <w:rFonts w:ascii="Arial" w:cs="Arial" w:eastAsia="Arial" w:hAnsi="Arial"/>
                <w:sz w:val="25"/>
                <w:szCs w:val="25"/>
                <w:color w:val="auto"/>
                <w:vertAlign w:val="superscript"/>
              </w:rPr>
              <w:t>(1)</w:t>
            </w:r>
          </w:p>
        </w:tc>
        <w:tc>
          <w:tcPr>
            <w:tcW w:w="49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57"/>
        </w:trPr>
        <w:tc>
          <w:tcPr>
            <w:tcW w:w="4380" w:type="dxa"/>
            <w:vAlign w:val="bottom"/>
          </w:tcPr>
          <w:p>
            <w:pPr>
              <w:ind w:left="40"/>
              <w:spacing w:after="0"/>
              <w:rPr>
                <w:sz w:val="20"/>
                <w:szCs w:val="20"/>
                <w:color w:val="auto"/>
              </w:rPr>
            </w:pPr>
            <w:r>
              <w:rPr>
                <w:rFonts w:ascii="Arial" w:cs="Arial" w:eastAsia="Arial" w:hAnsi="Arial"/>
                <w:sz w:val="18"/>
                <w:szCs w:val="18"/>
                <w:color w:val="auto"/>
              </w:rPr>
              <w:t>Balance as of March 31, 2018</w:t>
            </w:r>
          </w:p>
        </w:tc>
        <w:tc>
          <w:tcPr>
            <w:tcW w:w="5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2"/>
              <w:spacing w:after="0"/>
              <w:rPr>
                <w:sz w:val="20"/>
                <w:szCs w:val="20"/>
                <w:color w:val="auto"/>
              </w:rPr>
            </w:pPr>
            <w:r>
              <w:rPr>
                <w:rFonts w:ascii="Arial" w:cs="Arial" w:eastAsia="Arial" w:hAnsi="Arial"/>
                <w:sz w:val="18"/>
                <w:szCs w:val="18"/>
                <w:color w:val="auto"/>
              </w:rPr>
              <w:t>17,216</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______________________</w:t>
            </w:r>
          </w:p>
        </w:tc>
        <w:tc>
          <w:tcPr>
            <w:tcW w:w="4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80" w:type="dxa"/>
            <w:vAlign w:val="bottom"/>
            <w:vMerge w:val="continue"/>
          </w:tcPr>
          <w:p>
            <w:pPr>
              <w:spacing w:after="0"/>
              <w:rPr>
                <w:sz w:val="13"/>
                <w:szCs w:val="13"/>
                <w:color w:val="auto"/>
              </w:rPr>
            </w:pPr>
          </w:p>
        </w:tc>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4"/>
                <w:szCs w:val="14"/>
                <w:color w:val="auto"/>
              </w:rPr>
              <w:t>(1)  Related to client relationships</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4380" w:type="dxa"/>
            <w:vAlign w:val="bottom"/>
          </w:tcPr>
          <w:p>
            <w:pPr>
              <w:spacing w:after="0"/>
              <w:rPr>
                <w:sz w:val="24"/>
                <w:szCs w:val="24"/>
                <w:color w:val="auto"/>
              </w:rPr>
            </w:pPr>
          </w:p>
        </w:tc>
        <w:tc>
          <w:tcPr>
            <w:tcW w:w="4980" w:type="dxa"/>
            <w:vAlign w:val="bottom"/>
          </w:tcPr>
          <w:p>
            <w:pPr>
              <w:jc w:val="right"/>
              <w:ind w:right="35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ind w:right="8260" w:firstLine="8"/>
        <w:spacing w:after="0" w:line="495" w:lineRule="auto"/>
        <w:tabs>
          <w:tab w:leader="none" w:pos="1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Accumulated Other Comprehensive Loss</w:t>
      </w:r>
    </w:p>
    <w:p>
      <w:pPr>
        <w:spacing w:after="0" w:line="1"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The components of accumulated other comprehensive loss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March 31,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47"/>
        </w:trPr>
        <w:tc>
          <w:tcPr>
            <w:tcW w:w="76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7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w:t>
            </w:r>
          </w:p>
        </w:tc>
      </w:tr>
      <w:tr>
        <w:trPr>
          <w:trHeight w:val="27"/>
        </w:trPr>
        <w:tc>
          <w:tcPr>
            <w:tcW w:w="7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229"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We have evaluated all of our advisory relationships with the UCITS Fund, the Westwood Funds® and our relationship as sponsor of the Common Trust Funds (“CTFs”) to determine whether each of these entities is a variable interest entity (“VIE”) or voting ownership entity (“VOE”). Based on our analysis, we determined that the CTFs were VIEs, as the at-risk equity holders do not have the ability to direct the activities that most significantly impact the entity’s economic performance, and the Company and its representatives have a majority control of the entities' respective boards of directors and can influence the respective entities' management and affairs. Prior to the sale of our Omaha-based operations, we also considered our advisory relationship with ten limited liability companies (“LLCs”) as VIEs, but as of March 31, 2018, we no longer serve as the managing member of the funds and do not control the activities that most significantly impact the entities' economic performance. Therefore, the LLCs are no longer considered a VIE. Although we have related parties on the UCITS Fund board of directors, the shareholders have rights to remove the current directors with a simple majority vote, so we determined the UCITS Fund is not a VIE. As the Company and its representatives do not have representation on the Westwood Funds® independent board of directors, which directs the activities that most significantly impact the entity's economic performance, we determined that the Westwood Funds® were not VIEs. Therefore, the UCITS Fund and the Westwood Funds® should be analyzed under the VOE consolidation method. Based on our analysis of our seed investments in these entities for the periods ending March 31, 2018 and December 31, 2017, we have not consolidated the CTFs or LLCs under the VIE method or the UCITS Fund or the Westwood Funds® under the VOE method, and therefore the financial results of these entities are not included in the Company’s consolidated financial results.</w:t>
      </w:r>
    </w:p>
    <w:p>
      <w:pPr>
        <w:spacing w:after="0" w:line="77" w:lineRule="exact"/>
        <w:rPr>
          <w:sz w:val="20"/>
          <w:szCs w:val="20"/>
          <w:color w:val="auto"/>
        </w:rPr>
      </w:pPr>
    </w:p>
    <w:p>
      <w:pPr>
        <w:ind w:firstLine="500"/>
        <w:spacing w:after="0" w:line="312" w:lineRule="auto"/>
        <w:rPr>
          <w:sz w:val="20"/>
          <w:szCs w:val="20"/>
          <w:color w:val="auto"/>
        </w:rPr>
      </w:pPr>
      <w:r>
        <w:rPr>
          <w:rFonts w:ascii="Arial" w:cs="Arial" w:eastAsia="Arial" w:hAnsi="Arial"/>
          <w:sz w:val="16"/>
          <w:szCs w:val="16"/>
          <w:color w:val="auto"/>
        </w:rPr>
        <w:t>As of March 31, 2018 and December 31, 2017, our seed investments aggregated approximately $10.7 million in the CTFs, the Westwood Funds, and the UCITS Fund. These seed investments were provided for the sole purpose of showing the economic substance needed to establish the funds or sub-funds. The Company's seed investments in these funds are included in “Investments, at fair value” on our Condensed Consolidated Balance Sheet at March 31, 2018.</w:t>
      </w:r>
    </w:p>
    <w:p>
      <w:pPr>
        <w:spacing w:after="0" w:line="39" w:lineRule="exact"/>
        <w:rPr>
          <w:sz w:val="20"/>
          <w:szCs w:val="20"/>
          <w:color w:val="auto"/>
        </w:rPr>
      </w:pPr>
    </w:p>
    <w:p>
      <w:pPr>
        <w:ind w:right="60" w:firstLine="500"/>
        <w:spacing w:after="0" w:line="257" w:lineRule="auto"/>
        <w:rPr>
          <w:sz w:val="20"/>
          <w:szCs w:val="20"/>
          <w:color w:val="auto"/>
        </w:rPr>
      </w:pPr>
      <w:r>
        <w:rPr>
          <w:rFonts w:ascii="Arial" w:cs="Arial" w:eastAsia="Arial" w:hAnsi="Arial"/>
          <w:sz w:val="18"/>
          <w:szCs w:val="18"/>
          <w:color w:val="auto"/>
        </w:rPr>
        <w:t>Otherwise, we have not provided any financial support we were not previously contractually obligated to provide, and there are no arrangements that would require us to provide additional financial support to any of these entities. Our seed investments in the above-mentioned Westwood Funds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UCITS Fund and the CTFs are accounted for as investments in accordance with our other investments described in Note 4 “Investments.” We recognized fee revenue from the Westwood VIEs and Westwood VOEs of approximately $12.6 million and $12.8 million for the three months ended March 31, 2018 and 2017,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The following table displays the assets under management, the amounts of our seed investments that are included in “Investments, at fair value” on our consolidated balance sheets, and the risk of loss in each vehicle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As of March 31, 2018</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7"/>
        </w:trPr>
        <w:tc>
          <w:tcPr>
            <w:tcW w:w="67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9"/>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Arial" w:cs="Arial" w:eastAsia="Arial" w:hAnsi="Arial"/>
                <w:sz w:val="16"/>
                <w:szCs w:val="16"/>
                <w:b w:val="1"/>
                <w:bCs w:val="1"/>
                <w:color w:val="auto"/>
                <w:w w:val="83"/>
              </w:rPr>
              <w:t>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13"/>
              <w:spacing w:after="0"/>
              <w:rPr>
                <w:sz w:val="20"/>
                <w:szCs w:val="20"/>
                <w:color w:val="auto"/>
              </w:rPr>
            </w:pPr>
            <w:r>
              <w:rPr>
                <w:rFonts w:ascii="Arial" w:cs="Arial" w:eastAsia="Arial" w:hAnsi="Arial"/>
                <w:sz w:val="16"/>
                <w:szCs w:val="16"/>
                <w:b w:val="1"/>
                <w:bCs w:val="1"/>
                <w:color w:val="auto"/>
                <w:w w:val="95"/>
              </w:rPr>
              <w:t>Under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Corporate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Arial" w:cs="Arial" w:eastAsia="Arial" w:hAnsi="Arial"/>
                <w:sz w:val="16"/>
                <w:szCs w:val="16"/>
                <w:b w:val="1"/>
                <w:bCs w:val="1"/>
                <w:color w:val="auto"/>
                <w:w w:val="94"/>
              </w:rPr>
              <w:t>Management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Investment</w:t>
            </w:r>
          </w:p>
        </w:tc>
        <w:tc>
          <w:tcPr>
            <w:tcW w:w="16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w w:val="95"/>
              </w:rPr>
              <w:t>Amount at Risk</w:t>
            </w:r>
          </w:p>
        </w:tc>
      </w:tr>
      <w:tr>
        <w:trPr>
          <w:trHeight w:val="33"/>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VIEs/VOEs: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Westwood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4,244</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Trust Funds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UCITS Fund</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500"/>
              <w:spacing w:after="0"/>
              <w:rPr>
                <w:sz w:val="20"/>
                <w:szCs w:val="20"/>
                <w:color w:val="auto"/>
              </w:rPr>
            </w:pPr>
            <w:r>
              <w:rPr>
                <w:rFonts w:ascii="Arial" w:cs="Arial" w:eastAsia="Arial" w:hAnsi="Arial"/>
                <w:sz w:val="18"/>
                <w:szCs w:val="18"/>
                <w:color w:val="auto"/>
              </w:rPr>
              <w:t>Private Wealth</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Institutional</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Total Assets Under Management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22,622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Adoption of ASC 2014-09 </w:t>
      </w:r>
      <w:r>
        <w:rPr>
          <w:rFonts w:ascii="Arial" w:cs="Arial" w:eastAsia="Arial" w:hAnsi="Arial"/>
          <w:sz w:val="18"/>
          <w:szCs w:val="18"/>
          <w:b w:val="1"/>
          <w:bCs w:val="1"/>
          <w:i w:val="1"/>
          <w:iCs w:val="1"/>
          <w:color w:val="auto"/>
        </w:rPr>
        <w:t>Revenue from Contracts with Customers (Topic 606)</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January 1, 2018, we adopted ASU 2016-10 using the modified retrospective method applied to those contracts that were not completed as</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of January 1, 2018. Results for reporting periods beginning after January 1, 2018 are presented under Topic 606 while prior period amounts continue to be reported in accordance with our historic accounting under Topic 605.</w:t>
      </w:r>
    </w:p>
    <w:p>
      <w:pPr>
        <w:spacing w:after="0" w:line="76"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We analyzed the revenue from prior periods and determined no material adjustments to opening retained earnings were necessary as the updated guidance is consistent with our historical revenue recognition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assets under management and the performance obligation is realized over the current calendar quarter. Once clients receive our investment advisory services we have an enforceable right to payment.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7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Institutional investors includes separate accounts of (i) corporate pension and profit sharing plans, public employee retirement funds, Taft 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117"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Mutual funds include the Westwood Funds®, a family of mutual funds for which Westwood Management serves as advisor. These funds are available to individual investors, as well as offered as part of our investment strategies for institutional investors and private wealth accounts.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 Based Obligations</w:t>
      </w:r>
    </w:p>
    <w:p>
      <w:pPr>
        <w:spacing w:after="0" w:line="175"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A limited number of our advisory clients have a contractual performance-based fee component in their contracts, which generates additional revenues if we outperform a specified index over a specific period of time. The revenue is based on future market performance and is susceptible to factors outside our control. We cannot conclude that it is probable that a significant reversal in the cumulative amount of revenue recognized would not occur during the measurement period, and therefore the revenue is recorded at the end of the measurement period when the performance obligation has been satisfied.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The fees for most of our trust clients are calculated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 disaggregated by account type (sales taxes are excluded from revenues):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Advisory Fees:</w:t>
            </w:r>
          </w:p>
        </w:tc>
        <w:tc>
          <w:tcPr>
            <w:tcW w:w="4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Institutional</w:t>
            </w:r>
          </w:p>
        </w:tc>
        <w:tc>
          <w:tcPr>
            <w:tcW w:w="49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16,705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16,609</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Mutual Funds</w:t>
            </w:r>
          </w:p>
        </w:tc>
        <w:tc>
          <w:tcPr>
            <w:tcW w:w="4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Private Wealth</w:t>
            </w:r>
          </w:p>
        </w:tc>
        <w:tc>
          <w:tcPr>
            <w:tcW w:w="4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w:t>
            </w:r>
          </w:p>
        </w:tc>
        <w:tc>
          <w:tcPr>
            <w:tcW w:w="4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Trust Fees</w:t>
            </w:r>
          </w:p>
        </w:tc>
        <w:tc>
          <w:tcPr>
            <w:tcW w:w="4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57"/>
        </w:trPr>
        <w:tc>
          <w:tcPr>
            <w:tcW w:w="37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4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33,567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32,623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60" w:type="dxa"/>
            <w:vAlign w:val="bottom"/>
            <w:vMerge w:val="restart"/>
          </w:tcPr>
          <w:p>
            <w:pPr>
              <w:jc w:val="right"/>
              <w:ind w:right="247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clients in various locations around the world. The following table presents our revenue disaggregated by our clients' geographical locations: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Advisory</w:t>
            </w: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1,022</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1,243</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27,992</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24,483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7,609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33,567</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Performance-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2017</w:t>
            </w:r>
          </w:p>
        </w:tc>
        <w:tc>
          <w:tcPr>
            <w:tcW w:w="2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Advisory</w:t>
            </w:r>
          </w:p>
        </w:tc>
        <w:tc>
          <w:tcPr>
            <w:tcW w:w="30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based</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Other</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r>
      <w:tr>
        <w:trPr>
          <w:trHeight w:val="33"/>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Australia</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641</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1,057</w:t>
            </w:r>
          </w:p>
        </w:tc>
      </w:tr>
      <w:tr>
        <w:trPr>
          <w:trHeight w:val="27"/>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27,288</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23,789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32,623</w:t>
            </w:r>
          </w:p>
        </w:tc>
      </w:tr>
      <w:tr>
        <w:trPr>
          <w:trHeight w:val="20"/>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INCENTIVE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have issued restricted shares to our employees and non-employee directors. The Fourth Amended and Restated Westwood Holdings Group, Inc. Stock Incentive Plan (the “Plan”) reserves shares of Westwood common stock for issuance to eligible employees, directors and consultants of Westwood or its subsidiaries in the form of restricted stock. The total number of shares issuable under the Plan (including predecessor plans to the Plan) may not exceed 4,648,100 shares. At March 31, 2018, approximately 207,000 shares remain available for issuance under the Plan.</w:t>
      </w:r>
    </w:p>
    <w:p>
      <w:pPr>
        <w:spacing w:after="0" w:line="171" w:lineRule="exact"/>
        <w:rPr>
          <w:sz w:val="20"/>
          <w:szCs w:val="20"/>
          <w:color w:val="auto"/>
        </w:rPr>
      </w:pPr>
    </w:p>
    <w:p>
      <w:pPr>
        <w:ind w:right="680" w:firstLine="500"/>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for stock-based compensation arrangements for the periods indicated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5"/>
          </w:tcPr>
          <w:p>
            <w:pPr>
              <w:jc w:val="right"/>
              <w:ind w:right="211"/>
              <w:spacing w:after="0"/>
              <w:rPr>
                <w:sz w:val="20"/>
                <w:szCs w:val="20"/>
                <w:color w:val="auto"/>
              </w:rPr>
            </w:pPr>
            <w:r>
              <w:rPr>
                <w:rFonts w:ascii="Arial" w:cs="Arial" w:eastAsia="Arial" w:hAnsi="Arial"/>
                <w:sz w:val="16"/>
                <w:szCs w:val="16"/>
                <w:b w:val="1"/>
                <w:bCs w:val="1"/>
                <w:color w:val="auto"/>
              </w:rPr>
              <w:t>Three Months Ended March 31,</w:t>
            </w:r>
          </w:p>
        </w:tc>
      </w:tr>
      <w:tr>
        <w:trPr>
          <w:trHeight w:val="47"/>
        </w:trPr>
        <w:tc>
          <w:tcPr>
            <w:tcW w:w="85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8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47"/>
        </w:trPr>
        <w:tc>
          <w:tcPr>
            <w:tcW w:w="85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condition stock-based compensation expense</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Performance condition stock-based compensation expense</w:t>
            </w: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1,276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1,123</w:t>
            </w:r>
          </w:p>
        </w:tc>
      </w:tr>
      <w:tr>
        <w:trPr>
          <w:trHeight w:val="27"/>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under the Plan</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4,066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Canadian Plan stock-based compensation expense</w:t>
            </w: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w:t>
            </w:r>
          </w:p>
        </w:tc>
      </w:tr>
      <w:tr>
        <w:trPr>
          <w:trHeight w:val="27"/>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4,187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62"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As of March 31, 2018, there was approximately $30.9 million of unrecognized compensation cost for restricted stock grants under the Plan, which we expect to recognize over a weighted-average period of 2.6 years. Our two types of restricted stock grants under the Plan are discussed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71" w:lineRule="exact"/>
        <w:rPr>
          <w:sz w:val="20"/>
          <w:szCs w:val="20"/>
          <w:color w:val="auto"/>
        </w:rPr>
      </w:pPr>
    </w:p>
    <w:p>
      <w:pPr>
        <w:ind w:right="120" w:firstLine="500"/>
        <w:spacing w:after="0" w:line="264" w:lineRule="auto"/>
        <w:rPr>
          <w:sz w:val="20"/>
          <w:szCs w:val="20"/>
          <w:color w:val="auto"/>
        </w:rPr>
      </w:pPr>
      <w:r>
        <w:rPr>
          <w:rFonts w:ascii="Arial" w:cs="Arial" w:eastAsia="Arial" w:hAnsi="Arial"/>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with adjustments for forfeitures recorded as they occur.</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details the status and changes in our restricted stock grants subject only to a service condition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233"/>
              <w:spacing w:after="0"/>
              <w:rPr>
                <w:sz w:val="20"/>
                <w:szCs w:val="20"/>
                <w:color w:val="auto"/>
              </w:rPr>
            </w:pPr>
            <w:r>
              <w:rPr>
                <w:rFonts w:ascii="Arial" w:cs="Arial" w:eastAsia="Arial" w:hAnsi="Arial"/>
                <w:sz w:val="16"/>
                <w:szCs w:val="16"/>
                <w:b w:val="1"/>
                <w:bCs w:val="1"/>
                <w:color w:val="auto"/>
              </w:rPr>
              <w:t>Weighted Average</w:t>
            </w:r>
          </w:p>
        </w:tc>
      </w:tr>
      <w:tr>
        <w:trPr>
          <w:trHeight w:val="210"/>
        </w:trPr>
        <w:tc>
          <w:tcPr>
            <w:tcW w:w="7780" w:type="dxa"/>
            <w:vAlign w:val="bottom"/>
          </w:tcPr>
          <w:p>
            <w:pPr>
              <w:spacing w:after="0"/>
              <w:rPr>
                <w:sz w:val="18"/>
                <w:szCs w:val="18"/>
                <w:color w:val="auto"/>
              </w:rPr>
            </w:pPr>
          </w:p>
        </w:tc>
        <w:tc>
          <w:tcPr>
            <w:tcW w:w="1600" w:type="dxa"/>
            <w:vAlign w:val="bottom"/>
          </w:tcPr>
          <w:p>
            <w:pPr>
              <w:jc w:val="right"/>
              <w:ind w:right="47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93"/>
              <w:spacing w:after="0"/>
              <w:rPr>
                <w:sz w:val="20"/>
                <w:szCs w:val="20"/>
                <w:color w:val="auto"/>
              </w:rPr>
            </w:pPr>
            <w:r>
              <w:rPr>
                <w:rFonts w:ascii="Arial" w:cs="Arial" w:eastAsia="Arial" w:hAnsi="Arial"/>
                <w:sz w:val="16"/>
                <w:szCs w:val="16"/>
                <w:b w:val="1"/>
                <w:bCs w:val="1"/>
                <w:color w:val="auto"/>
                <w:w w:val="97"/>
              </w:rPr>
              <w:t>Grant Date Fair Value</w:t>
            </w:r>
          </w:p>
        </w:tc>
      </w:tr>
      <w:tr>
        <w:trPr>
          <w:trHeight w:val="33"/>
        </w:trPr>
        <w:tc>
          <w:tcPr>
            <w:tcW w:w="7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2018</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519,375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160,668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55.72</w:t>
            </w:r>
          </w:p>
        </w:tc>
      </w:tr>
      <w:tr>
        <w:trPr>
          <w:trHeight w:val="27"/>
        </w:trPr>
        <w:tc>
          <w:tcPr>
            <w:tcW w:w="7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(14,795)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56.56</w:t>
            </w:r>
          </w:p>
        </w:tc>
      </w:tr>
      <w:tr>
        <w:trPr>
          <w:trHeight w:val="27"/>
        </w:trPr>
        <w:tc>
          <w:tcPr>
            <w:tcW w:w="7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March 31, 2018</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474,340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56.38</w:t>
            </w:r>
          </w:p>
        </w:tc>
      </w:tr>
      <w:tr>
        <w:trPr>
          <w:trHeight w:val="20"/>
        </w:trPr>
        <w:tc>
          <w:tcPr>
            <w:tcW w:w="7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11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March 2018, the Compensation Committee established the fiscal 2018 goal for our Chief Executive Officer and Chief Investment Officer as Income before income taxes of $20.0 million for 50% of their respective awards and an Income before income taxes target of $36.0 million (ranging from 25% of target for threshold performance of $32.0 million to 185% of target for maximum performance of $44.5 million) for the remaining 50% of their respective awards. For certain other key employees, the Compensation Committee established fiscal 2018 goals based on various departmental and company-wide performance goals, including Income before income taxes of at least $20.0 million. During the first quarter of 2018, we recorded expense related to the applicable percentage of the performance-based restricted shares expected to meet or exceed the performance goals needed to earn the shares.</w:t>
      </w:r>
    </w:p>
    <w:p>
      <w:pPr>
        <w:spacing w:after="0" w:line="111"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details the status and changes in our restricted stock grants subject to service and performance conditions for the three months ended March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23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20" w:type="dxa"/>
            <w:vAlign w:val="bottom"/>
          </w:tcPr>
          <w:p>
            <w:pPr>
              <w:jc w:val="right"/>
              <w:ind w:right="534"/>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93"/>
              <w:spacing w:after="0"/>
              <w:rPr>
                <w:sz w:val="20"/>
                <w:szCs w:val="20"/>
                <w:color w:val="auto"/>
              </w:rPr>
            </w:pPr>
            <w:r>
              <w:rPr>
                <w:rFonts w:ascii="Arial" w:cs="Arial" w:eastAsia="Arial" w:hAnsi="Arial"/>
                <w:sz w:val="16"/>
                <w:szCs w:val="16"/>
                <w:b w:val="1"/>
                <w:bCs w:val="1"/>
                <w:color w:val="auto"/>
                <w:w w:val="97"/>
              </w:rPr>
              <w:t>Grant Date Fair Value</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January 1, 2018</w:t>
            </w:r>
          </w:p>
        </w:tc>
        <w:tc>
          <w:tcPr>
            <w:tcW w:w="55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165,918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55.85</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Granted</w:t>
            </w:r>
          </w:p>
        </w:tc>
        <w:tc>
          <w:tcPr>
            <w:tcW w:w="5520" w:type="dxa"/>
            <w:vAlign w:val="bottom"/>
            <w:gridSpan w:val="2"/>
          </w:tcPr>
          <w:p>
            <w:pPr>
              <w:jc w:val="right"/>
              <w:ind w:right="14"/>
              <w:spacing w:after="0"/>
              <w:rPr>
                <w:sz w:val="20"/>
                <w:szCs w:val="20"/>
                <w:color w:val="auto"/>
              </w:rPr>
            </w:pPr>
            <w:r>
              <w:rPr>
                <w:rFonts w:ascii="Arial" w:cs="Arial" w:eastAsia="Arial" w:hAnsi="Arial"/>
                <w:sz w:val="18"/>
                <w:szCs w:val="18"/>
                <w:color w:val="auto"/>
              </w:rPr>
              <w:t>84,829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(98,281)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80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March 31, 2018</w:t>
            </w:r>
          </w:p>
        </w:tc>
        <w:tc>
          <w:tcPr>
            <w:tcW w:w="55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152,466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55.47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Arial" w:cs="Arial" w:eastAsia="Arial" w:hAnsi="Arial"/>
                <w:sz w:val="18"/>
                <w:szCs w:val="18"/>
                <w:color w:val="auto"/>
              </w:rPr>
              <w:t>13</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7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Under the Canadian Plan, no more than $10 million CDN ($7.8 million in U.S. Dollars using the exchange rate on March 31, 2018) may be funded to the plan trustee for purchases of common stock with respect to awards granted under the Canadian Plan. At March 31, 2018, approximately $3.4 million CDN ($2.7 million in U.S. Dollars using the exchange rate on March 31, 2018) remains available for issuance under the Canadian Plan, or approximately 47,340 shares based on the closing share price of our stock of $56.49 as of March 31, 2018. During the first three months of 2018, the trust formed pursuant to the Canadian Plan purchased in the open market 13,031 Westwood common shares for approximately $726,000. As of March 31, 2018, the trust holds 46,358 shares of Westwood common stock. As of March 31, 2018, unrecognized compensation cost related to restricted stock grants under the Canadian Plan totaled $1.1 million, which we expect to recognize over a weighted-average period of 2.1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75"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w:t>
      </w:r>
    </w:p>
    <w:p>
      <w:pPr>
        <w:spacing w:after="0" w:line="73" w:lineRule="exact"/>
        <w:rPr>
          <w:sz w:val="20"/>
          <w:szCs w:val="20"/>
          <w:color w:val="auto"/>
        </w:rPr>
      </w:pPr>
    </w:p>
    <w:p>
      <w:pPr>
        <w:ind w:firstLine="500"/>
        <w:spacing w:after="0" w:line="270" w:lineRule="auto"/>
        <w:rPr>
          <w:sz w:val="20"/>
          <w:szCs w:val="20"/>
          <w:color w:val="auto"/>
        </w:rPr>
      </w:pPr>
      <w:r>
        <w:rPr>
          <w:rFonts w:ascii="Arial" w:cs="Arial" w:eastAsia="Arial" w:hAnsi="Arial"/>
          <w:sz w:val="17"/>
          <w:szCs w:val="17"/>
          <w:color w:val="auto"/>
        </w:rPr>
        <w:t>Awards vest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March 31, 2018 and 2017, we recorded expense of approximately $174,000 and $288,000, respectively, related to mutual fund share incentive awards. As of March 31, 2018 and December 31, 2017, we had an accrued liability of approximately $507,000 and $1.8 million, respectively, related to mutual fund share incentive awards.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INCOME TAXES</w:t>
      </w:r>
    </w:p>
    <w:p>
      <w:pPr>
        <w:spacing w:after="0" w:line="175"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 xml:space="preserve">Our effective income tax rate was 23.9% for the first quarter of 2018, compared with 22.0% for the first quarter of 2017. The current quarter rate benefited from the decrease in the U.S. corporate income tax rate under the Tax Reform Act signed into law in December 2017, while the first quarter of 2017 included a $1.0 million tax benefit related to the adoption of ASU 2016-09 </w:t>
      </w:r>
      <w:r>
        <w:rPr>
          <w:rFonts w:ascii="Arial" w:cs="Arial" w:eastAsia="Arial" w:hAnsi="Arial"/>
          <w:sz w:val="17"/>
          <w:szCs w:val="17"/>
          <w:i w:val="1"/>
          <w:iCs w:val="1"/>
          <w:color w:val="auto"/>
        </w:rPr>
        <w:t>Compensation - Stock Compensation: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Excluding this discrete tax benefit, our effective tax rate would have been 34.2% for the prior year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 Act</w:t>
      </w:r>
    </w:p>
    <w:p>
      <w:pPr>
        <w:spacing w:after="0" w:line="12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December 22, 2017,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During 2017, we provisionally recognized the incremental tax impacts related to deemed repatriated earnings and the revaluation of deferred tax assets and liabilities and included these amounts in our Consolidated Financial Statements for the year ended December 31, 2017. During the first quarter of 2018, we did not make any changes to the amounts provisionally recognized. The ultimate impact may differ, possibly materially, from these provisional amounts due to, among other things, additional analysis, changes in interpretations and assumptions we have made, additional regulatory guidance that may be issued and actions we may take as a result of the Tax Reform Act. The accounting is expected to be complete when our 2017 U.S. corporate income tax return is filed in the third quarter of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ind w:left="260" w:right="21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12. RELATED PARTY TRANSACTIONS</w:t>
      </w:r>
    </w:p>
    <w:p>
      <w:pPr>
        <w:spacing w:after="0" w:line="175" w:lineRule="exact"/>
        <w:rPr>
          <w:sz w:val="20"/>
          <w:szCs w:val="20"/>
          <w:color w:val="auto"/>
        </w:rPr>
      </w:pPr>
    </w:p>
    <w:p>
      <w:pPr>
        <w:jc w:val="both"/>
        <w:ind w:right="80" w:firstLine="500"/>
        <w:spacing w:after="0" w:line="264" w:lineRule="auto"/>
        <w:rPr>
          <w:sz w:val="20"/>
          <w:szCs w:val="20"/>
          <w:color w:val="auto"/>
        </w:rPr>
      </w:pPr>
      <w:r>
        <w:rPr>
          <w:rFonts w:ascii="Arial" w:cs="Arial" w:eastAsia="Arial" w:hAnsi="Arial"/>
          <w:sz w:val="18"/>
          <w:szCs w:val="18"/>
          <w:color w:val="auto"/>
        </w:rPr>
        <w:t>Some of our directors, executive officers and their affiliates invest their personal funds directly in trust accounts that we manage. For the three months ended March 31, 2018 and 2017, we recorded trust fees from these accounts of $95,000 and $95,000, respectively. There was $95,000 and $98,000 due from these accounts as of March 31, 2018 and December 31, 2017, respectively.</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color w:val="222222"/>
        </w:rPr>
        <w:t xml:space="preserve">The Company engages in transactions with its affiliates in the ordinary course of business. Westwood International and </w:t>
      </w:r>
      <w:r>
        <w:rPr>
          <w:rFonts w:ascii="Arial" w:cs="Arial" w:eastAsia="Arial" w:hAnsi="Arial"/>
          <w:sz w:val="17"/>
          <w:szCs w:val="17"/>
          <w:color w:val="000000"/>
        </w:rPr>
        <w:t>Westwood Management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222222"/>
        </w:rPr>
        <w:t>provide investment advisory services to the UCITS Fund and the Westwood Funds®. Certain members of our management serve on the board of directors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22222"/>
        </w:rPr>
        <w:t>the UCITS Fund, and we have capital invested in three of the Westwood Funds®. Under the terms of the investment advisory agreements, the Company earns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22222"/>
        </w:rPr>
        <w:t>quarterly fees paid by clients of the fund or by the funds directly. The fees are based on negotiated fee schedules applied to assets under management. These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22222"/>
        </w:rPr>
        <w:t>fees are commensurate with market rates. For the three months ended March 31, 2018 and 2017, the Company earned approximately $1.2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22222"/>
        </w:rPr>
        <w:t>$800,000, respectively, in fees from the affiliated funds. These fees do not include fees paid directly to Westwood International by certain clients invested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22222"/>
        </w:rPr>
        <w:t>the UCITS Fund that have an investment management agreement with Westwood International. As of March 31, 2018 and December 31, 2017, $427,000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22222"/>
        </w:rPr>
        <w:t>$423,000, respectively, of these fees were unpaid and included in “Accounts receivable” on our Condensed Consolidated Balance Sheets.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75"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color w:val="auto"/>
        </w:rPr>
        <w:t>On August 3, 2012, AGF Management Limited and AGF Investments Inc. (collectively, “AGF”) filed a lawsuit in the Ontario Superior Court of Justice against Westwood, certain Westwood employees and the executive recruiting firm of Warren International, LLC (“Warren”). The action related to the hiring of certain members of Westwood’s global and emerging markets investment team previously employed by AGF. On November 5, 2012, Westwood responded to AGF’s lawsuit with a counterclaim, and on November 6, 2012, AGF filed a second lawsuit against Westwood, Westwood Management and an employee of Westwood International.</w:t>
      </w:r>
    </w:p>
    <w:p>
      <w:pPr>
        <w:spacing w:after="0" w:line="134"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color w:val="auto"/>
        </w:rPr>
        <w:t>On October 13, 2017, we reached a settlement with AGF that provides for the dismissal of all claims, with prejudice and without any admission of liability. We agreed to pay AGF a one-time payment of $10.0 million CDN, half of which was covered by our insurance. During 2017, we recorded a net $4.0 million ($5.0 million CDN) charge related to the settlement and associated insurance coverage, with a $4.0 million ($5.0 million CDN) receivable from our insurance provider included in “Other current assets” on our Condensed Consolidated Balance Sheets at December 31, 2017. Of that amount, we received insurance proceeds of $3.6 million during the three months ended March 31, 2018. At March 31, 2018, we had a receivable related to the settlement of approximately $403,000 included in “Other current assets” on our Condensed Consolidated Balance Sheets.</w:t>
      </w:r>
    </w:p>
    <w:p>
      <w:pPr>
        <w:spacing w:after="0" w:line="70"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color w:val="auto"/>
        </w:rPr>
        <w:t>Our policy is to not accrue legal fees and directly related costs as part of potential loss contingencies. We have agreed with our Directors &amp; Officers insurance provider that 50% of the defense costs related to both AGF claims, excluding Westwood’s counterclaim against AGF, are covered by insurance. We expense legal fees and directly related costs as incurred. We had a receivable of approximately $237,000 and $212,000 as of March 31, 2018 and December 31, 2017, which represents our current minimum estimate of expenses that we expect to recover under our insurance policy. This receivable is part of “Other current assets” on our Condensed Consolidated Balance Sheets.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1" w:right="25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75"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Our Advisory segment provides investment advisory services to corporate retirement plans, public retirement plans, endowments, foundations, individuals,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and the UCITS Fund, as well as investment subadvisory services to mutual funds and our Trust segment. Westwood Management Corp. and Westwood International, which provide investment advisory services to clients of similar type, are included in our Advisory segment along with Westwood Advisors,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Trust provides trust and custodial services and participation in common trust funds that it sponsors to institutions and high net worth individuals.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Westwood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Trust</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Holdings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2018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25,818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7,609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33,427</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27,953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7,706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33,567</w:t>
            </w:r>
          </w:p>
        </w:tc>
        <w:tc>
          <w:tcPr>
            <w:tcW w:w="0" w:type="dxa"/>
            <w:vAlign w:val="bottom"/>
          </w:tcPr>
          <w:p>
            <w:pPr>
              <w:spacing w:after="0"/>
              <w:rPr>
                <w:sz w:val="1"/>
                <w:szCs w:val="1"/>
                <w:color w:val="auto"/>
              </w:rPr>
            </w:pPr>
          </w:p>
        </w:tc>
      </w:tr>
      <w:tr>
        <w:trPr>
          <w:trHeight w:val="73"/>
        </w:trPr>
        <w:tc>
          <w:tcPr>
            <w:tcW w:w="436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13,800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12,642</w:t>
            </w:r>
          </w:p>
        </w:tc>
        <w:tc>
          <w:tcPr>
            <w:tcW w:w="0" w:type="dxa"/>
            <w:vAlign w:val="bottom"/>
          </w:tcPr>
          <w:p>
            <w:pPr>
              <w:spacing w:after="0"/>
              <w:rPr>
                <w:sz w:val="1"/>
                <w:szCs w:val="1"/>
                <w:color w:val="auto"/>
              </w:rPr>
            </w:pPr>
          </w:p>
        </w:tc>
      </w:tr>
      <w:tr>
        <w:trPr>
          <w:trHeight w:val="237"/>
        </w:trPr>
        <w:tc>
          <w:tcPr>
            <w:tcW w:w="440" w:type="dxa"/>
            <w:vAlign w:val="bottom"/>
          </w:tcPr>
          <w:p>
            <w:pPr>
              <w:ind w:left="40"/>
              <w:spacing w:after="0"/>
              <w:rPr>
                <w:sz w:val="20"/>
                <w:szCs w:val="20"/>
                <w:color w:val="auto"/>
              </w:rPr>
            </w:pPr>
            <w:r>
              <w:rPr>
                <w:rFonts w:ascii="Arial" w:cs="Arial" w:eastAsia="Arial" w:hAnsi="Arial"/>
                <w:sz w:val="16"/>
                <w:szCs w:val="16"/>
                <w:color w:val="auto"/>
                <w:w w:val="99"/>
              </w:rPr>
              <w:t>Less:</w:t>
            </w:r>
          </w:p>
        </w:tc>
        <w:tc>
          <w:tcPr>
            <w:tcW w:w="3920" w:type="dxa"/>
            <w:vAlign w:val="bottom"/>
          </w:tcPr>
          <w:p>
            <w:pPr>
              <w:ind w:left="60"/>
              <w:spacing w:after="0"/>
              <w:rPr>
                <w:sz w:val="20"/>
                <w:szCs w:val="20"/>
                <w:color w:val="auto"/>
              </w:rPr>
            </w:pPr>
            <w:r>
              <w:rPr>
                <w:rFonts w:ascii="Arial" w:cs="Arial" w:eastAsia="Arial" w:hAnsi="Arial"/>
                <w:sz w:val="16"/>
                <w:szCs w:val="16"/>
                <w:color w:val="auto"/>
              </w:rPr>
              <w:t>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4,187</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204,343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60,584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175,116</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16,401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360" w:type="dxa"/>
            <w:vAlign w:val="bottom"/>
            <w:gridSpan w:val="2"/>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360" w:type="dxa"/>
            <w:vAlign w:val="bottom"/>
            <w:gridSpan w:val="2"/>
          </w:tcPr>
          <w:p>
            <w:pPr>
              <w:ind w:left="20"/>
              <w:spacing w:after="0"/>
              <w:rPr>
                <w:sz w:val="20"/>
                <w:szCs w:val="20"/>
                <w:color w:val="auto"/>
              </w:rPr>
            </w:pPr>
            <w:r>
              <w:rPr>
                <w:rFonts w:ascii="Arial" w:cs="Arial" w:eastAsia="Arial" w:hAnsi="Arial"/>
                <w:sz w:val="16"/>
                <w:szCs w:val="16"/>
                <w:b w:val="1"/>
                <w:bCs w:val="1"/>
                <w:color w:val="auto"/>
              </w:rPr>
              <w:t>Three Months Ended March 31, 2017</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3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fee revenues from external sources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31,970</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Net intersegment revenues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interest and dividend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6"/>
                <w:szCs w:val="16"/>
                <w:color w:val="auto"/>
              </w:rPr>
              <w:t>Economic Earnings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gridSpan w:val="2"/>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10,787</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1,448</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10,607</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Less:</w:t>
            </w:r>
          </w:p>
        </w:tc>
        <w:tc>
          <w:tcPr>
            <w:tcW w:w="3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Restricted stock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3,897</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Arial" w:cs="Arial" w:eastAsia="Arial" w:hAnsi="Arial"/>
                <w:sz w:val="16"/>
                <w:szCs w:val="16"/>
                <w:color w:val="auto"/>
              </w:rPr>
              <w:t>Intangible amortization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Borders>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Deferred taxes on goodwill</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6,064</w:t>
            </w:r>
          </w:p>
        </w:tc>
        <w:tc>
          <w:tcPr>
            <w:tcW w:w="0" w:type="dxa"/>
            <w:vAlign w:val="bottom"/>
          </w:tcPr>
          <w:p>
            <w:pPr>
              <w:spacing w:after="0"/>
              <w:rPr>
                <w:sz w:val="1"/>
                <w:szCs w:val="1"/>
                <w:color w:val="auto"/>
              </w:rPr>
            </w:pPr>
          </w:p>
        </w:tc>
      </w:tr>
      <w:tr>
        <w:trPr>
          <w:trHeight w:val="73"/>
        </w:trPr>
        <w:tc>
          <w:tcPr>
            <w:tcW w:w="436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4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Segment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178,591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66,166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9,744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(88,397)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166,104</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Segment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27,144</w:t>
            </w:r>
          </w:p>
        </w:tc>
        <w:tc>
          <w:tcPr>
            <w:tcW w:w="0" w:type="dxa"/>
            <w:vAlign w:val="bottom"/>
          </w:tcPr>
          <w:p>
            <w:pPr>
              <w:spacing w:after="0"/>
              <w:rPr>
                <w:sz w:val="1"/>
                <w:szCs w:val="1"/>
                <w:color w:val="auto"/>
              </w:rPr>
            </w:pPr>
          </w:p>
        </w:tc>
      </w:tr>
      <w:tr>
        <w:trPr>
          <w:trHeight w:val="33"/>
        </w:trPr>
        <w:tc>
          <w:tcPr>
            <w:tcW w:w="44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500"/>
        <w:spacing w:after="0" w:line="286" w:lineRule="auto"/>
        <w:rPr>
          <w:sz w:val="20"/>
          <w:szCs w:val="20"/>
          <w:color w:val="auto"/>
        </w:rPr>
      </w:pPr>
      <w:r>
        <w:rPr>
          <w:rFonts w:ascii="Arial" w:cs="Arial" w:eastAsia="Arial" w:hAnsi="Arial"/>
          <w:sz w:val="17"/>
          <w:szCs w:val="17"/>
          <w:color w:val="auto"/>
        </w:rPr>
        <w:t>We are providing a performance measure that we refer to as Economic Earnings. Our management and the Board of Directors review Economic Earnings to evaluate our ongoing performance, allocate resources and determine our dividend policy. We also believe that this performance measure is useful for management and investors when evaluating our underlying operating and financial performance and our available resources.</w:t>
      </w:r>
    </w:p>
    <w:p>
      <w:pPr>
        <w:spacing w:after="0" w:line="57"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6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provide a reconciliation of Net income to Economic Earnings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47"/>
        </w:trPr>
        <w:tc>
          <w:tcPr>
            <w:tcW w:w="790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r>
      <w:tr>
        <w:trPr>
          <w:trHeight w:val="47"/>
        </w:trPr>
        <w:tc>
          <w:tcPr>
            <w:tcW w:w="79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6,064</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Add: Stock-based compensation expense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3,897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 Intangible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w:t>
            </w:r>
          </w:p>
        </w:tc>
      </w:tr>
      <w:tr>
        <w:trPr>
          <w:trHeight w:val="243"/>
        </w:trPr>
        <w:tc>
          <w:tcPr>
            <w:tcW w:w="7900" w:type="dxa"/>
            <w:vAlign w:val="bottom"/>
          </w:tcPr>
          <w:p>
            <w:pPr>
              <w:ind w:left="500"/>
              <w:spacing w:after="0"/>
              <w:rPr>
                <w:sz w:val="20"/>
                <w:szCs w:val="20"/>
                <w:color w:val="auto"/>
              </w:rPr>
            </w:pPr>
            <w:r>
              <w:rPr>
                <w:rFonts w:ascii="Arial" w:cs="Arial" w:eastAsia="Arial" w:hAnsi="Arial"/>
                <w:sz w:val="18"/>
                <w:szCs w:val="18"/>
                <w:color w:val="auto"/>
              </w:rPr>
              <w:t>Add: Tax benefit from goodwill amortization</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12,642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10,607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Declared</w:t>
      </w:r>
    </w:p>
    <w:p>
      <w:pPr>
        <w:spacing w:after="0" w:line="175" w:lineRule="exact"/>
        <w:rPr>
          <w:sz w:val="20"/>
          <w:szCs w:val="20"/>
          <w:color w:val="auto"/>
        </w:rPr>
      </w:pPr>
    </w:p>
    <w:p>
      <w:pPr>
        <w:ind w:right="40" w:firstLine="500"/>
        <w:spacing w:after="0" w:line="277" w:lineRule="auto"/>
        <w:rPr>
          <w:sz w:val="20"/>
          <w:szCs w:val="20"/>
          <w:color w:val="auto"/>
        </w:rPr>
      </w:pPr>
      <w:r>
        <w:rPr>
          <w:rFonts w:ascii="Arial" w:cs="Arial" w:eastAsia="Arial" w:hAnsi="Arial"/>
          <w:sz w:val="18"/>
          <w:szCs w:val="18"/>
          <w:color w:val="auto"/>
        </w:rPr>
        <w:t>In April 2018, Westwood’s Board of Directors declared a quarterly cash dividend of $0.68 per common share, payable on July 2, 2018, to stockholders of record on June 8,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80" w:firstLine="500"/>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2017, filed with the SEC, and those risks set forth below:</w:t>
      </w:r>
    </w:p>
    <w:p>
      <w:pPr>
        <w:spacing w:after="0" w:line="70" w:lineRule="exact"/>
        <w:rPr>
          <w:sz w:val="20"/>
          <w:szCs w:val="20"/>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composition and market value of our assets under management;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assets under management includes investments in foreign companies;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 and</w:t>
      </w:r>
    </w:p>
    <w:p>
      <w:pPr>
        <w:spacing w:after="0" w:line="117" w:lineRule="exact"/>
        <w:rPr>
          <w:rFonts w:ascii="Arial" w:cs="Arial" w:eastAsia="Arial" w:hAnsi="Arial"/>
          <w:sz w:val="18"/>
          <w:szCs w:val="18"/>
          <w:color w:val="auto"/>
        </w:rPr>
      </w:pPr>
    </w:p>
    <w:p>
      <w:pPr>
        <w:ind w:left="1800" w:hanging="576"/>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71"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36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60" w:firstLine="500"/>
        <w:spacing w:after="0" w:line="290"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and Westwood Trust. Westwood Management provides investment advisory services to institutional investors, a family of mutual funds called the Westwood Funds®, other mutual funds, an Ireland-domiciled fund organized pursuant to the European Union’s Undertakings for Collective Investment in Transferable Securities (the “UCITS Fund”), individual investors and clients of Westwood Trust. Westwood International provides investment advisory services to institutional clients, the Westwood Funds®, other mutual funds, the UCITS Fund and clients of Westwood Trust. Westwood Trust provides trust and custodial services and participation in self-sponsored common trust funds to institutions and high net worth individuals. Our revenues are generally derived from fees based on a percentage of assets under management.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our Omaha Operations</w:t>
      </w:r>
    </w:p>
    <w:p>
      <w:pPr>
        <w:spacing w:after="0" w:line="171" w:lineRule="exact"/>
        <w:rPr>
          <w:sz w:val="20"/>
          <w:szCs w:val="20"/>
          <w:color w:val="auto"/>
        </w:rPr>
      </w:pPr>
    </w:p>
    <w:p>
      <w:pPr>
        <w:ind w:right="20" w:firstLine="500"/>
        <w:spacing w:after="0" w:line="302" w:lineRule="auto"/>
        <w:rPr>
          <w:sz w:val="20"/>
          <w:szCs w:val="20"/>
          <w:color w:val="auto"/>
        </w:rPr>
      </w:pPr>
      <w:r>
        <w:rPr>
          <w:rFonts w:ascii="Arial" w:cs="Arial" w:eastAsia="Arial" w:hAnsi="Arial"/>
          <w:sz w:val="16"/>
          <w:szCs w:val="16"/>
          <w:color w:val="auto"/>
        </w:rPr>
        <w:t>On September 6, 2017, we entered into an agreement to sell the Omaha-based component of our Private Wealth business. The sale closed January 12, 2018. We received proceeds of $10.0 million, net of working capital requirements, and recorded a gain of $524,000 on the sale, which is included as “Gain on sale of operations” on our Consolidated Statement of Comprehensive Income. The component is reported within both our Advisory and Trust segments. The sale did not represent a major strategic shift in our business and did not qualify for discontinued operations reporting.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500"/>
        <w:spacing w:after="0" w:line="289" w:lineRule="auto"/>
        <w:rPr>
          <w:sz w:val="20"/>
          <w:szCs w:val="20"/>
          <w:color w:val="auto"/>
        </w:rPr>
      </w:pPr>
      <w:r>
        <w:rPr>
          <w:rFonts w:ascii="Arial" w:cs="Arial" w:eastAsia="Arial" w:hAnsi="Arial"/>
          <w:sz w:val="16"/>
          <w:szCs w:val="16"/>
          <w:color w:val="auto"/>
        </w:rPr>
        <w:t>We derive our revenues from investment advisory fees, trust fees, and other revenues. Our advisory fees are generated by Westwood Management and Westwood International, which manage client accounts under investment advisory and subadvisory agreements. Advisory fees are typically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revenues from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59" w:lineRule="exact"/>
        <w:rPr>
          <w:sz w:val="20"/>
          <w:szCs w:val="20"/>
          <w:color w:val="auto"/>
        </w:rPr>
      </w:pPr>
    </w:p>
    <w:p>
      <w:pPr>
        <w:ind w:right="100" w:firstLine="500"/>
        <w:spacing w:after="0" w:line="276"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Trust fees for most of our trust clients are calculated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64" w:lineRule="exact"/>
        <w:rPr>
          <w:sz w:val="20"/>
          <w:szCs w:val="20"/>
          <w:color w:val="auto"/>
        </w:rPr>
      </w:pPr>
    </w:p>
    <w:p>
      <w:pPr>
        <w:ind w:right="60" w:firstLine="500"/>
        <w:spacing w:after="0" w:line="308" w:lineRule="auto"/>
        <w:rPr>
          <w:sz w:val="20"/>
          <w:szCs w:val="20"/>
          <w:color w:val="auto"/>
        </w:rPr>
      </w:pPr>
      <w:r>
        <w:rPr>
          <w:rFonts w:ascii="Arial" w:cs="Arial" w:eastAsia="Arial" w:hAnsi="Arial"/>
          <w:sz w:val="17"/>
          <w:szCs w:val="17"/>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Employee compensation and benefits expenses generally consist of salaries, incentive compensation, equity-based compensation and benefits.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Sales and marketing expenses relate to our marketing efforts, including travel and entertainment, direct marketing and advertising costs.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688"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117" w:lineRule="exact"/>
        <w:rPr>
          <w:sz w:val="20"/>
          <w:szCs w:val="20"/>
          <w:color w:val="auto"/>
        </w:rPr>
      </w:pPr>
    </w:p>
    <w:p>
      <w:pPr>
        <w:ind w:right="60" w:firstLine="554"/>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Professional services expenses generally consist of costs associated with subadvisory fees, audit, tax, legal and other professional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color w:val="auto"/>
        </w:rPr>
        <w:t>General and administrative expenses generally consist of costs associated with the lease of our office space, amortization, depreciation, insurance, custody expense, Board of Directors fees, investor relations, licenses and fees, office supplies, foreign currency transaction gains/losses and other miscellaneous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Gain on sale of operations includes the gain on the sale of our Omaha-based component of our Private Wealth business.</w:t>
      </w:r>
    </w:p>
    <w:p>
      <w:pPr>
        <w:spacing w:after="0" w:line="2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584" w:right="6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Assets Under Management</w:t>
      </w:r>
    </w:p>
    <w:p>
      <w:pPr>
        <w:spacing w:after="0" w:line="121" w:lineRule="exact"/>
        <w:rPr>
          <w:sz w:val="20"/>
          <w:szCs w:val="20"/>
          <w:color w:val="auto"/>
        </w:rPr>
      </w:pPr>
    </w:p>
    <w:p>
      <w:pPr>
        <w:ind w:right="80" w:firstLine="500"/>
        <w:spacing w:after="0" w:line="257" w:lineRule="auto"/>
        <w:rPr>
          <w:sz w:val="20"/>
          <w:szCs w:val="20"/>
          <w:color w:val="auto"/>
        </w:rPr>
      </w:pPr>
      <w:r>
        <w:rPr>
          <w:rFonts w:ascii="Arial" w:cs="Arial" w:eastAsia="Arial" w:hAnsi="Arial"/>
          <w:sz w:val="18"/>
          <w:szCs w:val="18"/>
          <w:color w:val="auto"/>
        </w:rPr>
        <w:t>Assets under management (“AUM”) increased $500 million to $22.6 billion at March 31, 2018 compared with $22.1 billion at March 31, 2017. The average of beginning and ending assets under management for the first quarter of 2018 was $23.4 billion compared to $21.7 billion for the first quarter of 2017. These increases are due to market appreciation over the last twelve months and $713 million in a long-only convertibles fund that transitioned from assets under advisement (“AUA”) to AUM during the third quarter of 2017, partially offset by net outflows, including $850 million of outflows related to the sale of the Omaha-based component of our Private Wealth business.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assets under management as of March 31, 2018 and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3"/>
              </w:rPr>
              <w:t>March 31, 2018</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As of March 31,</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0"/>
              </w:rPr>
              <w:t>vs.</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2"/>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3"/>
              </w:rPr>
              <w:t>March 31, 2017</w:t>
            </w:r>
          </w:p>
        </w:tc>
        <w:tc>
          <w:tcPr>
            <w:tcW w:w="0" w:type="dxa"/>
            <w:vAlign w:val="bottom"/>
          </w:tcPr>
          <w:p>
            <w:pPr>
              <w:spacing w:after="0"/>
              <w:rPr>
                <w:sz w:val="1"/>
                <w:szCs w:val="1"/>
                <w:color w:val="auto"/>
              </w:rPr>
            </w:pPr>
          </w:p>
        </w:tc>
      </w:tr>
      <w:tr>
        <w:trPr>
          <w:trHeight w:val="33"/>
        </w:trPr>
        <w:tc>
          <w:tcPr>
            <w:tcW w:w="6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ind w:right="110"/>
              <w:spacing w:after="0"/>
              <w:rPr>
                <w:sz w:val="20"/>
                <w:szCs w:val="20"/>
                <w:color w:val="auto"/>
              </w:rPr>
            </w:pPr>
            <w:r>
              <w:rPr>
                <w:rFonts w:ascii="Arial" w:cs="Arial" w:eastAsia="Arial" w:hAnsi="Arial"/>
                <w:sz w:val="16"/>
                <w:szCs w:val="16"/>
                <w:i w:val="1"/>
                <w:iCs w:val="1"/>
                <w:color w:val="auto"/>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Institutional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12,435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Private Wealth</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5,675</w:t>
            </w:r>
          </w:p>
        </w:tc>
        <w:tc>
          <w:tcPr>
            <w:tcW w:w="1700" w:type="dxa"/>
            <w:vAlign w:val="bottom"/>
            <w:gridSpan w:val="2"/>
          </w:tcPr>
          <w:p>
            <w:pPr>
              <w:jc w:val="right"/>
              <w:ind w:right="7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3,963</w:t>
            </w:r>
          </w:p>
        </w:tc>
        <w:tc>
          <w:tcPr>
            <w:tcW w:w="170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64"/>
        </w:trPr>
        <w:tc>
          <w:tcPr>
            <w:tcW w:w="666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Total Assets Under Management</w:t>
            </w:r>
            <w:r>
              <w:rPr>
                <w:rFonts w:ascii="Arial" w:cs="Arial" w:eastAsia="Arial" w:hAnsi="Arial"/>
                <w:sz w:val="25"/>
                <w:szCs w:val="25"/>
                <w:b w:val="1"/>
                <w:bCs w:val="1"/>
                <w:color w:val="auto"/>
                <w:vertAlign w:val="superscript"/>
              </w:rPr>
              <w:t>(1)</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22,622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22,073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4"/>
                <w:szCs w:val="14"/>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6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ind w:left="820" w:hanging="812"/>
        <w:spacing w:after="0" w:line="256"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AUM excludes $250 million of AUA as of March 31, 2018 related to our model portfolios for which we provided consulting advice but for which we did not have direct discretionary investment authority. AUM excluded approximately $1.1 billion of AUA as of March 31, 2017 related to model portfolios, including approximately $723 million in a long-only convertibles fund for which we provided consulting advice but for which we did not have direct discretionary investment authority. The long-only convertibles fund transitioned to AUM during the third quarter of 2017.</w:t>
      </w:r>
    </w:p>
    <w:p>
      <w:pPr>
        <w:spacing w:after="0" w:line="290" w:lineRule="exact"/>
        <w:rPr>
          <w:rFonts w:ascii="Arial" w:cs="Arial" w:eastAsia="Arial" w:hAnsi="Arial"/>
          <w:sz w:val="16"/>
          <w:szCs w:val="16"/>
          <w:color w:val="auto"/>
        </w:rPr>
      </w:pPr>
    </w:p>
    <w:p>
      <w:pPr>
        <w:ind w:left="1540" w:right="80" w:hanging="641"/>
        <w:spacing w:after="0" w:line="257"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Institutional </w:t>
      </w:r>
      <w:r>
        <w:rPr>
          <w:rFonts w:ascii="Arial" w:cs="Arial" w:eastAsia="Arial" w:hAnsi="Arial"/>
          <w:sz w:val="18"/>
          <w:szCs w:val="18"/>
          <w:color w:val="auto"/>
        </w:rPr>
        <w:t>includes (i) separate accounts of corporate pension and profit sharing plans, public employee retirement funds, Taft Hartley</w:t>
      </w:r>
      <w:r>
        <w:rPr>
          <w:rFonts w:ascii="Arial" w:cs="Arial" w:eastAsia="Arial" w:hAnsi="Arial"/>
          <w:sz w:val="18"/>
          <w:szCs w:val="18"/>
          <w:i w:val="1"/>
          <w:iCs w:val="1"/>
          <w:color w:val="auto"/>
        </w:rPr>
        <w:t xml:space="preserve"> </w:t>
      </w:r>
      <w:r>
        <w:rPr>
          <w:rFonts w:ascii="Arial" w:cs="Arial" w:eastAsia="Arial" w:hAnsi="Arial"/>
          <w:sz w:val="18"/>
          <w:szCs w:val="18"/>
          <w:color w:val="auto"/>
        </w:rPr>
        <w:t>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80" w:lineRule="exact"/>
        <w:rPr>
          <w:rFonts w:ascii="Arial" w:cs="Arial" w:eastAsia="Arial" w:hAnsi="Arial"/>
          <w:sz w:val="18"/>
          <w:szCs w:val="18"/>
          <w:color w:val="auto"/>
        </w:rPr>
      </w:pPr>
    </w:p>
    <w:p>
      <w:pPr>
        <w:ind w:left="1540" w:hanging="641"/>
        <w:spacing w:after="0" w:line="254"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Private Wealth </w:t>
      </w:r>
      <w:r>
        <w:rPr>
          <w:rFonts w:ascii="Arial" w:cs="Arial" w:eastAsia="Arial" w:hAnsi="Arial"/>
          <w:sz w:val="18"/>
          <w:szCs w:val="18"/>
          <w:color w:val="auto"/>
        </w:rPr>
        <w:t>includes assets for which Westwood Trust provides trust and custodial services and participation in common trust funds</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sponsors to institutions and high net worth individuals pursuant to trust or custodial agreements and assets for which Westwood Advisors, L.L.C. provides advisory services to high net worth individuals. Investment subadvisory services are provided for the common trust funds by Westwood Management, Westwood International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upon an inter-generational transfer of wealth.</w:t>
      </w:r>
    </w:p>
    <w:p>
      <w:pPr>
        <w:spacing w:after="0" w:line="84" w:lineRule="exact"/>
        <w:rPr>
          <w:rFonts w:ascii="Arial" w:cs="Arial" w:eastAsia="Arial" w:hAnsi="Arial"/>
          <w:sz w:val="18"/>
          <w:szCs w:val="18"/>
          <w:color w:val="auto"/>
        </w:rPr>
      </w:pPr>
    </w:p>
    <w:p>
      <w:pPr>
        <w:jc w:val="both"/>
        <w:ind w:left="1540" w:right="420" w:hanging="641"/>
        <w:spacing w:after="0" w:line="264"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include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a family of mutual funds for which Westwood Management serves as advisor. These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are available to individual investors, as well as offered as part of our investment strategies for institutional and private wealth accounts.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Roll-Forward of Assets Under Management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47"/>
        </w:trPr>
        <w:tc>
          <w:tcPr>
            <w:tcW w:w="83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8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Institutional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Beginning of period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14,421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11,911</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Inflows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37"/>
        </w:trPr>
        <w:tc>
          <w:tcPr>
            <w:tcW w:w="8360" w:type="dxa"/>
            <w:vAlign w:val="bottom"/>
          </w:tcPr>
          <w:p>
            <w:pPr>
              <w:ind w:left="420"/>
              <w:spacing w:after="0"/>
              <w:rPr>
                <w:sz w:val="20"/>
                <w:szCs w:val="20"/>
                <w:color w:val="auto"/>
              </w:rPr>
            </w:pPr>
            <w:r>
              <w:rPr>
                <w:rFonts w:ascii="Arial" w:cs="Arial" w:eastAsia="Arial" w:hAnsi="Arial"/>
                <w:sz w:val="16"/>
                <w:szCs w:val="16"/>
                <w:color w:val="auto"/>
              </w:rPr>
              <w:t>Outflows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flows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8360" w:type="dxa"/>
            <w:vAlign w:val="bottom"/>
          </w:tcPr>
          <w:p>
            <w:pPr>
              <w:ind w:left="420"/>
              <w:spacing w:after="0"/>
              <w:rPr>
                <w:sz w:val="20"/>
                <w:szCs w:val="20"/>
                <w:color w:val="auto"/>
              </w:rPr>
            </w:pPr>
            <w:r>
              <w:rPr>
                <w:rFonts w:ascii="Arial" w:cs="Arial" w:eastAsia="Arial" w:hAnsi="Arial"/>
                <w:sz w:val="16"/>
                <w:szCs w:val="16"/>
                <w:color w:val="auto"/>
              </w:rPr>
              <w:t>Market appreciation</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color w:val="auto"/>
              </w:rPr>
              <w:t>End of period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13,377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12,435</w:t>
            </w:r>
          </w:p>
        </w:tc>
        <w:tc>
          <w:tcPr>
            <w:tcW w:w="0" w:type="dxa"/>
            <w:vAlign w:val="bottom"/>
          </w:tcPr>
          <w:p>
            <w:pPr>
              <w:spacing w:after="0"/>
              <w:rPr>
                <w:sz w:val="1"/>
                <w:szCs w:val="1"/>
                <w:color w:val="auto"/>
              </w:rPr>
            </w:pPr>
          </w:p>
        </w:tc>
      </w:tr>
      <w:tr>
        <w:trPr>
          <w:trHeight w:val="73"/>
        </w:trPr>
        <w:tc>
          <w:tcPr>
            <w:tcW w:w="83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Private Wealth</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5,520</w:t>
            </w:r>
          </w:p>
        </w:tc>
        <w:tc>
          <w:tcPr>
            <w:tcW w:w="0" w:type="dxa"/>
            <w:vAlign w:val="bottom"/>
          </w:tcPr>
          <w:p>
            <w:pPr>
              <w:spacing w:after="0"/>
              <w:rPr>
                <w:sz w:val="1"/>
                <w:szCs w:val="1"/>
                <w:color w:val="auto"/>
              </w:rPr>
            </w:pPr>
          </w:p>
        </w:tc>
      </w:tr>
      <w:tr>
        <w:trPr>
          <w:trHeight w:val="237"/>
        </w:trPr>
        <w:tc>
          <w:tcPr>
            <w:tcW w:w="8360" w:type="dxa"/>
            <w:vAlign w:val="bottom"/>
          </w:tcPr>
          <w:p>
            <w:pPr>
              <w:ind w:left="420"/>
              <w:spacing w:after="0"/>
              <w:rPr>
                <w:sz w:val="20"/>
                <w:szCs w:val="20"/>
                <w:color w:val="auto"/>
              </w:rPr>
            </w:pPr>
            <w:r>
              <w:rPr>
                <w:rFonts w:ascii="Arial" w:cs="Arial" w:eastAsia="Arial" w:hAnsi="Arial"/>
                <w:sz w:val="16"/>
                <w:szCs w:val="16"/>
                <w:color w:val="auto"/>
              </w:rPr>
              <w:t>Inflows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Outflows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17"/>
        </w:trPr>
        <w:tc>
          <w:tcPr>
            <w:tcW w:w="8360" w:type="dxa"/>
            <w:vAlign w:val="bottom"/>
          </w:tcPr>
          <w:p>
            <w:pPr>
              <w:ind w:left="420"/>
              <w:spacing w:after="0"/>
              <w:rPr>
                <w:sz w:val="20"/>
                <w:szCs w:val="20"/>
                <w:color w:val="auto"/>
              </w:rPr>
            </w:pPr>
            <w:r>
              <w:rPr>
                <w:rFonts w:ascii="Arial" w:cs="Arial" w:eastAsia="Arial" w:hAnsi="Arial"/>
                <w:sz w:val="16"/>
                <w:szCs w:val="16"/>
                <w:color w:val="auto"/>
              </w:rPr>
              <w:t>Net flows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Market appreciation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color w:val="auto"/>
              </w:rPr>
              <w:t>Net change</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period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5,675</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Beginning of period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4,242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3,810</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Inflows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37"/>
        </w:trPr>
        <w:tc>
          <w:tcPr>
            <w:tcW w:w="8360" w:type="dxa"/>
            <w:vAlign w:val="bottom"/>
          </w:tcPr>
          <w:p>
            <w:pPr>
              <w:ind w:left="420"/>
              <w:spacing w:after="0"/>
              <w:rPr>
                <w:sz w:val="20"/>
                <w:szCs w:val="20"/>
                <w:color w:val="auto"/>
              </w:rPr>
            </w:pPr>
            <w:r>
              <w:rPr>
                <w:rFonts w:ascii="Arial" w:cs="Arial" w:eastAsia="Arial" w:hAnsi="Arial"/>
                <w:sz w:val="16"/>
                <w:szCs w:val="16"/>
                <w:color w:val="auto"/>
              </w:rPr>
              <w:t>Outflows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Net flows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8360" w:type="dxa"/>
            <w:vAlign w:val="bottom"/>
          </w:tcPr>
          <w:p>
            <w:pPr>
              <w:ind w:left="420"/>
              <w:spacing w:after="0"/>
              <w:rPr>
                <w:sz w:val="20"/>
                <w:szCs w:val="20"/>
                <w:color w:val="auto"/>
              </w:rPr>
            </w:pPr>
            <w:r>
              <w:rPr>
                <w:rFonts w:ascii="Arial" w:cs="Arial" w:eastAsia="Arial" w:hAnsi="Arial"/>
                <w:sz w:val="16"/>
                <w:szCs w:val="16"/>
                <w:color w:val="auto"/>
              </w:rPr>
              <w:t>Market appreciation</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color w:val="auto"/>
              </w:rPr>
              <w:t>End of period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4,244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3,963</w:t>
            </w:r>
          </w:p>
        </w:tc>
        <w:tc>
          <w:tcPr>
            <w:tcW w:w="0" w:type="dxa"/>
            <w:vAlign w:val="bottom"/>
          </w:tcPr>
          <w:p>
            <w:pPr>
              <w:spacing w:after="0"/>
              <w:rPr>
                <w:sz w:val="1"/>
                <w:szCs w:val="1"/>
                <w:color w:val="auto"/>
              </w:rPr>
            </w:pPr>
          </w:p>
        </w:tc>
      </w:tr>
      <w:tr>
        <w:trPr>
          <w:trHeight w:val="73"/>
        </w:trPr>
        <w:tc>
          <w:tcPr>
            <w:tcW w:w="83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Total AUM</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21,241</w:t>
            </w:r>
          </w:p>
        </w:tc>
        <w:tc>
          <w:tcPr>
            <w:tcW w:w="0" w:type="dxa"/>
            <w:vAlign w:val="bottom"/>
          </w:tcPr>
          <w:p>
            <w:pPr>
              <w:spacing w:after="0"/>
              <w:rPr>
                <w:sz w:val="1"/>
                <w:szCs w:val="1"/>
                <w:color w:val="auto"/>
              </w:rPr>
            </w:pPr>
          </w:p>
        </w:tc>
      </w:tr>
      <w:tr>
        <w:trPr>
          <w:trHeight w:val="237"/>
        </w:trPr>
        <w:tc>
          <w:tcPr>
            <w:tcW w:w="8360" w:type="dxa"/>
            <w:vAlign w:val="bottom"/>
          </w:tcPr>
          <w:p>
            <w:pPr>
              <w:ind w:left="420"/>
              <w:spacing w:after="0"/>
              <w:rPr>
                <w:sz w:val="20"/>
                <w:szCs w:val="20"/>
                <w:color w:val="auto"/>
              </w:rPr>
            </w:pPr>
            <w:r>
              <w:rPr>
                <w:rFonts w:ascii="Arial" w:cs="Arial" w:eastAsia="Arial" w:hAnsi="Arial"/>
                <w:sz w:val="16"/>
                <w:szCs w:val="16"/>
                <w:color w:val="auto"/>
              </w:rPr>
              <w:t>Inflows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Outflows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17"/>
        </w:trPr>
        <w:tc>
          <w:tcPr>
            <w:tcW w:w="8360" w:type="dxa"/>
            <w:vAlign w:val="bottom"/>
          </w:tcPr>
          <w:p>
            <w:pPr>
              <w:ind w:left="420"/>
              <w:spacing w:after="0"/>
              <w:rPr>
                <w:sz w:val="20"/>
                <w:szCs w:val="20"/>
                <w:color w:val="auto"/>
              </w:rPr>
            </w:pPr>
            <w:r>
              <w:rPr>
                <w:rFonts w:ascii="Arial" w:cs="Arial" w:eastAsia="Arial" w:hAnsi="Arial"/>
                <w:sz w:val="16"/>
                <w:szCs w:val="16"/>
                <w:color w:val="auto"/>
              </w:rPr>
              <w:t>Net flows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Market appreciation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217"/>
        </w:trPr>
        <w:tc>
          <w:tcPr>
            <w:tcW w:w="8360" w:type="dxa"/>
            <w:vAlign w:val="bottom"/>
          </w:tcPr>
          <w:p>
            <w:pPr>
              <w:ind w:left="40"/>
              <w:spacing w:after="0"/>
              <w:rPr>
                <w:sz w:val="20"/>
                <w:szCs w:val="20"/>
                <w:color w:val="auto"/>
              </w:rPr>
            </w:pPr>
            <w:r>
              <w:rPr>
                <w:rFonts w:ascii="Arial" w:cs="Arial" w:eastAsia="Arial" w:hAnsi="Arial"/>
                <w:sz w:val="16"/>
                <w:szCs w:val="16"/>
                <w:color w:val="auto"/>
              </w:rPr>
              <w:t>Net change</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 of period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22,073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3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Private Wealth outflows include approximately $453 million of assets related to the sale of the Omaha-based component of our Private Wealth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and 2017</w:t>
      </w:r>
    </w:p>
    <w:p>
      <w:pPr>
        <w:spacing w:after="0" w:line="117" w:lineRule="exact"/>
        <w:rPr>
          <w:sz w:val="20"/>
          <w:szCs w:val="20"/>
          <w:color w:val="auto"/>
        </w:rPr>
      </w:pPr>
    </w:p>
    <w:p>
      <w:pPr>
        <w:ind w:right="100" w:firstLine="500"/>
        <w:spacing w:after="0" w:line="264" w:lineRule="auto"/>
        <w:rPr>
          <w:sz w:val="20"/>
          <w:szCs w:val="20"/>
          <w:color w:val="auto"/>
        </w:rPr>
      </w:pPr>
      <w:r>
        <w:rPr>
          <w:rFonts w:ascii="Arial" w:cs="Arial" w:eastAsia="Arial" w:hAnsi="Arial"/>
          <w:sz w:val="18"/>
          <w:szCs w:val="18"/>
          <w:color w:val="auto"/>
        </w:rPr>
        <w:t>The $1.6 billion decrease in assets under management for the three months ended March 31, 2018 was due to market depreciation of $150 million and net outflows of $1.5 billion. Net outflows were primarily related to our Emerging Markets and LargeCap Value strategies and outflows related to the divestiture of our Omaha operations, partially offset by net inflows to our SmallCap strategy.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88" w:right="239" w:bottom="1440" w:gutter="0" w:footer="0" w:header="0"/>
        </w:sectPr>
      </w:pPr>
    </w:p>
    <w:bookmarkStart w:id="25" w:name="page26"/>
    <w:bookmarkEnd w:id="25"/>
    <w:p>
      <w:pPr>
        <w:ind w:right="180" w:firstLine="500"/>
        <w:spacing w:after="0" w:line="264" w:lineRule="auto"/>
        <w:rPr>
          <w:sz w:val="20"/>
          <w:szCs w:val="20"/>
          <w:color w:val="auto"/>
        </w:rPr>
      </w:pPr>
      <w:r>
        <w:rPr>
          <w:rFonts w:ascii="Arial" w:cs="Arial" w:eastAsia="Arial" w:hAnsi="Arial"/>
          <w:sz w:val="18"/>
          <w:szCs w:val="18"/>
          <w:color w:val="auto"/>
        </w:rPr>
        <w:t>The $832 million increase in assets under management for the three months ended March 31, 2017 was due to market appreciation of $1.1 billion, partially offset by net outflows of $295 million. Net outflows were primarily related to our SMidCap strategies and LargeCap Value strategy, partially offset by net inflows to our SmallCap Value, Market Neutral Income, and Emerging Markets strategies.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20" w:firstLine="500"/>
        <w:spacing w:after="0" w:line="264"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0" w:type="dxa"/>
            <w:vAlign w:val="bottom"/>
          </w:tcPr>
          <w:p>
            <w:pPr>
              <w:spacing w:after="0"/>
              <w:rPr>
                <w:sz w:val="1"/>
                <w:szCs w:val="1"/>
                <w:color w:val="auto"/>
              </w:rPr>
            </w:pPr>
          </w:p>
        </w:tc>
      </w:tr>
      <w:tr>
        <w:trPr>
          <w:trHeight w:val="47"/>
        </w:trPr>
        <w:tc>
          <w:tcPr>
            <w:tcW w:w="7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3"/>
              </w:rPr>
              <w:t>March 31, 2018</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0"/>
              </w:rPr>
              <w:t>vs.</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March 31, 2017</w:t>
            </w:r>
          </w:p>
        </w:tc>
        <w:tc>
          <w:tcPr>
            <w:tcW w:w="0" w:type="dxa"/>
            <w:vAlign w:val="bottom"/>
          </w:tcPr>
          <w:p>
            <w:pPr>
              <w:spacing w:after="0"/>
              <w:rPr>
                <w:sz w:val="1"/>
                <w:szCs w:val="1"/>
                <w:color w:val="auto"/>
              </w:rPr>
            </w:pPr>
          </w:p>
        </w:tc>
      </w:tr>
      <w:tr>
        <w:trPr>
          <w:trHeight w:val="231"/>
        </w:trPr>
        <w:tc>
          <w:tcPr>
            <w:tcW w:w="7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3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360" w:type="dxa"/>
            <w:vAlign w:val="bottom"/>
          </w:tcPr>
          <w:p>
            <w:pPr>
              <w:ind w:left="420"/>
              <w:spacing w:after="0"/>
              <w:rPr>
                <w:sz w:val="20"/>
                <w:szCs w:val="20"/>
                <w:color w:val="auto"/>
              </w:rPr>
            </w:pPr>
            <w:r>
              <w:rPr>
                <w:rFonts w:ascii="Arial" w:cs="Arial" w:eastAsia="Arial" w:hAnsi="Arial"/>
                <w:sz w:val="16"/>
                <w:szCs w:val="16"/>
                <w:color w:val="auto"/>
              </w:rPr>
              <w:t>Advisory fees: asset-based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24,483</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23,789</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Advisory fees: performance-based</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17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37"/>
        </w:trPr>
        <w:tc>
          <w:tcPr>
            <w:tcW w:w="7360" w:type="dxa"/>
            <w:vAlign w:val="bottom"/>
          </w:tcPr>
          <w:p>
            <w:pPr>
              <w:ind w:left="420"/>
              <w:spacing w:after="0"/>
              <w:rPr>
                <w:sz w:val="20"/>
                <w:szCs w:val="20"/>
                <w:color w:val="auto"/>
              </w:rPr>
            </w:pPr>
            <w:r>
              <w:rPr>
                <w:rFonts w:ascii="Arial" w:cs="Arial" w:eastAsia="Arial" w:hAnsi="Arial"/>
                <w:sz w:val="16"/>
                <w:szCs w:val="16"/>
                <w:color w:val="auto"/>
              </w:rPr>
              <w:t>Trust fees</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7,609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7,795</w:t>
            </w:r>
          </w:p>
        </w:tc>
        <w:tc>
          <w:tcPr>
            <w:tcW w:w="1700" w:type="dxa"/>
            <w:vAlign w:val="bottom"/>
            <w:gridSpan w:val="2"/>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7"/>
        </w:trPr>
        <w:tc>
          <w:tcPr>
            <w:tcW w:w="7360" w:type="dxa"/>
            <w:vAlign w:val="bottom"/>
          </w:tcPr>
          <w:p>
            <w:pPr>
              <w:ind w:left="640"/>
              <w:spacing w:after="0"/>
              <w:rPr>
                <w:sz w:val="20"/>
                <w:szCs w:val="20"/>
                <w:color w:val="auto"/>
              </w:rPr>
            </w:pPr>
            <w:r>
              <w:rPr>
                <w:rFonts w:ascii="Arial" w:cs="Arial" w:eastAsia="Arial" w:hAnsi="Arial"/>
                <w:sz w:val="16"/>
                <w:szCs w:val="16"/>
                <w:color w:val="auto"/>
              </w:rPr>
              <w:t>Total revenues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33,567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32,623</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60" w:type="dxa"/>
            <w:vAlign w:val="bottom"/>
          </w:tcPr>
          <w:p>
            <w:pPr>
              <w:ind w:left="420"/>
              <w:spacing w:after="0"/>
              <w:rPr>
                <w:sz w:val="20"/>
                <w:szCs w:val="20"/>
                <w:color w:val="auto"/>
              </w:rPr>
            </w:pPr>
            <w:r>
              <w:rPr>
                <w:rFonts w:ascii="Arial" w:cs="Arial" w:eastAsia="Arial" w:hAnsi="Arial"/>
                <w:sz w:val="16"/>
                <w:szCs w:val="16"/>
                <w:color w:val="auto"/>
              </w:rPr>
              <w:t>Employee compensation and benefits</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17,759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17,717</w:t>
            </w:r>
          </w:p>
        </w:tc>
        <w:tc>
          <w:tcPr>
            <w:tcW w:w="10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1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7360" w:type="dxa"/>
            <w:vAlign w:val="bottom"/>
          </w:tcPr>
          <w:p>
            <w:pPr>
              <w:ind w:left="420"/>
              <w:spacing w:after="0"/>
              <w:rPr>
                <w:sz w:val="20"/>
                <w:szCs w:val="20"/>
                <w:color w:val="auto"/>
              </w:rPr>
            </w:pPr>
            <w:r>
              <w:rPr>
                <w:rFonts w:ascii="Arial" w:cs="Arial" w:eastAsia="Arial" w:hAnsi="Arial"/>
                <w:sz w:val="16"/>
                <w:szCs w:val="16"/>
                <w:color w:val="auto"/>
              </w:rPr>
              <w:t>Westwood mutual funds</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863</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Information technology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w:t>
            </w:r>
          </w:p>
        </w:tc>
        <w:tc>
          <w:tcPr>
            <w:tcW w:w="17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7360" w:type="dxa"/>
            <w:vAlign w:val="bottom"/>
          </w:tcPr>
          <w:p>
            <w:pPr>
              <w:ind w:left="420"/>
              <w:spacing w:after="0"/>
              <w:rPr>
                <w:sz w:val="20"/>
                <w:szCs w:val="20"/>
                <w:color w:val="auto"/>
              </w:rPr>
            </w:pPr>
            <w:r>
              <w:rPr>
                <w:rFonts w:ascii="Arial" w:cs="Arial" w:eastAsia="Arial" w:hAnsi="Arial"/>
                <w:sz w:val="16"/>
                <w:szCs w:val="16"/>
                <w:color w:val="auto"/>
              </w:rPr>
              <w:t>Professional services</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1,496</w:t>
            </w:r>
          </w:p>
        </w:tc>
        <w:tc>
          <w:tcPr>
            <w:tcW w:w="1700" w:type="dxa"/>
            <w:vAlign w:val="bottom"/>
            <w:gridSpan w:val="2"/>
          </w:tcPr>
          <w:p>
            <w:pPr>
              <w:jc w:val="right"/>
              <w:ind w:right="5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2,544</w:t>
            </w:r>
          </w:p>
        </w:tc>
        <w:tc>
          <w:tcPr>
            <w:tcW w:w="17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7360" w:type="dxa"/>
            <w:vAlign w:val="bottom"/>
          </w:tcPr>
          <w:p>
            <w:pPr>
              <w:ind w:left="640"/>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23,604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24,853</w:t>
            </w:r>
          </w:p>
        </w:tc>
        <w:tc>
          <w:tcPr>
            <w:tcW w:w="1700" w:type="dxa"/>
            <w:vAlign w:val="bottom"/>
            <w:gridSpan w:val="2"/>
          </w:tcPr>
          <w:p>
            <w:pPr>
              <w:jc w:val="right"/>
              <w:ind w:right="5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7,770</w:t>
            </w:r>
          </w:p>
        </w:tc>
        <w:tc>
          <w:tcPr>
            <w:tcW w:w="17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7360" w:type="dxa"/>
            <w:vAlign w:val="bottom"/>
          </w:tcPr>
          <w:p>
            <w:pPr>
              <w:ind w:left="420"/>
              <w:spacing w:after="0"/>
              <w:rPr>
                <w:sz w:val="20"/>
                <w:szCs w:val="20"/>
                <w:color w:val="auto"/>
              </w:rPr>
            </w:pPr>
            <w:r>
              <w:rPr>
                <w:rFonts w:ascii="Arial" w:cs="Arial" w:eastAsia="Arial" w:hAnsi="Arial"/>
                <w:sz w:val="16"/>
                <w:szCs w:val="16"/>
                <w:color w:val="auto"/>
              </w:rPr>
              <w:t>Gain on sale of operations</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7,770</w:t>
            </w:r>
          </w:p>
        </w:tc>
        <w:tc>
          <w:tcPr>
            <w:tcW w:w="17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2,509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1,706</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6,064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4"/>
                <w:szCs w:val="14"/>
                <w:color w:val="auto"/>
              </w:rPr>
              <w:t>_________________________</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7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360" w:type="dxa"/>
            <w:vAlign w:val="bottom"/>
          </w:tcPr>
          <w:p>
            <w:pPr>
              <w:ind w:left="180"/>
              <w:spacing w:after="0"/>
              <w:rPr>
                <w:sz w:val="20"/>
                <w:szCs w:val="20"/>
                <w:color w:val="auto"/>
              </w:rPr>
            </w:pPr>
            <w:r>
              <w:rPr>
                <w:rFonts w:ascii="Arial" w:cs="Arial" w:eastAsia="Arial" w:hAnsi="Arial"/>
                <w:sz w:val="14"/>
                <w:szCs w:val="14"/>
                <w:color w:val="auto"/>
              </w:rPr>
              <w:t>NM  Not meaningful</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compared to three months ended March 31, 2017</w:t>
      </w:r>
    </w:p>
    <w:p>
      <w:pPr>
        <w:spacing w:after="0" w:line="117"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Our Total revenues increased $1.0 million, or 3%, to $33.6 million for the three months ended March 31, 2018 compared with $32.6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2017. Asset-based advisory fees increased $0.7 million, or 3%, primarily due to higher average assets under management. Trust fees decreased $0.2 million, or 2%, primarily due to the sale of the Omaha-based component of our Private Wealth business. Performance-based advisory fees increased by $0.9 million.</w:t>
      </w:r>
    </w:p>
    <w:p>
      <w:pPr>
        <w:spacing w:after="0" w:line="13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i w:val="1"/>
          <w:iCs w:val="1"/>
          <w:color w:val="auto"/>
        </w:rPr>
        <w:t>Professional Services</w:t>
      </w:r>
      <w:r>
        <w:rPr>
          <w:rFonts w:ascii="Arial" w:cs="Arial" w:eastAsia="Arial" w:hAnsi="Arial"/>
          <w:sz w:val="18"/>
          <w:szCs w:val="18"/>
          <w:color w:val="auto"/>
        </w:rPr>
        <w:t>. Professional services costs decreased $0.5 million or 31.3%, to $1.0 million for the three months ended March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with $1.5 million for the three months ended March 31, 2017 primarily due to a decrease in consulting services and external advisory services for our trust operations.</w:t>
      </w:r>
    </w:p>
    <w:p>
      <w:pPr>
        <w:spacing w:after="0" w:line="127"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costs decreased $1.1 million, or 46.9%, to $1.4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compared with $2.5 million for the three months ended March 31, 2017 primarily due to a $1.1 million foreign currency transaction gain recorded in the first quarter of 2018 as a result of a 3% increase in the Canadian dollar exchange 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6" w:name="page27"/>
    <w:bookmarkEnd w:id="26"/>
    <w:p>
      <w:pPr>
        <w:ind w:right="220" w:firstLine="486"/>
        <w:spacing w:after="0" w:line="277" w:lineRule="auto"/>
        <w:rPr>
          <w:sz w:val="20"/>
          <w:szCs w:val="20"/>
          <w:color w:val="auto"/>
        </w:rPr>
      </w:pPr>
      <w:r>
        <w:rPr>
          <w:rFonts w:ascii="Arial" w:cs="Arial" w:eastAsia="Arial" w:hAnsi="Arial"/>
          <w:sz w:val="18"/>
          <w:szCs w:val="18"/>
          <w:i w:val="1"/>
          <w:iCs w:val="1"/>
          <w:color w:val="auto"/>
        </w:rPr>
        <w:t xml:space="preserve">Gain on Sale of Operations. </w:t>
      </w:r>
      <w:r>
        <w:rPr>
          <w:rFonts w:ascii="Arial" w:cs="Arial" w:eastAsia="Arial" w:hAnsi="Arial"/>
          <w:sz w:val="18"/>
          <w:szCs w:val="18"/>
          <w:color w:val="auto"/>
        </w:rPr>
        <w:t>The three months ended March 31, 2018 includes a $0.5 million gain on the sale of our Omaha-based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Wealth business.</w:t>
      </w:r>
    </w:p>
    <w:p>
      <w:pPr>
        <w:spacing w:after="0" w:line="116"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The effective tax rate increased to 23.9% for the three months ended March 31, 2018 from 22.0%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ended March 31, 2017. The current quarter rate benefited from the decrease in the U.S. corporate income tax rate under the Tax Cuts and Jobs Act signed into law in December 2017. The first quarter of 2017 included a $1.0 million tax benefit related to the adoption of ASU 2016-09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Improvements to Employee Share-Based Payment Accounting</w:t>
      </w:r>
      <w:r>
        <w:rPr>
          <w:rFonts w:ascii="Arial" w:cs="Arial" w:eastAsia="Arial" w:hAnsi="Arial"/>
          <w:sz w:val="18"/>
          <w:szCs w:val="18"/>
          <w:color w:val="auto"/>
        </w:rPr>
        <w:t>. Excluding this discrete tax benefit, our effective tax rate would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34.2% for the prior year 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Financial Information</w:t>
      </w:r>
    </w:p>
    <w:p>
      <w:pPr>
        <w:spacing w:after="0" w:line="175"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the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also considering financial information prepared in accordance with GAAP.</w:t>
      </w:r>
    </w:p>
    <w:p>
      <w:pPr>
        <w:spacing w:after="0" w:line="70"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ectPr>
          <w:pgSz w:w="11900" w:h="16838" w:orient="portrait"/>
          <w:cols w:equalWidth="0" w:num="1">
            <w:col w:w="11420"/>
          </w:cols>
          <w:pgMar w:left="240" w:top="530" w:right="239" w:bottom="1440" w:gutter="0" w:footer="0" w:header="0"/>
        </w:sectPr>
      </w:pP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a reconciliation of Net income to Economic Earnings (in thousands, except share and per share amounts):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91"/>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7"/>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75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7,978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6,064</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8"/>
                <w:szCs w:val="18"/>
                <w:color w:val="auto"/>
              </w:rPr>
              <w:t>Add: Stock-based compensation expense</w:t>
            </w: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8"/>
                <w:szCs w:val="18"/>
                <w:color w:val="auto"/>
              </w:rPr>
              <w:t>Add: Intangible amortization</w:t>
            </w: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70"/>
        </w:trPr>
        <w:tc>
          <w:tcPr>
            <w:tcW w:w="7520" w:type="dxa"/>
            <w:vAlign w:val="bottom"/>
          </w:tcPr>
          <w:p>
            <w:pPr>
              <w:ind w:left="340"/>
              <w:spacing w:after="0"/>
              <w:rPr>
                <w:sz w:val="20"/>
                <w:szCs w:val="20"/>
                <w:color w:val="auto"/>
              </w:rPr>
            </w:pPr>
            <w:r>
              <w:rPr>
                <w:rFonts w:ascii="Arial" w:cs="Arial" w:eastAsia="Arial" w:hAnsi="Arial"/>
                <w:sz w:val="18"/>
                <w:szCs w:val="18"/>
                <w:color w:val="auto"/>
              </w:rPr>
              <w:t>Add: Tax benefit from goodwill amortization</w:t>
            </w:r>
          </w:p>
        </w:tc>
        <w:tc>
          <w:tcPr>
            <w:tcW w:w="16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20" w:type="dxa"/>
            <w:vAlign w:val="bottom"/>
          </w:tcPr>
          <w:p>
            <w:pPr>
              <w:spacing w:after="0"/>
              <w:rPr>
                <w:sz w:val="20"/>
                <w:szCs w:val="20"/>
                <w:color w:val="auto"/>
              </w:rPr>
            </w:pPr>
            <w:r>
              <w:rPr>
                <w:rFonts w:ascii="Arial" w:cs="Arial" w:eastAsia="Arial" w:hAnsi="Arial"/>
                <w:sz w:val="18"/>
                <w:szCs w:val="18"/>
                <w:b w:val="1"/>
                <w:bCs w:val="1"/>
                <w:color w:val="auto"/>
              </w:rPr>
              <w:t>Economic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12,642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10,607</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8,539,545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8,311,382</w:t>
            </w:r>
          </w:p>
        </w:tc>
        <w:tc>
          <w:tcPr>
            <w:tcW w:w="0" w:type="dxa"/>
            <w:vAlign w:val="bottom"/>
          </w:tcPr>
          <w:p>
            <w:pPr>
              <w:spacing w:after="0"/>
              <w:rPr>
                <w:sz w:val="1"/>
                <w:szCs w:val="1"/>
                <w:color w:val="auto"/>
              </w:rPr>
            </w:pPr>
          </w:p>
        </w:tc>
      </w:tr>
      <w:tr>
        <w:trPr>
          <w:trHeight w:val="270"/>
        </w:trPr>
        <w:tc>
          <w:tcPr>
            <w:tcW w:w="7520" w:type="dxa"/>
            <w:vAlign w:val="bottom"/>
          </w:tcPr>
          <w:p>
            <w:pPr>
              <w:spacing w:after="0"/>
              <w:rPr>
                <w:sz w:val="20"/>
                <w:szCs w:val="20"/>
                <w:color w:val="auto"/>
              </w:rPr>
            </w:pPr>
            <w:r>
              <w:rPr>
                <w:rFonts w:ascii="Arial" w:cs="Arial" w:eastAsia="Arial" w:hAnsi="Arial"/>
                <w:sz w:val="18"/>
                <w:szCs w:val="18"/>
                <w:b w:val="1"/>
                <w:bCs w:val="1"/>
                <w:color w:val="auto"/>
              </w:rPr>
              <w:t>Economic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w:t>
      </w:r>
    </w:p>
    <w:p>
      <w:pPr>
        <w:spacing w:after="0" w:line="26"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Change</w:t>
      </w:r>
    </w:p>
    <w:p>
      <w:pPr>
        <w:spacing w:after="0" w:line="10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32 %</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(62)</w:t>
      </w:r>
    </w:p>
    <w:p>
      <w:pPr>
        <w:spacing w:after="0" w:line="9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19 %</w:t>
      </w:r>
    </w:p>
    <w:p>
      <w:pPr>
        <w:spacing w:after="0" w:line="790" w:lineRule="exact"/>
        <w:rPr>
          <w:sz w:val="20"/>
          <w:szCs w:val="20"/>
          <w:color w:val="auto"/>
        </w:rPr>
      </w:pPr>
    </w:p>
    <w:p>
      <w:pPr>
        <w:sectPr>
          <w:pgSz w:w="11900" w:h="16838" w:orient="portrait"/>
          <w:cols w:equalWidth="0" w:num="2">
            <w:col w:w="10240" w:space="360"/>
            <w:col w:w="820"/>
          </w:cols>
          <w:pgMar w:left="240" w:top="530"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3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We fund our operations and cash requirements with cash generated from operating activities. We may also use cash from operations to pay dividends to our stockholders. As of March 31, 2018 and December 31, 2017, we had no debt. The changes in net cash provided by operating activities generally reflect the changes in earnings plus the effects of non-cash items and changes in working capital. Changes in working capital, especially accounts receivable and accounts payable, are generally the result of timing differences between collection of fees billed and payment of operating expenses.</w:t>
      </w:r>
    </w:p>
    <w:p>
      <w:pPr>
        <w:spacing w:after="0" w:line="46" w:lineRule="exact"/>
        <w:rPr>
          <w:sz w:val="20"/>
          <w:szCs w:val="20"/>
          <w:color w:val="auto"/>
        </w:rPr>
      </w:pPr>
    </w:p>
    <w:p>
      <w:pPr>
        <w:ind w:right="200" w:firstLine="500"/>
        <w:spacing w:after="0" w:line="257" w:lineRule="auto"/>
        <w:rPr>
          <w:sz w:val="20"/>
          <w:szCs w:val="20"/>
          <w:color w:val="auto"/>
        </w:rPr>
      </w:pPr>
      <w:r>
        <w:rPr>
          <w:rFonts w:ascii="Arial" w:cs="Arial" w:eastAsia="Arial" w:hAnsi="Arial"/>
          <w:sz w:val="18"/>
          <w:szCs w:val="18"/>
          <w:color w:val="auto"/>
        </w:rPr>
        <w:t>During the three months ended March 31, 2018, cash flow provided by operating activities, principally our investment advisory business, was $1.4 million. Cash flow provided by investing activities of $9.7 million during the three months ended March 31, 2018 was primarily related to the sale of the Omaha-based component of our private wealth business. Cash flow used in financing activities of $12.7 million for the three months ended March 31, 2018 was due to the payment of dividends, purchases of restricted stock returned for payment of taxes and purchases of treasury shares for our Canadian share award plan.</w:t>
      </w:r>
    </w:p>
    <w:p>
      <w:pPr>
        <w:spacing w:after="0" w:line="80" w:lineRule="exact"/>
        <w:rPr>
          <w:sz w:val="20"/>
          <w:szCs w:val="20"/>
          <w:color w:val="auto"/>
        </w:rPr>
      </w:pPr>
    </w:p>
    <w:p>
      <w:pPr>
        <w:ind w:right="180" w:firstLine="500"/>
        <w:spacing w:after="0" w:line="291" w:lineRule="auto"/>
        <w:rPr>
          <w:sz w:val="20"/>
          <w:szCs w:val="20"/>
          <w:color w:val="auto"/>
        </w:rPr>
      </w:pPr>
      <w:r>
        <w:rPr>
          <w:rFonts w:ascii="Arial" w:cs="Arial" w:eastAsia="Arial" w:hAnsi="Arial"/>
          <w:sz w:val="16"/>
          <w:szCs w:val="16"/>
          <w:color w:val="auto"/>
        </w:rPr>
        <w:t>We had cash and investments of $100.5 million as of March 31, 2018 and $105.6 million as of December 31, 2017. Cash and cash equivalents as of March 31, 2018 and December 31, 2017 includes approximately $36 million and $33 million, respectively, of undistributed income from Westwood International. In accordance with the one-time mandatory deemed repatriation required under tax legislation signed into law in December 2017, we have accrued a $1.8 million income tax liability related to this undistributed income. If these funds were needed for our U.S. operations, we would be required to accrue and pay incremental Canadian withholding taxes to repatriate a portion of these funds. Our current intent is to permanently reinvest the funds subject to withholding taxes outside of the U.S., and our current forecasts do not demonstrate a need to repatriate them to fund our U.S. operations. At March 31, 2018 and December 31, 2017, working capital aggregated $113.3 million and $106.6 million, respectively.</w:t>
      </w:r>
    </w:p>
    <w:p>
      <w:pPr>
        <w:spacing w:after="0" w:line="59" w:lineRule="exact"/>
        <w:rPr>
          <w:sz w:val="20"/>
          <w:szCs w:val="20"/>
          <w:color w:val="auto"/>
        </w:rPr>
      </w:pPr>
    </w:p>
    <w:p>
      <w:pPr>
        <w:jc w:val="both"/>
        <w:ind w:right="280" w:firstLine="500"/>
        <w:spacing w:after="0" w:line="264"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March 31, 2018, Westwood Trust had approximately $15.4 million in excess of its minimum capital requirement.</w:t>
      </w:r>
    </w:p>
    <w:p>
      <w:pPr>
        <w:spacing w:after="0" w:line="73" w:lineRule="exact"/>
        <w:rPr>
          <w:sz w:val="20"/>
          <w:szCs w:val="20"/>
          <w:color w:val="auto"/>
        </w:rPr>
      </w:pPr>
    </w:p>
    <w:p>
      <w:pPr>
        <w:ind w:right="220" w:firstLine="500"/>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2017, filed with the SEC. We believe that current cash and short-term investment balances and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right="80" w:firstLine="500"/>
        <w:spacing w:after="0" w:line="312" w:lineRule="auto"/>
        <w:rPr>
          <w:sz w:val="20"/>
          <w:szCs w:val="20"/>
          <w:color w:val="auto"/>
        </w:rPr>
      </w:pPr>
      <w:r>
        <w:rPr>
          <w:rFonts w:ascii="Arial" w:cs="Arial" w:eastAsia="Arial" w:hAnsi="Arial"/>
          <w:sz w:val="16"/>
          <w:szCs w:val="16"/>
          <w:color w:val="auto"/>
        </w:rPr>
        <w:t>As of March 31, 2018, there have been no material changes outside the ordinary course of business to our contractual obligations since December 31, 2017. For information regarding our contractual obligations, refer to “Contractual Obligations” in Part II, Item 7. “Management’s Discussion and Analysis of Financial Condition and Results of Operations” in our Annual Report on Form 10-K for the fiscal year ended December 31,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9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and Significant Accounting Policies and Estimates</w:t>
      </w:r>
    </w:p>
    <w:p>
      <w:pPr>
        <w:spacing w:after="0" w:line="121" w:lineRule="exact"/>
        <w:rPr>
          <w:sz w:val="20"/>
          <w:szCs w:val="20"/>
          <w:color w:val="auto"/>
        </w:rPr>
      </w:pPr>
    </w:p>
    <w:p>
      <w:pPr>
        <w:jc w:val="both"/>
        <w:ind w:right="580" w:firstLine="500"/>
        <w:spacing w:after="0" w:line="264" w:lineRule="auto"/>
        <w:rPr>
          <w:sz w:val="20"/>
          <w:szCs w:val="20"/>
          <w:color w:val="auto"/>
        </w:rPr>
      </w:pPr>
      <w:r>
        <w:rPr>
          <w:rFonts w:ascii="Arial" w:cs="Arial" w:eastAsia="Arial" w:hAnsi="Arial"/>
          <w:sz w:val="18"/>
          <w:szCs w:val="18"/>
          <w:color w:val="auto"/>
        </w:rPr>
        <w:t xml:space="preserve">Effective January 1, 2018, 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Refer to Note 9 “Revenue” in our Condensed Consolidated Financial Statements included in Part I, Item 1. “Financial Statements” of this Quarterly Report on Form 10-Q for a detailed description of the adoption of ASU 2014-09.</w:t>
      </w:r>
    </w:p>
    <w:p>
      <w:pPr>
        <w:spacing w:after="0" w:line="73"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Otherwise there have been no significant changes in our critical or significant accounting policies and estimates since December 31, 2017. Information with respect to our critical accounting policies and estimates that we believe could have the most significant effect on our reported consolidated results and require difficult, subjective or complex judgment by management are described under “Critical Accounting Policies and Estimates” in Part II, Item 7. “Management’s Discussion and Analysis of Financial Condition and Results of Operations” in our Annual Report on Form 10-K for the fiscal year ended December 31,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Developments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60" w:firstLine="500"/>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2017.</w:t>
      </w:r>
    </w:p>
    <w:p>
      <w:pPr>
        <w:spacing w:after="0" w:line="2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00"/>
        <w:spacing w:after="0" w:line="288"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ind w:right="160" w:firstLine="500"/>
        <w:spacing w:after="0" w:line="308" w:lineRule="auto"/>
        <w:rPr>
          <w:sz w:val="20"/>
          <w:szCs w:val="20"/>
          <w:color w:val="auto"/>
        </w:rPr>
      </w:pPr>
      <w:r>
        <w:rPr>
          <w:rFonts w:ascii="Arial" w:cs="Arial" w:eastAsia="Arial" w:hAnsi="Arial"/>
          <w:sz w:val="17"/>
          <w:szCs w:val="17"/>
          <w:color w:val="auto"/>
        </w:rPr>
        <w:t>For the quarter ended March 31, 2018, there were no changes in our internal controls over financial reporting (as defined in Rule 13a-15(f) under the Exchange Act) that materially affected, or are reasonably likely to materially affect, our internal control over financial reporting.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688"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We face a number of significant risks and uncertainties in our business, including those detailed under “Risk Factors” in our Annual Report on Form 10-K for the fiscal year ended December 31, 2017 and summarized in this report under “Management’s Discussion and Analysis of Financial Condition and Results of Operations.” These risks and uncertainties may affect our current position and future prospects and should be considered carefully in evaluating us, including making an investment in our common stock.</w:t>
      </w:r>
    </w:p>
    <w:p>
      <w:pPr>
        <w:spacing w:after="0" w:line="29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March 31, 2018:</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92"/>
              </w:rPr>
              <w:t>approximate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Total number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93"/>
              </w:rPr>
              <w:t>dollar value)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7"/>
              </w:rPr>
              <w:t>of shares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of shares that</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7"/>
              </w:rPr>
              <w:t>purchased as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may yet be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Total</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2"/>
              </w:rPr>
              <w:t>part of publicly</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88"/>
              </w:rPr>
              <w:t>purchased</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number of</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Average</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6"/>
              </w:rPr>
              <w:t>announced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under the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shares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price paid</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93"/>
              </w:rPr>
              <w:t>plans or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Arial" w:cs="Arial" w:eastAsia="Arial" w:hAnsi="Arial"/>
                <w:sz w:val="16"/>
                <w:szCs w:val="16"/>
                <w:b w:val="1"/>
                <w:bCs w:val="1"/>
                <w:color w:val="auto"/>
                <w:w w:val="89"/>
              </w:rPr>
              <w:t>plans or</w:t>
            </w:r>
          </w:p>
        </w:tc>
      </w:tr>
      <w:tr>
        <w:trPr>
          <w:trHeight w:val="210"/>
        </w:trPr>
        <w:tc>
          <w:tcPr>
            <w:tcW w:w="3940" w:type="dxa"/>
            <w:vAlign w:val="bottom"/>
            <w:gridSpan w:val="2"/>
          </w:tcPr>
          <w:p>
            <w:pPr>
              <w:ind w:left="1700"/>
              <w:spacing w:after="0"/>
              <w:rPr>
                <w:sz w:val="20"/>
                <w:szCs w:val="20"/>
                <w:color w:val="auto"/>
              </w:rPr>
            </w:pPr>
            <w:r>
              <w:rPr>
                <w:rFonts w:ascii="Arial" w:cs="Arial" w:eastAsia="Arial" w:hAnsi="Arial"/>
                <w:sz w:val="16"/>
                <w:szCs w:val="16"/>
                <w:b w:val="1"/>
                <w:bCs w:val="1"/>
                <w:color w:val="auto"/>
              </w:rPr>
              <w:t>Period</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purchased</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per share</w:t>
            </w:r>
          </w:p>
        </w:tc>
        <w:tc>
          <w:tcPr>
            <w:tcW w:w="154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programs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6"/>
              <w:spacing w:after="0"/>
              <w:rPr>
                <w:sz w:val="20"/>
                <w:szCs w:val="20"/>
                <w:color w:val="auto"/>
              </w:rPr>
            </w:pPr>
            <w:r>
              <w:rPr>
                <w:rFonts w:ascii="Arial" w:cs="Arial" w:eastAsia="Arial" w:hAnsi="Arial"/>
                <w:sz w:val="16"/>
                <w:szCs w:val="16"/>
                <w:b w:val="1"/>
                <w:bCs w:val="1"/>
                <w:color w:val="auto"/>
                <w:w w:val="91"/>
              </w:rPr>
              <w:t>programs (1)</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3940" w:type="dxa"/>
            <w:vAlign w:val="bottom"/>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5"/>
                <w:szCs w:val="25"/>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9,366,000</w:t>
            </w:r>
          </w:p>
        </w:tc>
      </w:tr>
      <w:tr>
        <w:trPr>
          <w:trHeight w:val="270"/>
        </w:trPr>
        <w:tc>
          <w:tcPr>
            <w:tcW w:w="39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Canadian Plan </w:t>
            </w:r>
            <w:r>
              <w:rPr>
                <w:rFonts w:ascii="Arial" w:cs="Arial" w:eastAsia="Arial" w:hAnsi="Arial"/>
                <w:sz w:val="25"/>
                <w:szCs w:val="25"/>
                <w:color w:val="auto"/>
                <w:vertAlign w:val="superscript"/>
              </w:rPr>
              <w:t>(2)</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13,031</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55.68</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CDN $</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3,448,000</w:t>
            </w:r>
          </w:p>
        </w:tc>
      </w:tr>
      <w:tr>
        <w:trPr>
          <w:trHeight w:val="270"/>
        </w:trPr>
        <w:tc>
          <w:tcPr>
            <w:tcW w:w="39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(3)</w:t>
            </w: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43"/>
        </w:trPr>
        <w:tc>
          <w:tcPr>
            <w:tcW w:w="3940" w:type="dxa"/>
            <w:vAlign w:val="bottom"/>
            <w:gridSpan w:val="2"/>
          </w:tcPr>
          <w:p>
            <w:pPr>
              <w:ind w:left="380"/>
              <w:spacing w:after="0"/>
              <w:rPr>
                <w:sz w:val="20"/>
                <w:szCs w:val="20"/>
                <w:color w:val="auto"/>
              </w:rPr>
            </w:pPr>
            <w:r>
              <w:rPr>
                <w:rFonts w:ascii="Arial" w:cs="Arial" w:eastAsia="Arial" w:hAnsi="Arial"/>
                <w:sz w:val="18"/>
                <w:szCs w:val="18"/>
                <w:color w:val="auto"/>
              </w:rPr>
              <w:t>February 1-28, 2018</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59,575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55.96</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39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March 1-31, 2018</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24,096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55.46</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3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900" w:hanging="892"/>
        <w:spacing w:after="0" w:line="25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The share repurchase program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200" w:hanging="892"/>
        <w:spacing w:after="0" w:line="259"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24" w:lineRule="exact"/>
        <w:rPr>
          <w:rFonts w:ascii="Arial" w:cs="Arial" w:eastAsia="Arial" w:hAnsi="Arial"/>
          <w:sz w:val="16"/>
          <w:szCs w:val="16"/>
          <w:color w:val="auto"/>
        </w:rPr>
      </w:pPr>
    </w:p>
    <w:p>
      <w:pPr>
        <w:ind w:left="900" w:right="40" w:hanging="892"/>
        <w:spacing w:after="0" w:line="26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6"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7"/>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1520" w:type="dxa"/>
            <w:vAlign w:val="bottom"/>
          </w:tcPr>
          <w:p>
            <w:pPr>
              <w:ind w:left="40"/>
              <w:spacing w:after="0"/>
              <w:rPr>
                <w:sz w:val="20"/>
                <w:szCs w:val="20"/>
                <w:color w:val="auto"/>
              </w:rPr>
            </w:pPr>
            <w:r>
              <w:rPr>
                <w:rFonts w:ascii="Arial" w:cs="Arial" w:eastAsia="Arial" w:hAnsi="Arial"/>
                <w:sz w:val="18"/>
                <w:szCs w:val="18"/>
                <w:color w:val="auto"/>
              </w:rPr>
              <w:t>10.1</w:t>
            </w:r>
          </w:p>
        </w:tc>
        <w:tc>
          <w:tcPr>
            <w:tcW w:w="9800" w:type="dxa"/>
            <w:vAlign w:val="bottom"/>
            <w:gridSpan w:val="7"/>
          </w:tcPr>
          <w:p>
            <w:pPr>
              <w:spacing w:after="0"/>
              <w:rPr>
                <w:rFonts w:ascii="Arial" w:cs="Arial" w:eastAsia="Arial" w:hAnsi="Arial"/>
                <w:sz w:val="18"/>
                <w:szCs w:val="18"/>
                <w:color w:val="0000FF"/>
                <w:w w:val="89"/>
              </w:rPr>
            </w:pPr>
            <w:hyperlink r:id="rId13">
              <w:r>
                <w:rPr>
                  <w:rFonts w:ascii="Arial" w:cs="Arial" w:eastAsia="Arial" w:hAnsi="Arial"/>
                  <w:sz w:val="18"/>
                  <w:szCs w:val="18"/>
                  <w:color w:val="0000FF"/>
                  <w:w w:val="89"/>
                </w:rPr>
                <w:t>Severance Agreement, dated February 9, 2018, between the company and Fabian Gomez (incorporated by reference from the Form 8-K</w:t>
              </w:r>
            </w:hyperlink>
          </w:p>
        </w:tc>
      </w:tr>
      <w:tr>
        <w:trPr>
          <w:trHeight w:val="196"/>
        </w:trPr>
        <w:tc>
          <w:tcPr>
            <w:tcW w:w="1520" w:type="dxa"/>
            <w:vAlign w:val="bottom"/>
          </w:tcPr>
          <w:p>
            <w:pPr>
              <w:spacing w:after="0"/>
              <w:rPr>
                <w:sz w:val="17"/>
                <w:szCs w:val="17"/>
                <w:color w:val="auto"/>
              </w:rPr>
            </w:pPr>
          </w:p>
        </w:tc>
        <w:tc>
          <w:tcPr>
            <w:tcW w:w="30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13">
              <w:r>
                <w:rPr>
                  <w:rFonts w:ascii="Arial" w:cs="Arial" w:eastAsia="Arial" w:hAnsi="Arial"/>
                  <w:sz w:val="18"/>
                  <w:szCs w:val="18"/>
                  <w:color w:val="0000FF"/>
                  <w:w w:val="91"/>
                </w:rPr>
                <w:t>filed with the SEC on February 13, 2018)</w:t>
              </w:r>
            </w:hyperlink>
          </w:p>
        </w:tc>
        <w:tc>
          <w:tcPr>
            <w:tcW w:w="678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31.1*</w:t>
            </w:r>
          </w:p>
        </w:tc>
        <w:tc>
          <w:tcPr>
            <w:tcW w:w="66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Certification of Chief Executive Officer Pursuant to Securities Exchange Act Rule 13a-14(a)</w:t>
              </w:r>
            </w:hyperlink>
          </w:p>
        </w:tc>
        <w:tc>
          <w:tcPr>
            <w:tcW w:w="3120" w:type="dxa"/>
            <w:vAlign w:val="bottom"/>
            <w:gridSpan w:val="3"/>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31.2*</w:t>
            </w:r>
          </w:p>
        </w:tc>
        <w:tc>
          <w:tcPr>
            <w:tcW w:w="66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Certification of Chief Financial Officer Pursuant to Securities Exchange Act Rule 13a-14(a)</w:t>
              </w:r>
            </w:hyperlink>
          </w:p>
        </w:tc>
        <w:tc>
          <w:tcPr>
            <w:tcW w:w="3160" w:type="dxa"/>
            <w:vAlign w:val="bottom"/>
            <w:gridSpan w:val="4"/>
          </w:tcPr>
          <w:p>
            <w:pPr>
              <w:spacing w:after="0"/>
              <w:rPr>
                <w:sz w:val="24"/>
                <w:szCs w:val="24"/>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32.1**</w:t>
            </w:r>
          </w:p>
        </w:tc>
        <w:tc>
          <w:tcPr>
            <w:tcW w:w="980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96"/>
        </w:trPr>
        <w:tc>
          <w:tcPr>
            <w:tcW w:w="1520" w:type="dxa"/>
            <w:vAlign w:val="bottom"/>
          </w:tcPr>
          <w:p>
            <w:pPr>
              <w:spacing w:after="0"/>
              <w:rPr>
                <w:sz w:val="17"/>
                <w:szCs w:val="17"/>
                <w:color w:val="auto"/>
              </w:rPr>
            </w:pPr>
          </w:p>
        </w:tc>
        <w:tc>
          <w:tcPr>
            <w:tcW w:w="9800" w:type="dxa"/>
            <w:vAlign w:val="bottom"/>
            <w:gridSpan w:val="7"/>
          </w:tcPr>
          <w:p>
            <w:pPr>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34"/>
        </w:trPr>
        <w:tc>
          <w:tcPr>
            <w:tcW w:w="1520" w:type="dxa"/>
            <w:vAlign w:val="bottom"/>
          </w:tcPr>
          <w:p>
            <w:pPr>
              <w:ind w:left="40"/>
              <w:spacing w:after="0"/>
              <w:rPr>
                <w:sz w:val="20"/>
                <w:szCs w:val="20"/>
                <w:color w:val="auto"/>
              </w:rPr>
            </w:pPr>
            <w:r>
              <w:rPr>
                <w:rFonts w:ascii="Arial" w:cs="Arial" w:eastAsia="Arial" w:hAnsi="Arial"/>
                <w:sz w:val="18"/>
                <w:szCs w:val="18"/>
                <w:color w:val="auto"/>
              </w:rPr>
              <w:t>32.2**</w:t>
            </w:r>
          </w:p>
        </w:tc>
        <w:tc>
          <w:tcPr>
            <w:tcW w:w="976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Certification of Chief Financial Officer Pursuant to 18 U.S.C. Section 1350, as Adopted Pursuant to Section 906 of the Sarbanes-Oxley</w:t>
              </w:r>
            </w:hyperlink>
          </w:p>
        </w:tc>
        <w:tc>
          <w:tcPr>
            <w:tcW w:w="40" w:type="dxa"/>
            <w:vAlign w:val="bottom"/>
            <w:gridSpan w:val="2"/>
          </w:tcPr>
          <w:p>
            <w:pPr>
              <w:spacing w:after="0"/>
              <w:rPr>
                <w:sz w:val="24"/>
                <w:szCs w:val="24"/>
                <w:color w:val="auto"/>
              </w:rPr>
            </w:pPr>
          </w:p>
        </w:tc>
      </w:tr>
      <w:tr>
        <w:trPr>
          <w:trHeight w:val="196"/>
        </w:trPr>
        <w:tc>
          <w:tcPr>
            <w:tcW w:w="1520" w:type="dxa"/>
            <w:vAlign w:val="bottom"/>
          </w:tcPr>
          <w:p>
            <w:pPr>
              <w:spacing w:after="0"/>
              <w:rPr>
                <w:sz w:val="17"/>
                <w:szCs w:val="17"/>
                <w:color w:val="auto"/>
              </w:rPr>
            </w:pPr>
          </w:p>
        </w:tc>
        <w:tc>
          <w:tcPr>
            <w:tcW w:w="9800" w:type="dxa"/>
            <w:vAlign w:val="bottom"/>
            <w:gridSpan w:val="7"/>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Act of 2002</w:t>
              </w:r>
            </w:hyperlink>
          </w:p>
        </w:tc>
      </w:tr>
      <w:tr>
        <w:trPr>
          <w:trHeight w:val="20"/>
        </w:trPr>
        <w:tc>
          <w:tcPr>
            <w:tcW w:w="15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940" w:type="dxa"/>
            <w:vAlign w:val="bottom"/>
            <w:gridSpan w:val="6"/>
          </w:tcPr>
          <w:p>
            <w:pPr>
              <w:spacing w:after="0" w:line="20" w:lineRule="exact"/>
              <w:rPr>
                <w:sz w:val="1"/>
                <w:szCs w:val="1"/>
                <w:color w:val="auto"/>
              </w:rPr>
            </w:pPr>
          </w:p>
        </w:tc>
      </w:tr>
      <w:tr>
        <w:trPr>
          <w:trHeight w:val="574"/>
        </w:trPr>
        <w:tc>
          <w:tcPr>
            <w:tcW w:w="1520" w:type="dxa"/>
            <w:vAlign w:val="bottom"/>
          </w:tcPr>
          <w:p>
            <w:pPr>
              <w:ind w:left="40"/>
              <w:spacing w:after="0"/>
              <w:rPr>
                <w:sz w:val="20"/>
                <w:szCs w:val="20"/>
                <w:color w:val="auto"/>
              </w:rPr>
            </w:pPr>
            <w:r>
              <w:rPr>
                <w:rFonts w:ascii="Arial" w:cs="Arial" w:eastAsia="Arial" w:hAnsi="Arial"/>
                <w:sz w:val="18"/>
                <w:szCs w:val="18"/>
                <w:color w:val="auto"/>
              </w:rPr>
              <w:t>101.INS*</w:t>
            </w:r>
          </w:p>
        </w:tc>
        <w:tc>
          <w:tcPr>
            <w:tcW w:w="980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101.SCH*</w:t>
            </w: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101.CAL*</w:t>
            </w: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101.DEF*</w:t>
            </w: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101.LAB*</w:t>
            </w: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54"/>
        </w:trPr>
        <w:tc>
          <w:tcPr>
            <w:tcW w:w="1520" w:type="dxa"/>
            <w:vAlign w:val="bottom"/>
          </w:tcPr>
          <w:p>
            <w:pPr>
              <w:ind w:left="40"/>
              <w:spacing w:after="0"/>
              <w:rPr>
                <w:sz w:val="20"/>
                <w:szCs w:val="20"/>
                <w:color w:val="auto"/>
              </w:rPr>
            </w:pPr>
            <w:r>
              <w:rPr>
                <w:rFonts w:ascii="Arial" w:cs="Arial" w:eastAsia="Arial" w:hAnsi="Arial"/>
                <w:sz w:val="18"/>
                <w:szCs w:val="18"/>
                <w:color w:val="auto"/>
              </w:rPr>
              <w:t>101.PRE*</w:t>
            </w:r>
          </w:p>
        </w:tc>
        <w:tc>
          <w:tcPr>
            <w:tcW w:w="98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6" w:lineRule="exact"/>
        <w:rPr>
          <w:sz w:val="20"/>
          <w:szCs w:val="20"/>
          <w:color w:val="auto"/>
        </w:rPr>
      </w:pPr>
    </w:p>
    <w:p>
      <w:pPr>
        <w:ind w:left="820" w:hanging="81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20"/>
          </w:cols>
          <w:pgMar w:left="240" w:top="364" w:right="339" w:bottom="1440" w:gutter="0" w:footer="0" w:header="0"/>
        </w:sectPr>
      </w:pPr>
    </w:p>
    <w:bookmarkStart w:id="31" w:name="page32"/>
    <w:bookmarkEnd w:id="31"/>
    <w:p>
      <w:pPr>
        <w:jc w:val="center"/>
        <w:ind w:right="-6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3020" w:type="dxa"/>
            <w:vAlign w:val="bottom"/>
          </w:tcPr>
          <w:p>
            <w:pPr>
              <w:ind w:left="180"/>
              <w:spacing w:after="0"/>
              <w:rPr>
                <w:sz w:val="20"/>
                <w:szCs w:val="20"/>
                <w:color w:val="auto"/>
              </w:rPr>
            </w:pPr>
            <w:r>
              <w:rPr>
                <w:rFonts w:ascii="Arial" w:cs="Arial" w:eastAsia="Arial" w:hAnsi="Arial"/>
                <w:sz w:val="18"/>
                <w:szCs w:val="18"/>
                <w:color w:val="auto"/>
              </w:rPr>
              <w:t>April 25, 2018</w:t>
            </w:r>
          </w:p>
        </w:tc>
        <w:tc>
          <w:tcPr>
            <w:tcW w:w="6600" w:type="dxa"/>
            <w:vAlign w:val="bottom"/>
            <w:gridSpan w:val="2"/>
          </w:tcPr>
          <w:p>
            <w:pPr>
              <w:ind w:left="1780"/>
              <w:spacing w:after="0"/>
              <w:rPr>
                <w:sz w:val="20"/>
                <w:szCs w:val="20"/>
                <w:color w:val="auto"/>
              </w:rPr>
            </w:pPr>
            <w:r>
              <w:rPr>
                <w:rFonts w:ascii="Arial" w:cs="Arial" w:eastAsia="Arial" w:hAnsi="Arial"/>
                <w:sz w:val="18"/>
                <w:szCs w:val="18"/>
                <w:color w:val="auto"/>
              </w:rPr>
              <w:t>WESTWOOD HOLDINGS GROUP, INC.</w:t>
            </w:r>
          </w:p>
        </w:tc>
      </w:tr>
      <w:tr>
        <w:trPr>
          <w:trHeight w:val="567"/>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tcPr>
          <w:p>
            <w:pPr>
              <w:ind w:left="17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Brian O. Casey</w:t>
            </w:r>
          </w:p>
        </w:tc>
      </w:tr>
      <w:tr>
        <w:trPr>
          <w:trHeight w:val="27"/>
        </w:trPr>
        <w:tc>
          <w:tcPr>
            <w:tcW w:w="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70"/>
        </w:trPr>
        <w:tc>
          <w:tcPr>
            <w:tcW w:w="6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40"/>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tcPr>
          <w:p>
            <w:pPr>
              <w:ind w:left="1780"/>
              <w:spacing w:after="0"/>
              <w:rPr>
                <w:sz w:val="20"/>
                <w:szCs w:val="20"/>
                <w:color w:val="auto"/>
              </w:rPr>
            </w:pPr>
            <w:r>
              <w:rPr>
                <w:rFonts w:ascii="Arial" w:cs="Arial" w:eastAsia="Arial" w:hAnsi="Arial"/>
                <w:sz w:val="18"/>
                <w:szCs w:val="18"/>
                <w:color w:val="auto"/>
              </w:rPr>
              <w:t>By:</w:t>
            </w:r>
          </w:p>
        </w:tc>
        <w:tc>
          <w:tcPr>
            <w:tcW w:w="4220" w:type="dxa"/>
            <w:vAlign w:val="bottom"/>
          </w:tcPr>
          <w:p>
            <w:pPr>
              <w:ind w:left="20"/>
              <w:spacing w:after="0"/>
              <w:rPr>
                <w:sz w:val="20"/>
                <w:szCs w:val="20"/>
                <w:color w:val="auto"/>
              </w:rPr>
            </w:pPr>
            <w:r>
              <w:rPr>
                <w:rFonts w:ascii="Arial" w:cs="Arial" w:eastAsia="Arial" w:hAnsi="Arial"/>
                <w:sz w:val="18"/>
                <w:szCs w:val="18"/>
                <w:color w:val="auto"/>
              </w:rPr>
              <w:t>/s/ Tiffany B. Kice</w:t>
            </w:r>
          </w:p>
        </w:tc>
      </w:tr>
      <w:tr>
        <w:trPr>
          <w:trHeight w:val="27"/>
        </w:trPr>
        <w:tc>
          <w:tcPr>
            <w:tcW w:w="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Tiffany B. Kice</w:t>
            </w:r>
          </w:p>
        </w:tc>
      </w:tr>
      <w:tr>
        <w:trPr>
          <w:trHeight w:val="270"/>
        </w:trPr>
        <w:tc>
          <w:tcPr>
            <w:tcW w:w="6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486"/>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4220" w:type="dxa"/>
            <w:vAlign w:val="bottom"/>
          </w:tcPr>
          <w:p>
            <w:pPr>
              <w:spacing w:after="0"/>
              <w:rPr>
                <w:sz w:val="24"/>
                <w:szCs w:val="24"/>
                <w:color w:val="auto"/>
              </w:rPr>
            </w:pPr>
          </w:p>
        </w:tc>
      </w:tr>
    </w:tbl>
    <w:p>
      <w:pPr>
        <w:sectPr>
          <w:pgSz w:w="11900" w:h="16838" w:orient="portrait"/>
          <w:cols w:equalWidth="0" w:num="1">
            <w:col w:w="10780"/>
          </w:cols>
          <w:pgMar w:left="240" w:top="368" w:right="8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O. Casey, certify that:</w:t>
      </w:r>
    </w:p>
    <w:p>
      <w:pPr>
        <w:spacing w:after="0" w:line="252" w:lineRule="exact"/>
        <w:rPr>
          <w:sz w:val="20"/>
          <w:szCs w:val="20"/>
          <w:color w:val="auto"/>
        </w:rPr>
      </w:pPr>
    </w:p>
    <w:p>
      <w:pPr>
        <w:ind w:left="1260" w:hanging="122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260" w:right="480" w:hanging="1225"/>
        <w:spacing w:after="0" w:line="264"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260" w:right="560" w:hanging="1225"/>
        <w:spacing w:after="0" w:line="264"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5" w:lineRule="exact"/>
        <w:rPr>
          <w:rFonts w:ascii="Arial" w:cs="Arial" w:eastAsia="Arial" w:hAnsi="Arial"/>
          <w:sz w:val="18"/>
          <w:szCs w:val="18"/>
          <w:color w:val="auto"/>
        </w:rPr>
      </w:pPr>
    </w:p>
    <w:p>
      <w:pPr>
        <w:ind w:left="1260" w:right="520" w:hanging="1225"/>
        <w:spacing w:after="0" w:line="264"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980" w:right="160" w:firstLine="500"/>
        <w:spacing w:after="0" w:line="264" w:lineRule="auto"/>
        <w:tabs>
          <w:tab w:leader="none" w:pos="17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260" w:right="600" w:hanging="1225"/>
        <w:spacing w:after="0" w:line="264"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2018</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31750</wp:posOffset>
            </wp:positionV>
            <wp:extent cx="21437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36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RULES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Tiffany B. Kice, certify that:</w:t>
      </w:r>
    </w:p>
    <w:p>
      <w:pPr>
        <w:spacing w:after="0" w:line="252" w:lineRule="exact"/>
        <w:rPr>
          <w:sz w:val="20"/>
          <w:szCs w:val="20"/>
          <w:color w:val="auto"/>
        </w:rPr>
      </w:pPr>
    </w:p>
    <w:p>
      <w:pPr>
        <w:ind w:left="1300" w:hanging="126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Westwood Holdings Group, Inc.;</w:t>
      </w:r>
    </w:p>
    <w:p>
      <w:pPr>
        <w:spacing w:after="0" w:line="279" w:lineRule="exact"/>
        <w:rPr>
          <w:rFonts w:ascii="Arial" w:cs="Arial" w:eastAsia="Arial" w:hAnsi="Arial"/>
          <w:sz w:val="18"/>
          <w:szCs w:val="18"/>
          <w:color w:val="auto"/>
        </w:rPr>
      </w:pPr>
    </w:p>
    <w:p>
      <w:pPr>
        <w:ind w:left="1300" w:right="120" w:hanging="126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1300" w:right="420" w:hanging="1265"/>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Arial" w:cs="Arial" w:eastAsia="Arial" w:hAnsi="Arial"/>
          <w:sz w:val="16"/>
          <w:szCs w:val="16"/>
          <w:color w:val="auto"/>
        </w:rPr>
      </w:pPr>
    </w:p>
    <w:p>
      <w:pPr>
        <w:ind w:left="1300" w:right="280" w:hanging="1265"/>
        <w:spacing w:after="0" w:line="291"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29" w:lineRule="exact"/>
        <w:rPr>
          <w:rFonts w:ascii="Arial" w:cs="Arial" w:eastAsia="Arial" w:hAnsi="Arial"/>
          <w:sz w:val="16"/>
          <w:szCs w:val="16"/>
          <w:color w:val="auto"/>
        </w:rPr>
      </w:pPr>
    </w:p>
    <w:p>
      <w:pPr>
        <w:ind w:left="980" w:right="160" w:firstLine="500"/>
        <w:spacing w:after="0" w:line="264" w:lineRule="auto"/>
        <w:tabs>
          <w:tab w:leader="none" w:pos="17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260" w:firstLine="500"/>
        <w:spacing w:after="0" w:line="342" w:lineRule="auto"/>
        <w:tabs>
          <w:tab w:leader="none" w:pos="172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0" w:firstLine="500"/>
        <w:spacing w:after="0" w:line="264" w:lineRule="auto"/>
        <w:tabs>
          <w:tab w:leader="none" w:pos="17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1300" w:right="340" w:hanging="126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980" w:right="200" w:firstLine="500"/>
        <w:spacing w:after="0" w:line="308" w:lineRule="auto"/>
        <w:tabs>
          <w:tab w:leader="none" w:pos="1724"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480" w:firstLine="500"/>
        <w:spacing w:after="0" w:line="277" w:lineRule="auto"/>
        <w:tabs>
          <w:tab w:leader="none" w:pos="17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2018</w:t>
      </w:r>
    </w:p>
    <w:p>
      <w:pPr>
        <w:spacing w:after="0" w:line="200" w:lineRule="exact"/>
        <w:rPr>
          <w:sz w:val="20"/>
          <w:szCs w:val="20"/>
          <w:color w:val="auto"/>
        </w:rPr>
      </w:pPr>
    </w:p>
    <w:p>
      <w:pPr>
        <w:spacing w:after="0" w:line="22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31750</wp:posOffset>
            </wp:positionV>
            <wp:extent cx="2564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36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March 31, 2018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39" w:lineRule="exact"/>
        <w:rPr>
          <w:sz w:val="20"/>
          <w:szCs w:val="20"/>
          <w:color w:val="auto"/>
        </w:rPr>
      </w:pPr>
    </w:p>
    <w:p>
      <w:pPr>
        <w:ind w:left="760" w:hanging="25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31750</wp:posOffset>
            </wp:positionV>
            <wp:extent cx="2487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&amp; Chief Executive Officer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connection with the Quarterly Report of Westwood Holdings Group, Inc. (the “Company”) on Form 10-Q for the period ended March 31, 2018 as filed with the Securities and Exchange Commission on the date hereof (the “Report”), I, Tiffany B. Kice, Chief Financial Officer of the Company, certify, pursuant to 18 U.S.C. § 1350, as adopted pursuant to § 906 of the Sarbanes-Oxley Act of 2002, that, to the best of my knowledge:</w:t>
      </w:r>
    </w:p>
    <w:p>
      <w:pPr>
        <w:spacing w:after="0" w:line="57" w:lineRule="exact"/>
        <w:rPr>
          <w:sz w:val="20"/>
          <w:szCs w:val="20"/>
          <w:color w:val="auto"/>
        </w:rPr>
      </w:pPr>
    </w:p>
    <w:p>
      <w:pPr>
        <w:ind w:left="760" w:hanging="252"/>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(15U.S.C. 78m or 78o(d)); and</w:t>
      </w:r>
    </w:p>
    <w:p>
      <w:pPr>
        <w:spacing w:after="0" w:line="140" w:lineRule="exact"/>
        <w:rPr>
          <w:rFonts w:ascii="Arial" w:cs="Arial" w:eastAsia="Arial" w:hAnsi="Arial"/>
          <w:sz w:val="16"/>
          <w:szCs w:val="16"/>
          <w:color w:val="auto"/>
        </w:rPr>
      </w:pPr>
    </w:p>
    <w:p>
      <w:pPr>
        <w:ind w:left="760" w:hanging="252"/>
        <w:spacing w:after="0"/>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April 25, 2018</w:t>
      </w:r>
    </w:p>
    <w:p>
      <w:pPr>
        <w:spacing w:after="0" w:line="200" w:lineRule="exact"/>
        <w:rPr>
          <w:sz w:val="20"/>
          <w:szCs w:val="20"/>
          <w:color w:val="auto"/>
        </w:rPr>
      </w:pPr>
    </w:p>
    <w:p>
      <w:pPr>
        <w:spacing w:after="0" w:line="22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Tiffany B. Kice</w:t>
      </w:r>
    </w:p>
    <w:p>
      <w:pPr>
        <w:spacing w:after="0" w:line="6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Chief Financial Officer and Treasurer</w:t>
      </w:r>
    </w:p>
    <w:p>
      <w:pPr>
        <w:spacing w:after="0" w:line="252" w:lineRule="exact"/>
        <w:rPr>
          <w:sz w:val="20"/>
          <w:szCs w:val="20"/>
          <w:color w:val="auto"/>
        </w:rPr>
      </w:pPr>
    </w:p>
    <w:p>
      <w:pPr>
        <w:jc w:val="both"/>
        <w:ind w:right="460" w:firstLine="500"/>
        <w:spacing w:after="0" w:line="312"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lvl w:ilvl="1">
      <w:lvlJc w:val="left"/>
      <w:lvlText w:val="(%2)"/>
      <w:numFmt w:val="decimal"/>
      <w:start w:val="1"/>
    </w:lvl>
  </w:abstractNum>
  <w:abstractNum w:abstractNumId="4">
    <w:nsid w:val="1190CDE7"/>
    <w:multiLevelType w:val="hybridMultilevel"/>
    <w:lvl w:ilvl="0">
      <w:lvlJc w:val="left"/>
      <w:lvlText w:val="%1."/>
      <w:numFmt w:val="decimal"/>
      <w:start w:val="6"/>
    </w:lvl>
    <w:lvl w:ilvl="1">
      <w:lvlJc w:val="left"/>
      <w:lvlText w:val="%2"/>
      <w:numFmt w:val="decimal"/>
      <w:start w:val="1"/>
    </w:lvl>
  </w:abstractNum>
  <w:abstractNum w:abstractNumId="5">
    <w:nsid w:val="66EF438D"/>
    <w:multiLevelType w:val="hybridMultilevel"/>
    <w:lvl w:ilvl="0">
      <w:lvlJc w:val="left"/>
      <w:lvlText w:val="%1."/>
      <w:numFmt w:val="decimal"/>
      <w:start w:val="7"/>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lvl w:ilvl="1">
      <w:lvlJc w:val="left"/>
      <w:lvlText w:val="(%2)"/>
      <w:numFmt w:val="lowerLetter"/>
      <w:start w:val="2"/>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2"/>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3" Type="http://schemas.openxmlformats.org/officeDocument/2006/relationships/hyperlink" Target="http://www.sec.gov/Archives/edgar/data/1165002/000116500218000006/final8kexhibitco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2019-12-28T23:32:58Z</dcterms:created>
  <dcterms:modified xsi:type="dcterms:W3CDTF">2019-12-28T23:32:58Z</dcterms:modified>
</cp:coreProperties>
</file>