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24,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John P. Nolan</w:t>
      </w:r>
    </w:p>
    <w:p>
      <w:pPr>
        <w:spacing w:after="0" w:line="238" w:lineRule="auto"/>
        <w:rPr>
          <w:sz w:val="20"/>
          <w:szCs w:val="20"/>
          <w:color w:val="auto"/>
        </w:rPr>
      </w:pPr>
      <w:r>
        <w:rPr>
          <w:rFonts w:ascii="Courier New" w:cs="Courier New" w:eastAsia="Courier New" w:hAnsi="Courier New"/>
          <w:sz w:val="18"/>
          <w:szCs w:val="18"/>
          <w:color w:val="auto"/>
        </w:rPr>
        <w:t>Accounting Branch Chief</w:t>
      </w: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7" w:lineRule="auto"/>
        <w:rPr>
          <w:sz w:val="20"/>
          <w:szCs w:val="20"/>
          <w:color w:val="auto"/>
        </w:rPr>
      </w:pPr>
      <w:r>
        <w:rPr>
          <w:rFonts w:ascii="Courier New" w:cs="Courier New" w:eastAsia="Courier New" w:hAnsi="Courier New"/>
          <w:sz w:val="18"/>
          <w:szCs w:val="18"/>
          <w:color w:val="auto"/>
        </w:rPr>
        <w:t>Division of Corporation Finance-Disclosure Operations</w:t>
      </w:r>
    </w:p>
    <w:p>
      <w:pPr>
        <w:spacing w:after="0" w:line="238" w:lineRule="auto"/>
        <w:rPr>
          <w:sz w:val="20"/>
          <w:szCs w:val="20"/>
          <w:color w:val="auto"/>
        </w:rPr>
      </w:pPr>
      <w:r>
        <w:rPr>
          <w:rFonts w:ascii="Courier New" w:cs="Courier New" w:eastAsia="Courier New" w:hAnsi="Courier New"/>
          <w:sz w:val="18"/>
          <w:szCs w:val="18"/>
          <w:color w:val="auto"/>
        </w:rPr>
        <w:t>100 F Street, NE</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Westwood Holdings Group, Inc.</w:t>
      </w:r>
    </w:p>
    <w:p>
      <w:pPr>
        <w:spacing w:after="0" w:line="4" w:lineRule="exact"/>
        <w:rPr>
          <w:sz w:val="24"/>
          <w:szCs w:val="24"/>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Form 10-K for the Fiscal Year Ended December 31, 2005 File No. 1-31234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Nolan:</w:t>
      </w:r>
    </w:p>
    <w:p>
      <w:pPr>
        <w:spacing w:after="0" w:line="207"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letter is in response to your letter of review of our Form 10-K for the fiscal year ended December 31, 2005. For your convenience, we have repeated your comments, with each of your requests in bold and quotes, followed by our response.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 page F-9</w:t>
      </w:r>
    </w:p>
    <w:p>
      <w:pPr>
        <w:spacing w:after="0" w:line="207" w:lineRule="exact"/>
        <w:rPr>
          <w:sz w:val="24"/>
          <w:szCs w:val="24"/>
          <w:color w:val="auto"/>
        </w:rPr>
      </w:pPr>
    </w:p>
    <w:p>
      <w:pPr>
        <w:ind w:right="209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on page F-9 that advisory and trust fees are generally payable in advance on a calendar quarter basis and that advance payments are deferred and recognized over the periods services are performed. Please provide us with the following information:"</w:t>
      </w:r>
    </w:p>
    <w:p>
      <w:pPr>
        <w:spacing w:after="0" w:line="207" w:lineRule="exact"/>
        <w:rPr>
          <w:sz w:val="24"/>
          <w:szCs w:val="24"/>
          <w:color w:val="auto"/>
        </w:rPr>
      </w:pPr>
    </w:p>
    <w:p>
      <w:pPr>
        <w:ind w:right="303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the amount of advisory and trust fee deferred revenue as of each period presented;"</w:t>
      </w:r>
    </w:p>
    <w:p>
      <w:pPr>
        <w:spacing w:after="0" w:line="208" w:lineRule="exact"/>
        <w:rPr>
          <w:sz w:val="24"/>
          <w:szCs w:val="24"/>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 We do not have a significant amount of deferred revenue due to the fact that revenue from clients billed quarterly in advance is earned and recognized fully during a given quarter. The deferred revenue we have is due to clients that are billed on an off-quarter period, a billing period that spans quarter</w:t>
      </w:r>
    </w:p>
    <w:p>
      <w:pPr>
        <w:spacing w:after="0" w:line="1"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end dates. We had two such clients as of December 31, 2004 and one as of December 31, 2005.</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table displays our deferred revenue amounts in whole dollars:</w:t>
      </w:r>
    </w:p>
    <w:p>
      <w:pPr>
        <w:spacing w:after="0" w:line="200" w:lineRule="exact"/>
        <w:rPr>
          <w:sz w:val="24"/>
          <w:szCs w:val="24"/>
          <w:color w:val="auto"/>
        </w:rPr>
      </w:pPr>
    </w:p>
    <w:p>
      <w:pPr>
        <w:spacing w:after="0" w:line="204" w:lineRule="exact"/>
        <w:rPr>
          <w:sz w:val="24"/>
          <w:szCs w:val="24"/>
          <w:color w:val="auto"/>
        </w:rPr>
      </w:pPr>
    </w:p>
    <w:tbl>
      <w:tblPr>
        <w:tblLayout w:type="fixed"/>
        <w:tblInd w:w="116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As of December 31,</w:t>
            </w:r>
          </w:p>
        </w:tc>
      </w:tr>
      <w:tr>
        <w:trPr>
          <w:trHeight w:val="203"/>
        </w:trPr>
        <w:tc>
          <w:tcPr>
            <w:tcW w:w="2420" w:type="dxa"/>
            <w:vAlign w:val="bottom"/>
          </w:tcPr>
          <w:p>
            <w:pPr>
              <w:spacing w:after="0"/>
              <w:rPr>
                <w:sz w:val="17"/>
                <w:szCs w:val="17"/>
                <w:color w:val="auto"/>
              </w:rPr>
            </w:pPr>
          </w:p>
        </w:tc>
        <w:tc>
          <w:tcPr>
            <w:tcW w:w="2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Advisory fees</w:t>
            </w: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$11,007</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fees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6,333</w:t>
            </w:r>
          </w:p>
        </w:tc>
      </w:tr>
      <w:tr>
        <w:trPr>
          <w:trHeight w:val="203"/>
        </w:trPr>
        <w:tc>
          <w:tcPr>
            <w:tcW w:w="2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deferred revenue</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$17,340</w:t>
            </w:r>
          </w:p>
        </w:tc>
      </w:tr>
    </w:tbl>
    <w:p>
      <w:pPr>
        <w:spacing w:after="0" w:line="200" w:lineRule="exact"/>
        <w:rPr>
          <w:sz w:val="24"/>
          <w:szCs w:val="24"/>
          <w:color w:val="auto"/>
        </w:rPr>
      </w:pPr>
    </w:p>
    <w:p>
      <w:pPr>
        <w:spacing w:after="0" w:line="209" w:lineRule="exact"/>
        <w:rPr>
          <w:sz w:val="24"/>
          <w:szCs w:val="24"/>
          <w:color w:val="auto"/>
        </w:rPr>
      </w:pPr>
    </w:p>
    <w:p>
      <w:pPr>
        <w:ind w:right="293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the line item of your consolidated balance sheets in which deferred revenue was presented;"</w:t>
      </w:r>
    </w:p>
    <w:p>
      <w:pPr>
        <w:spacing w:after="0" w:line="208"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 Deferred revenue is included within "Other current liabilities" on our consolidated balance sheets for the periods presented.</w:t>
      </w:r>
    </w:p>
    <w:p>
      <w:pPr>
        <w:spacing w:after="0" w:line="208" w:lineRule="exact"/>
        <w:rPr>
          <w:sz w:val="24"/>
          <w:szCs w:val="24"/>
          <w:color w:val="auto"/>
        </w:rPr>
      </w:pPr>
    </w:p>
    <w:p>
      <w:pPr>
        <w:ind w:right="23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the extent to which your advisory and trust fees are payable in advance instead of as incurred;"</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 The following table displays our advisory and trust fees payable in advance for the last three years.</w:t>
      </w:r>
    </w:p>
    <w:p>
      <w:pPr>
        <w:spacing w:after="0" w:line="200" w:lineRule="exact"/>
        <w:rPr>
          <w:sz w:val="24"/>
          <w:szCs w:val="24"/>
          <w:color w:val="auto"/>
        </w:rPr>
      </w:pPr>
    </w:p>
    <w:p>
      <w:pPr>
        <w:spacing w:after="0" w:line="205"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3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452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Advanced billed revenue</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w w:val="99"/>
              </w:rPr>
              <w:t>Advisory fees billed in advance (in 000's)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$5,832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$5,907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$5,817</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 a percentage of total advisory fees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Trust fees billed in advance (in 000's)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$6,864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$5,591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$4,524</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 a percentage of total trust fees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r>
    </w:tbl>
    <w:p>
      <w:pPr>
        <w:spacing w:after="0" w:line="200" w:lineRule="exact"/>
        <w:rPr>
          <w:sz w:val="24"/>
          <w:szCs w:val="24"/>
          <w:color w:val="auto"/>
        </w:rPr>
      </w:pPr>
    </w:p>
    <w:p>
      <w:pPr>
        <w:spacing w:after="0" w:line="209" w:lineRule="exact"/>
        <w:rPr>
          <w:sz w:val="24"/>
          <w:szCs w:val="24"/>
          <w:color w:val="auto"/>
        </w:rPr>
      </w:pPr>
    </w:p>
    <w:p>
      <w:pPr>
        <w:ind w:right="219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when you generally bill clients in advance for advisory and trust fees (e.g. first day of the calendar quarter, last day of quarter preceding the calendar quarter billed)."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 We bill our quarterly advanced paying clients during the first month of each</w:t>
      </w:r>
    </w:p>
    <w:p>
      <w:pPr>
        <w:sectPr>
          <w:pgSz w:w="11900" w:h="16855" w:orient="portrait"/>
          <w:cols w:equalWidth="0" w:num="1">
            <w:col w:w="10219"/>
          </w:cols>
          <w:pgMar w:left="240" w:top="244"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calendar quarter based on the assets under management as of the last day of the preceding calendar quarter. A minority of our clients are billed monthly in advance, we bill these clients monthly based on the assets under management as of the last day of the preceding calendar month.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 ("the Company") acknowledges that:</w:t>
      </w:r>
    </w:p>
    <w:p>
      <w:pPr>
        <w:spacing w:after="0" w:line="207" w:lineRule="exact"/>
        <w:rPr>
          <w:sz w:val="20"/>
          <w:szCs w:val="20"/>
          <w:color w:val="auto"/>
        </w:rPr>
      </w:pPr>
    </w:p>
    <w:p>
      <w:pPr>
        <w:ind w:right="209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disclosures in its filings;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disclosures in response to Staff comments in</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filings reviewed by the Staff do not foreclose the Commission from taking any action with respect to the filing; and</w:t>
      </w:r>
    </w:p>
    <w:p>
      <w:pPr>
        <w:spacing w:after="0" w:line="5" w:lineRule="exact"/>
        <w:rPr>
          <w:rFonts w:ascii="Courier New" w:cs="Courier New" w:eastAsia="Courier New" w:hAnsi="Courier New"/>
          <w:sz w:val="18"/>
          <w:szCs w:val="18"/>
          <w:color w:val="auto"/>
        </w:rPr>
      </w:pPr>
    </w:p>
    <w:p>
      <w:pPr>
        <w:ind w:right="23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fully support the Division of Corporation Finance's mission to assist filers with compliance with applicable disclosure requirements and to enhance the overall disclosures in filings and would be happy to provide additional information to the degree you deem it necessary.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O. CASEY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O. Casey</w:t>
      </w:r>
    </w:p>
    <w:p>
      <w:pPr>
        <w:spacing w:after="0" w:line="238" w:lineRule="auto"/>
        <w:rPr>
          <w:sz w:val="20"/>
          <w:szCs w:val="20"/>
          <w:color w:val="auto"/>
        </w:rPr>
      </w:pPr>
      <w:r>
        <w:rPr>
          <w:rFonts w:ascii="Courier New" w:cs="Courier New" w:eastAsia="Courier New" w:hAnsi="Courier New"/>
          <w:sz w:val="18"/>
          <w:szCs w:val="18"/>
          <w:color w:val="auto"/>
        </w:rPr>
        <w:t>Chief Executive Officer and President</w:t>
      </w:r>
    </w:p>
    <w:p>
      <w:pPr>
        <w:spacing w:after="0" w:line="202"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Lisa Haynes, Staff Accountant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D. Fisher, Deloitte &amp; Touche LLP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2019-12-15T05:03:38Z</dcterms:created>
  <dcterms:modified xsi:type="dcterms:W3CDTF">2019-12-15T05:03:38Z</dcterms:modified>
</cp:coreProperties>
</file>