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5" w:orient="portrait"/>
          <w:cols w:equalWidth="0" w:num="2">
            <w:col w:w="2180" w:space="28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JCP Investment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tcBorders>
              <w:bottom w:val="single" w:sz="8" w:color="0000EE"/>
            </w:tcBorders>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WESTWOOD HOLDINGS GROUP INC</w:t>
              </w:r>
            </w:hyperlink>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WHG</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5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28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3780" w:type="dxa"/>
            <w:vAlign w:val="bottom"/>
          </w:tcPr>
          <w:p>
            <w:pPr>
              <w:ind w:left="92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60"/>
        </w:trPr>
        <w:tc>
          <w:tcPr>
            <w:tcW w:w="2880" w:type="dxa"/>
            <w:vAlign w:val="bottom"/>
            <w:vMerge w:val="continue"/>
          </w:tcPr>
          <w:p>
            <w:pPr>
              <w:spacing w:after="0"/>
              <w:rPr>
                <w:sz w:val="13"/>
                <w:szCs w:val="13"/>
                <w:color w:val="auto"/>
              </w:rPr>
            </w:pPr>
          </w:p>
        </w:tc>
        <w:tc>
          <w:tcPr>
            <w:tcW w:w="3780" w:type="dxa"/>
            <w:vAlign w:val="bottom"/>
            <w:vMerge w:val="restart"/>
          </w:tcPr>
          <w:p>
            <w:pPr>
              <w:ind w:left="920"/>
              <w:spacing w:after="0"/>
              <w:rPr>
                <w:sz w:val="20"/>
                <w:szCs w:val="20"/>
                <w:color w:val="auto"/>
              </w:rPr>
            </w:pPr>
            <w:r>
              <w:rPr>
                <w:rFonts w:ascii="Times New Roman" w:cs="Times New Roman" w:eastAsia="Times New Roman" w:hAnsi="Times New Roman"/>
                <w:sz w:val="17"/>
                <w:szCs w:val="17"/>
                <w:color w:val="0000FF"/>
              </w:rPr>
              <w:t>06/09/2022</w:t>
            </w:r>
          </w:p>
        </w:tc>
        <w:tc>
          <w:tcPr>
            <w:tcW w:w="0" w:type="dxa"/>
            <w:vAlign w:val="bottom"/>
          </w:tcPr>
          <w:p>
            <w:pPr>
              <w:spacing w:after="0"/>
              <w:rPr>
                <w:sz w:val="1"/>
                <w:szCs w:val="1"/>
                <w:color w:val="auto"/>
              </w:rPr>
            </w:pPr>
          </w:p>
        </w:tc>
      </w:tr>
      <w:tr>
        <w:trPr>
          <w:trHeight w:val="67"/>
        </w:trPr>
        <w:tc>
          <w:tcPr>
            <w:tcW w:w="28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88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525" w:type="dxa"/>
        <w:tblCellMar>
          <w:top w:w="0" w:type="dxa"/>
          <w:left w:w="0" w:type="dxa"/>
          <w:bottom w:w="0" w:type="dxa"/>
          <w:right w:w="0" w:type="dxa"/>
        </w:tblCellMar>
      </w:tblPr>
      <w:tr>
        <w:trPr>
          <w:trHeight w:val="175"/>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Footnote 1</w:t>
      </w:r>
    </w:p>
    <w:p>
      <w:pPr>
        <w:spacing w:after="0" w:line="468" w:lineRule="exact"/>
        <w:rPr>
          <w:sz w:val="20"/>
          <w:szCs w:val="20"/>
          <w:color w:val="auto"/>
        </w:rPr>
      </w:pPr>
    </w:p>
    <w:p>
      <w:pPr>
        <w:sectPr>
          <w:pgSz w:w="11900" w:h="16885"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11"/>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11"/>
            <w:vMerge w:val="continue"/>
          </w:tcPr>
          <w:p>
            <w:pPr>
              <w:spacing w:after="0" w:line="20" w:lineRule="exact"/>
              <w:rPr>
                <w:sz w:val="1"/>
                <w:szCs w:val="1"/>
                <w:color w:val="auto"/>
              </w:rPr>
            </w:pPr>
          </w:p>
        </w:tc>
        <w:tc>
          <w:tcPr>
            <w:tcW w:w="376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8"/>
            <w:vMerge w:val="restart"/>
          </w:tcPr>
          <w:p>
            <w:pPr>
              <w:jc w:val="center"/>
              <w:ind w:righ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00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4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240" w:type="dxa"/>
            <w:vAlign w:val="bottom"/>
            <w:gridSpan w:val="3"/>
            <w:vMerge w:val="continue"/>
          </w:tcPr>
          <w:p>
            <w:pPr>
              <w:spacing w:after="0"/>
              <w:rPr>
                <w:sz w:val="22"/>
                <w:szCs w:val="22"/>
                <w:color w:val="auto"/>
              </w:rPr>
            </w:pPr>
          </w:p>
        </w:tc>
        <w:tc>
          <w:tcPr>
            <w:tcW w:w="60" w:type="dxa"/>
            <w:vAlign w:val="bottom"/>
            <w:gridSpan w:val="2"/>
            <w:vMerge w:val="continue"/>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860" w:type="dxa"/>
            <w:vAlign w:val="bottom"/>
            <w:tcBorders>
              <w:bottom w:val="single" w:sz="8" w:color="2C2C2C"/>
            </w:tcBorders>
            <w:gridSpan w:val="8"/>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gridSpan w:val="5"/>
          </w:tcPr>
          <w:p>
            <w:pPr>
              <w:ind w:left="3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3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28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20" w:type="dxa"/>
            <w:vAlign w:val="bottom"/>
          </w:tcPr>
          <w:p>
            <w:pPr>
              <w:spacing w:after="0"/>
              <w:rPr>
                <w:sz w:val="7"/>
                <w:szCs w:val="7"/>
                <w:color w:val="auto"/>
              </w:rPr>
            </w:pPr>
          </w:p>
        </w:tc>
        <w:tc>
          <w:tcPr>
            <w:tcW w:w="780" w:type="dxa"/>
            <w:vAlign w:val="bottom"/>
            <w:gridSpan w:val="2"/>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44"/>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JCP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r>
              <w:rPr>
                <w:rFonts w:ascii="Times New Roman" w:cs="Times New Roman" w:eastAsia="Times New Roman" w:hAnsi="Times New Roman"/>
                <w:sz w:val="22"/>
                <w:szCs w:val="22"/>
                <w:color w:val="008000"/>
                <w:vertAlign w:val="superscript"/>
              </w:rPr>
              <w:t>(1)</w:t>
            </w:r>
          </w:p>
        </w:tc>
        <w:tc>
          <w:tcPr>
            <w:tcW w:w="12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06/09/2022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11,518</w:t>
            </w:r>
          </w:p>
        </w:tc>
        <w:tc>
          <w:tcPr>
            <w:tcW w:w="360" w:type="dxa"/>
            <w:vAlign w:val="bottom"/>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15.6934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7"/>
                <w:szCs w:val="17"/>
                <w:color w:val="0000FF"/>
              </w:rPr>
              <w:t>401,407</w:t>
            </w:r>
          </w:p>
        </w:tc>
        <w:tc>
          <w:tcPr>
            <w:tcW w:w="26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JCP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r>
              <w:rPr>
                <w:rFonts w:ascii="Times New Roman" w:cs="Times New Roman" w:eastAsia="Times New Roman" w:hAnsi="Times New Roman"/>
                <w:sz w:val="22"/>
                <w:szCs w:val="22"/>
                <w:color w:val="008000"/>
                <w:vertAlign w:val="superscript"/>
              </w:rPr>
              <w:t>(1)</w:t>
            </w:r>
          </w:p>
        </w:tc>
        <w:tc>
          <w:tcPr>
            <w:tcW w:w="12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06/09/2022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360" w:type="dxa"/>
            <w:vAlign w:val="bottom"/>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15.6934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7"/>
                <w:szCs w:val="17"/>
                <w:color w:val="0000FF"/>
              </w:rPr>
              <w:t>418,214</w:t>
            </w:r>
          </w:p>
        </w:tc>
        <w:tc>
          <w:tcPr>
            <w:tcW w:w="26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Asset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VI, LP</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Managed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Account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r>
              <w:rPr>
                <w:rFonts w:ascii="Times New Roman" w:cs="Times New Roman" w:eastAsia="Times New Roman" w:hAnsi="Times New Roman"/>
                <w:sz w:val="22"/>
                <w:szCs w:val="22"/>
                <w:color w:val="008000"/>
                <w:vertAlign w:val="superscript"/>
              </w:rPr>
              <w:t>(1)</w:t>
            </w:r>
          </w:p>
        </w:tc>
        <w:tc>
          <w:tcPr>
            <w:tcW w:w="12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06/09/2022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482</w:t>
            </w:r>
          </w:p>
        </w:tc>
        <w:tc>
          <w:tcPr>
            <w:tcW w:w="360" w:type="dxa"/>
            <w:vAlign w:val="bottom"/>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15.6934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restart"/>
          </w:tcPr>
          <w:p>
            <w:pPr>
              <w:jc w:val="center"/>
              <w:ind w:left="3"/>
              <w:spacing w:after="0"/>
              <w:rPr>
                <w:sz w:val="20"/>
                <w:szCs w:val="20"/>
                <w:color w:val="auto"/>
              </w:rPr>
            </w:pPr>
            <w:r>
              <w:rPr>
                <w:rFonts w:ascii="Times New Roman" w:cs="Times New Roman" w:eastAsia="Times New Roman" w:hAnsi="Times New Roman"/>
                <w:sz w:val="17"/>
                <w:szCs w:val="17"/>
                <w:color w:val="0000FF"/>
              </w:rPr>
              <w:t>16,795</w:t>
            </w:r>
          </w:p>
        </w:tc>
        <w:tc>
          <w:tcPr>
            <w:tcW w:w="720" w:type="dxa"/>
            <w:vAlign w:val="bottom"/>
          </w:tcPr>
          <w:p>
            <w:pPr>
              <w:spacing w:after="0"/>
              <w:rPr>
                <w:sz w:val="18"/>
                <w:szCs w:val="18"/>
                <w:color w:val="auto"/>
              </w:rPr>
            </w:pPr>
          </w:p>
        </w:tc>
        <w:tc>
          <w:tcPr>
            <w:tcW w:w="260" w:type="dxa"/>
            <w:vAlign w:val="bottom"/>
            <w:vMerge w:val="restart"/>
          </w:tcPr>
          <w:p>
            <w:pPr>
              <w:jc w:val="center"/>
              <w:ind w:right="73"/>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JCP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60" w:type="dxa"/>
            <w:vAlign w:val="bottom"/>
            <w:gridSpan w:val="22"/>
          </w:tcPr>
          <w:p>
            <w:pPr>
              <w:jc w:val="center"/>
              <w:ind w:left="1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40" w:type="dxa"/>
            <w:vAlign w:val="bottom"/>
            <w:gridSpan w:val="17"/>
          </w:tcPr>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44"/>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JCP Investment Management,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4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0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77027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4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JCP Investment Partnership,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4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WEST LOOP SOUTH</w:t>
      </w:r>
    </w:p>
    <w:p>
      <w:pPr>
        <w:sectPr>
          <w:pgSz w:w="11900" w:h="16885"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127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812736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SUITE 1320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JCP Asset Partnership VI,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JCP Investment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JCP Investment Holdings,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Pappas James C</w:t>
              </w:r>
            </w:hyperlink>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JCP Investment Partnership, LP ("JCP Partnership"), JCP Asset Partnership VI, LP ("JCP Partnership VI"), JCP Investment Partners, LP ("JCP Partners"), JCP Investment Holdings, LLC ("JCP Holdings"), JCP Investment Management, LLC ("JCP Management") and James C. Pappas (collectively, the "Reporting Persons"). Each of the Reporting Persons are members of a Section 13(d) group that no longer collectively beneficially owns more than 10% of the Issuer's outstanding shares of Common Stock. Each of the Reporting Persons disclaims beneficial ownership of the shares of Common Stock reported herein except to the extent of his or its pecuniary interest therein.</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owned directly by JCP Partnership. JCP Partners, as the general partner of JCP Partnership, may be deemed to beneficially own the shares of Common Stock owned directly by JCP Partnership. JCP Holdings, as the general partner of JCP Partners, may be deemed to beneficially own the shares of Common Stock owned directly by JCP Partnership. JCP Management, as the investment manager of JCP Partnership, may be deemed to beneficially own the shares of Common Stock owned directly by JCP Partnership. Mr. Pappas, as the managing member of JCP Management and the sole member of JCP Holdings, may be deemed to beneficially own the shares of Common Stock owned directly by JCP Partnership.</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owned directly by JCP Partnership VI. JCP Partners, as the general partner of JCP Partnership VI, may be deemed to beneficially own the shares of Common Stock owned directly by JCP Partnership VI. JCP Holdings, as the general partner of JCP Partners, may be deemed to beneficially own the shares of Common Stock owned directly by JCP Partnership VI. JCP Management, as the investment manager of JCP Partnership VI, may be deemed to beneficially own the shares of Common Stock owned directly by JCP Partnership VI. Mr. Pappas, as the managing member of JCP Management and the sole member of JCP Holdings, may be deemed to beneficially own the shares of Common Stock owned directly by JCP Partnership VI.</w:t>
      </w:r>
    </w:p>
    <w:p>
      <w:pPr>
        <w:spacing w:after="0" w:line="24" w:lineRule="exact"/>
        <w:rPr>
          <w:rFonts w:ascii="Times New Roman" w:cs="Times New Roman" w:eastAsia="Times New Roman" w:hAnsi="Times New Roman"/>
          <w:sz w:val="13"/>
          <w:szCs w:val="13"/>
          <w:color w:val="008000"/>
        </w:rPr>
      </w:pPr>
    </w:p>
    <w:p>
      <w:pPr>
        <w:jc w:val="both"/>
        <w:ind w:left="20" w:right="40" w:firstLine="7"/>
        <w:spacing w:after="0" w:line="253" w:lineRule="auto"/>
        <w:tabs>
          <w:tab w:leader="none" w:pos="15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in a certain account managed by JCP Management (the "JCP Account"). JCP Management, as the investment manager of the JCP Account, may be deemed to beneficially own the shares of Common Stock held in the JCP Account. Mr. Pappas, as the managing member of JCP Management, may be deemed to beneficially own the shares of Common Stock held in the JCP Account.</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JCP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James C. Pappas, 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JCP Investment Partnership,</w:t>
        <w:tab/>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ectPr>
          <w:pgSz w:w="11900" w:h="16898" w:orient="portrait"/>
          <w:cols w:equalWidth="0" w:num="1">
            <w:col w:w="10880"/>
          </w:cols>
          <w:pgMar w:left="480" w:top="178" w:right="53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6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C. Pappas,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JCP Asset Partnership VI,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0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01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64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C. Pappas,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JCP Investment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0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JCP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C. Pappas,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67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JCP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1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42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95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67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2" Type="http://schemas.openxmlformats.org/officeDocument/2006/relationships/hyperlink" Target="http://www.sec.gov/cgi-bin/browse-edgar?action=getcompany&amp;CIK=0001461945" TargetMode="External"/><Relationship Id="rId13" Type="http://schemas.openxmlformats.org/officeDocument/2006/relationships/hyperlink" Target="http://www.sec.gov/cgi-bin/browse-edgar?action=getcompany&amp;CIK=0001165002" TargetMode="External"/><Relationship Id="rId14" Type="http://schemas.openxmlformats.org/officeDocument/2006/relationships/hyperlink" Target="http://www.sec.gov/cgi-bin/browse-edgar?action=getcompany&amp;CIK=0001461946" TargetMode="External"/><Relationship Id="rId17" Type="http://schemas.openxmlformats.org/officeDocument/2006/relationships/hyperlink" Target="http://www.sec.gov/cgi-bin/browse-edgar?action=getcompany&amp;CIK=0001845388" TargetMode="External"/><Relationship Id="rId18" Type="http://schemas.openxmlformats.org/officeDocument/2006/relationships/hyperlink" Target="http://www.sec.gov/cgi-bin/browse-edgar?action=getcompany&amp;CIK=0001461947" TargetMode="External"/><Relationship Id="rId19" Type="http://schemas.openxmlformats.org/officeDocument/2006/relationships/hyperlink" Target="http://www.sec.gov/cgi-bin/browse-edgar?action=getcompany&amp;CIK=0001461948" TargetMode="External"/><Relationship Id="rId20" Type="http://schemas.openxmlformats.org/officeDocument/2006/relationships/hyperlink" Target="http://www.sec.gov/cgi-bin/browse-edgar?action=getcompany&amp;CIK=0001462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2022-06-13T17:14:53Z</dcterms:created>
  <dcterms:modified xsi:type="dcterms:W3CDTF">2022-06-13T17:14:53Z</dcterms:modified>
</cp:coreProperties>
</file>